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media/image40.svg" ContentType="image/svg+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7EF04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p>
    <w:p w14:paraId="34D509D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p>
    <w:p w14:paraId="6BE8725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p>
    <w:p w14:paraId="4F76AA7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p>
    <w:p w14:paraId="687DDD3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p>
    <w:p w14:paraId="3F9B65CF">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52"/>
          <w:szCs w:val="52"/>
          <w:u w:val="none" w:color="auto"/>
          <w14:textFill>
            <w14:solidFill>
              <w14:schemeClr w14:val="tx1"/>
            </w14:solidFill>
          </w14:textFill>
        </w:rPr>
      </w:pPr>
      <w:r>
        <w:rPr>
          <w:rFonts w:hint="default" w:ascii="Times New Roman" w:hAnsi="Times New Roman" w:eastAsia="宋体" w:cs="Times New Roman"/>
          <w:b/>
          <w:color w:val="000000" w:themeColor="text1"/>
          <w:sz w:val="44"/>
          <w:szCs w:val="44"/>
          <w:u w:val="none" w:color="auto"/>
          <w14:textFill>
            <w14:solidFill>
              <w14:schemeClr w14:val="tx1"/>
            </w14:solidFill>
          </w14:textFill>
        </w:rPr>
        <w:t>湖南信达生物能源有限公司年产10000吨工业级混合油（非食用动植物油脂）初加工、仓储及转运收集建设项目</w:t>
      </w:r>
    </w:p>
    <w:p w14:paraId="0457EE0A">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p>
    <w:p w14:paraId="3C53A86F">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r>
        <w:rPr>
          <w:rFonts w:hint="default" w:ascii="Times New Roman" w:hAnsi="Times New Roman" w:eastAsia="宋体" w:cs="Times New Roman"/>
          <w:b/>
          <w:color w:val="000000" w:themeColor="text1"/>
          <w:sz w:val="44"/>
          <w:szCs w:val="44"/>
          <w:u w:val="none" w:color="auto"/>
          <w14:textFill>
            <w14:solidFill>
              <w14:schemeClr w14:val="tx1"/>
            </w14:solidFill>
          </w14:textFill>
        </w:rPr>
        <w:t>环境影响报告书</w:t>
      </w:r>
    </w:p>
    <w:p w14:paraId="70718A01">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p>
    <w:p w14:paraId="4EC846D7">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p>
    <w:p w14:paraId="74529752">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p>
    <w:p w14:paraId="1F84103D">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p>
    <w:p w14:paraId="286FB9EC">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p>
    <w:p w14:paraId="6B13173C">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p>
    <w:p w14:paraId="613C4A54">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color w:val="000000" w:themeColor="text1"/>
          <w:sz w:val="44"/>
          <w:szCs w:val="44"/>
          <w:u w:val="none" w:color="auto"/>
          <w14:textFill>
            <w14:solidFill>
              <w14:schemeClr w14:val="tx1"/>
            </w14:solidFill>
          </w14:textFill>
        </w:rPr>
      </w:pPr>
    </w:p>
    <w:p w14:paraId="60FC702D">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b/>
          <w:color w:val="000000" w:themeColor="text1"/>
          <w:sz w:val="32"/>
          <w:szCs w:val="32"/>
          <w:u w:val="none" w:color="auto"/>
          <w14:textFill>
            <w14:solidFill>
              <w14:schemeClr w14:val="tx1"/>
            </w14:solidFill>
          </w14:textFill>
        </w:rPr>
      </w:pPr>
      <w:r>
        <w:rPr>
          <w:rFonts w:hint="default" w:ascii="Times New Roman" w:hAnsi="Times New Roman" w:eastAsia="宋体" w:cs="Times New Roman"/>
          <w:b/>
          <w:color w:val="000000" w:themeColor="text1"/>
          <w:sz w:val="32"/>
          <w:szCs w:val="32"/>
          <w:u w:val="none" w:color="auto"/>
          <w14:textFill>
            <w14:solidFill>
              <w14:schemeClr w14:val="tx1"/>
            </w14:solidFill>
          </w14:textFill>
        </w:rPr>
        <w:t>建设单位：湖南信达生物能源有限公司</w:t>
      </w:r>
    </w:p>
    <w:p w14:paraId="4F684B42">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b/>
          <w:color w:val="000000" w:themeColor="text1"/>
          <w:sz w:val="32"/>
          <w:szCs w:val="32"/>
          <w:u w:val="none" w:color="auto"/>
          <w14:textFill>
            <w14:solidFill>
              <w14:schemeClr w14:val="tx1"/>
            </w14:solidFill>
          </w14:textFill>
        </w:rPr>
      </w:pPr>
      <w:r>
        <w:rPr>
          <w:rFonts w:hint="default" w:ascii="Times New Roman" w:hAnsi="Times New Roman" w:eastAsia="宋体" w:cs="Times New Roman"/>
          <w:b/>
          <w:color w:val="000000" w:themeColor="text1"/>
          <w:sz w:val="32"/>
          <w:szCs w:val="32"/>
          <w:u w:val="none" w:color="auto"/>
          <w14:textFill>
            <w14:solidFill>
              <w14:schemeClr w14:val="tx1"/>
            </w14:solidFill>
          </w14:textFill>
        </w:rPr>
        <w:t>编制单位：湖南中誉生态环境科技有限公司</w:t>
      </w:r>
    </w:p>
    <w:p w14:paraId="6F1C05CE">
      <w:pPr>
        <w:keepNext w:val="0"/>
        <w:keepLines w:val="0"/>
        <w:pageBreakBefore w:val="0"/>
        <w:widowControl w:val="0"/>
        <w:kinsoku/>
        <w:wordWrap/>
        <w:overflowPunct/>
        <w:topLinePunct w:val="0"/>
        <w:bidi w:val="0"/>
        <w:spacing w:line="360" w:lineRule="auto"/>
        <w:ind w:firstLine="643" w:firstLineChars="200"/>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b/>
          <w:color w:val="000000" w:themeColor="text1"/>
          <w:sz w:val="32"/>
          <w:szCs w:val="32"/>
          <w:u w:val="none" w:color="auto"/>
          <w14:textFill>
            <w14:solidFill>
              <w14:schemeClr w14:val="tx1"/>
            </w14:solidFill>
          </w14:textFill>
        </w:rPr>
        <w:t>二零二</w:t>
      </w:r>
      <w:r>
        <w:rPr>
          <w:rFonts w:hint="default" w:ascii="Times New Roman" w:hAnsi="Times New Roman" w:eastAsia="宋体" w:cs="Times New Roman"/>
          <w:b/>
          <w:color w:val="000000" w:themeColor="text1"/>
          <w:sz w:val="32"/>
          <w:szCs w:val="32"/>
          <w:u w:val="none" w:color="auto"/>
          <w:lang w:val="en-US" w:eastAsia="zh-CN"/>
          <w14:textFill>
            <w14:solidFill>
              <w14:schemeClr w14:val="tx1"/>
            </w14:solidFill>
          </w14:textFill>
        </w:rPr>
        <w:t>六</w:t>
      </w:r>
      <w:r>
        <w:rPr>
          <w:rFonts w:hint="default" w:ascii="Times New Roman" w:hAnsi="Times New Roman" w:eastAsia="宋体" w:cs="Times New Roman"/>
          <w:b/>
          <w:color w:val="000000" w:themeColor="text1"/>
          <w:sz w:val="32"/>
          <w:szCs w:val="32"/>
          <w:u w:val="none" w:color="auto"/>
          <w14:textFill>
            <w14:solidFill>
              <w14:schemeClr w14:val="tx1"/>
            </w14:solidFill>
          </w14:textFill>
        </w:rPr>
        <w:t>年</w:t>
      </w:r>
      <w:r>
        <w:rPr>
          <w:rFonts w:hint="eastAsia" w:ascii="Times New Roman" w:hAnsi="Times New Roman" w:eastAsia="宋体" w:cs="Times New Roman"/>
          <w:b/>
          <w:color w:val="000000" w:themeColor="text1"/>
          <w:sz w:val="32"/>
          <w:szCs w:val="32"/>
          <w:u w:val="none" w:color="auto"/>
          <w:lang w:val="en-US" w:eastAsia="zh-CN"/>
          <w14:textFill>
            <w14:solidFill>
              <w14:schemeClr w14:val="tx1"/>
            </w14:solidFill>
          </w14:textFill>
        </w:rPr>
        <w:t>四</w:t>
      </w:r>
      <w:r>
        <w:rPr>
          <w:rFonts w:hint="default" w:ascii="Times New Roman" w:hAnsi="Times New Roman" w:eastAsia="宋体" w:cs="Times New Roman"/>
          <w:b/>
          <w:color w:val="000000" w:themeColor="text1"/>
          <w:sz w:val="32"/>
          <w:szCs w:val="32"/>
          <w:u w:val="none" w:color="auto"/>
          <w14:textFill>
            <w14:solidFill>
              <w14:schemeClr w14:val="tx1"/>
            </w14:solidFill>
          </w14:textFill>
        </w:rPr>
        <w:t>月</w:t>
      </w:r>
    </w:p>
    <w:p w14:paraId="2117A01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p>
    <w:p w14:paraId="2264FD0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sectPr>
          <w:footerReference r:id="rId5" w:type="default"/>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174ACBC2">
      <w:pPr>
        <w:keepNext w:val="0"/>
        <w:keepLines w:val="0"/>
        <w:pageBreakBefore w:val="0"/>
        <w:widowControl w:val="0"/>
        <w:kinsoku/>
        <w:wordWrap/>
        <w:overflowPunct/>
        <w:topLinePunct w:val="0"/>
        <w:bidi w:val="0"/>
        <w:jc w:val="center"/>
        <w:rPr>
          <w:rFonts w:hint="default" w:ascii="Times New Roman" w:hAnsi="Times New Roman" w:eastAsia="宋体" w:cs="Times New Roman"/>
          <w:color w:val="FF0000"/>
          <w:u w:val="none" w:color="auto"/>
          <w:lang w:eastAsia="zh-CN"/>
        </w:rPr>
      </w:pPr>
      <w:r>
        <w:rPr>
          <w:rFonts w:hint="default" w:ascii="Times New Roman" w:hAnsi="Times New Roman" w:eastAsia="宋体" w:cs="Times New Roman"/>
          <w:color w:val="FF0000"/>
          <w:u w:val="none" w:color="auto"/>
          <w:lang w:eastAsia="zh-CN"/>
        </w:rPr>
        <w:t>（</w:t>
      </w:r>
      <w:r>
        <w:rPr>
          <w:rFonts w:hint="default" w:ascii="Times New Roman" w:hAnsi="Times New Roman" w:eastAsia="宋体" w:cs="Times New Roman"/>
          <w:color w:val="FF0000"/>
          <w:u w:val="none" w:color="auto"/>
          <w:lang w:val="en-US" w:eastAsia="zh-CN"/>
        </w:rPr>
        <w:t>编制单位情况表</w:t>
      </w:r>
      <w:r>
        <w:rPr>
          <w:rFonts w:hint="default" w:ascii="Times New Roman" w:hAnsi="Times New Roman" w:eastAsia="宋体" w:cs="Times New Roman"/>
          <w:color w:val="FF0000"/>
          <w:u w:val="none" w:color="auto"/>
          <w:lang w:eastAsia="zh-CN"/>
        </w:rPr>
        <w:t>）</w:t>
      </w:r>
      <w:r>
        <w:rPr>
          <w:rFonts w:hint="default" w:ascii="Times New Roman" w:hAnsi="Times New Roman" w:eastAsia="宋体" w:cs="Times New Roman"/>
          <w:color w:val="FF0000"/>
          <w:u w:val="none" w:color="auto"/>
        </w:rPr>
        <w:commentReference w:id="0"/>
      </w:r>
    </w:p>
    <w:p w14:paraId="488CDD7B">
      <w:pPr>
        <w:keepNext w:val="0"/>
        <w:keepLines w:val="0"/>
        <w:pageBreakBefore w:val="0"/>
        <w:widowControl w:val="0"/>
        <w:kinsoku/>
        <w:wordWrap/>
        <w:overflowPunct/>
        <w:topLinePunct w:val="0"/>
        <w:bidi w:val="0"/>
        <w:rPr>
          <w:rFonts w:hint="default" w:ascii="Times New Roman" w:hAnsi="Times New Roman" w:eastAsia="宋体" w:cs="Times New Roman"/>
          <w:color w:val="FF0000"/>
          <w:u w:val="none" w:color="auto"/>
        </w:rPr>
      </w:pPr>
    </w:p>
    <w:p w14:paraId="2B77946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25847BAC">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FF0000"/>
          <w:u w:val="none" w:color="auto"/>
          <w:lang w:eastAsia="zh-CN"/>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FF0000"/>
          <w:u w:val="none" w:color="auto"/>
          <w:lang w:eastAsia="zh-CN"/>
        </w:rPr>
        <w:t>（</w:t>
      </w:r>
      <w:r>
        <w:rPr>
          <w:rFonts w:hint="default" w:ascii="Times New Roman" w:hAnsi="Times New Roman" w:eastAsia="宋体" w:cs="Times New Roman"/>
          <w:color w:val="FF0000"/>
          <w:u w:val="none" w:color="auto"/>
          <w:lang w:val="en-US" w:eastAsia="zh-CN"/>
        </w:rPr>
        <w:t>编制情况承诺书</w:t>
      </w:r>
      <w:r>
        <w:rPr>
          <w:rFonts w:hint="default" w:ascii="Times New Roman" w:hAnsi="Times New Roman" w:eastAsia="宋体" w:cs="Times New Roman"/>
          <w:color w:val="FF0000"/>
          <w:u w:val="none" w:color="auto"/>
          <w:lang w:eastAsia="zh-CN"/>
        </w:rPr>
        <w:t>）</w:t>
      </w:r>
      <w:r>
        <w:rPr>
          <w:rFonts w:hint="default" w:ascii="Times New Roman" w:hAnsi="Times New Roman" w:eastAsia="宋体" w:cs="Times New Roman"/>
          <w:color w:val="FF0000"/>
          <w:u w:val="none" w:color="auto"/>
        </w:rPr>
        <w:commentReference w:id="1"/>
      </w:r>
    </w:p>
    <w:p w14:paraId="668949ED">
      <w:pPr>
        <w:keepNext w:val="0"/>
        <w:keepLines w:val="0"/>
        <w:pageBreakBefore w:val="0"/>
        <w:widowControl w:val="0"/>
        <w:kinsoku/>
        <w:wordWrap/>
        <w:overflowPunct/>
        <w:topLinePunct w:val="0"/>
        <w:bidi w:val="0"/>
        <w:spacing w:line="360" w:lineRule="auto"/>
        <w:ind w:firstLine="720" w:firstLineChars="200"/>
        <w:jc w:val="center"/>
        <w:rPr>
          <w:rFonts w:hint="default" w:ascii="Times New Roman" w:hAnsi="Times New Roman" w:eastAsia="宋体" w:cs="Times New Roman"/>
          <w:color w:val="FF0000"/>
          <w:u w:val="none" w:color="auto"/>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FF0000"/>
          <w:sz w:val="36"/>
          <w:szCs w:val="36"/>
          <w:u w:val="none" w:color="auto"/>
        </w:rPr>
        <w:drawing>
          <wp:inline distT="0" distB="0" distL="0" distR="0">
            <wp:extent cx="5619750" cy="7715250"/>
            <wp:effectExtent l="0" t="0" r="0" b="0"/>
            <wp:docPr id="31" name="图片 3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营业执照"/>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rot="5400000">
                      <a:off x="0" y="0"/>
                      <a:ext cx="5619750" cy="7715250"/>
                    </a:xfrm>
                    <a:prstGeom prst="rect">
                      <a:avLst/>
                    </a:prstGeom>
                    <a:noFill/>
                    <a:ln>
                      <a:noFill/>
                    </a:ln>
                  </pic:spPr>
                </pic:pic>
              </a:graphicData>
            </a:graphic>
          </wp:inline>
        </w:drawing>
      </w:r>
      <w:r>
        <w:rPr>
          <w:rFonts w:hint="default" w:ascii="Times New Roman" w:hAnsi="Times New Roman" w:eastAsia="宋体" w:cs="Times New Roman"/>
          <w:color w:val="FF0000"/>
          <w:u w:val="none" w:color="auto"/>
        </w:rPr>
        <w:drawing>
          <wp:inline distT="0" distB="0" distL="0" distR="0">
            <wp:extent cx="8863330" cy="4585335"/>
            <wp:effectExtent l="0" t="0" r="0" b="571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0"/>
                    <a:stretch>
                      <a:fillRect/>
                    </a:stretch>
                  </pic:blipFill>
                  <pic:spPr>
                    <a:xfrm>
                      <a:off x="0" y="0"/>
                      <a:ext cx="8863330" cy="4585335"/>
                    </a:xfrm>
                    <a:prstGeom prst="rect">
                      <a:avLst/>
                    </a:prstGeom>
                  </pic:spPr>
                </pic:pic>
              </a:graphicData>
            </a:graphic>
          </wp:inline>
        </w:drawing>
      </w:r>
      <w:r>
        <w:rPr>
          <w:rFonts w:hint="default" w:ascii="Times New Roman" w:hAnsi="Times New Roman" w:eastAsia="宋体" w:cs="Times New Roman"/>
          <w:color w:val="FF0000"/>
          <w:u w:val="none" w:color="auto"/>
        </w:rPr>
        <w:drawing>
          <wp:inline distT="0" distB="0" distL="0" distR="0">
            <wp:extent cx="8863330" cy="3896995"/>
            <wp:effectExtent l="0" t="0" r="13970" b="825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1"/>
                    <a:stretch>
                      <a:fillRect/>
                    </a:stretch>
                  </pic:blipFill>
                  <pic:spPr>
                    <a:xfrm>
                      <a:off x="0" y="0"/>
                      <a:ext cx="8863330" cy="3896995"/>
                    </a:xfrm>
                    <a:prstGeom prst="rect">
                      <a:avLst/>
                    </a:prstGeom>
                  </pic:spPr>
                </pic:pic>
              </a:graphicData>
            </a:graphic>
          </wp:inline>
        </w:drawing>
      </w:r>
      <w:r>
        <w:rPr>
          <w:rFonts w:hint="default" w:ascii="Times New Roman" w:hAnsi="Times New Roman" w:eastAsia="宋体" w:cs="Times New Roman"/>
          <w:color w:val="FF0000"/>
          <w:u w:val="none" w:color="auto"/>
        </w:rPr>
        <w:drawing>
          <wp:inline distT="0" distB="0" distL="0" distR="0">
            <wp:extent cx="7096760" cy="5093970"/>
            <wp:effectExtent l="0" t="0" r="8890" b="11430"/>
            <wp:docPr id="37" name="图片 37" descr="c810904c6c52f8c70e53f1a844db77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810904c6c52f8c70e53f1a844db775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7096760" cy="5093970"/>
                    </a:xfrm>
                    <a:prstGeom prst="rect">
                      <a:avLst/>
                    </a:prstGeom>
                    <a:noFill/>
                    <a:ln>
                      <a:noFill/>
                    </a:ln>
                  </pic:spPr>
                </pic:pic>
              </a:graphicData>
            </a:graphic>
          </wp:inline>
        </w:drawing>
      </w:r>
    </w:p>
    <w:p w14:paraId="0BB430A8">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FF0000"/>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FF0000"/>
          <w:u w:val="none" w:color="auto"/>
        </w:rPr>
        <w:drawing>
          <wp:inline distT="0" distB="0" distL="0" distR="0">
            <wp:extent cx="4819015" cy="6713855"/>
            <wp:effectExtent l="0" t="0" r="63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3"/>
                    <a:stretch>
                      <a:fillRect/>
                    </a:stretch>
                  </pic:blipFill>
                  <pic:spPr>
                    <a:xfrm>
                      <a:off x="0" y="0"/>
                      <a:ext cx="4819048" cy="6714286"/>
                    </a:xfrm>
                    <a:prstGeom prst="rect">
                      <a:avLst/>
                    </a:prstGeom>
                  </pic:spPr>
                </pic:pic>
              </a:graphicData>
            </a:graphic>
          </wp:inline>
        </w:drawing>
      </w:r>
      <w:r>
        <w:rPr>
          <w:u w:val="none" w:color="auto"/>
        </w:rPr>
        <w:commentReference w:id="2"/>
      </w:r>
      <w:r>
        <w:rPr>
          <w:rFonts w:hint="default" w:ascii="Times New Roman" w:hAnsi="Times New Roman" w:eastAsia="宋体" w:cs="Times New Roman"/>
          <w:color w:val="FF0000"/>
          <w:u w:val="none" w:color="auto"/>
        </w:rPr>
        <w:drawing>
          <wp:inline distT="0" distB="0" distL="0" distR="0">
            <wp:extent cx="4914265" cy="6913880"/>
            <wp:effectExtent l="0" t="0" r="635" b="12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4"/>
                    <a:stretch>
                      <a:fillRect/>
                    </a:stretch>
                  </pic:blipFill>
                  <pic:spPr>
                    <a:xfrm>
                      <a:off x="0" y="0"/>
                      <a:ext cx="4914286" cy="6914286"/>
                    </a:xfrm>
                    <a:prstGeom prst="rect">
                      <a:avLst/>
                    </a:prstGeom>
                  </pic:spPr>
                </pic:pic>
              </a:graphicData>
            </a:graphic>
          </wp:inline>
        </w:drawing>
      </w:r>
    </w:p>
    <w:p w14:paraId="7DB5B82E">
      <w:pPr>
        <w:keepNext w:val="0"/>
        <w:keepLines w:val="0"/>
        <w:pageBreakBefore w:val="0"/>
        <w:widowControl w:val="0"/>
        <w:kinsoku/>
        <w:wordWrap/>
        <w:overflowPunct/>
        <w:topLinePunct w:val="0"/>
        <w:bidi w:val="0"/>
        <w:jc w:val="center"/>
        <w:rPr>
          <w:rFonts w:hint="default" w:ascii="Times New Roman" w:hAnsi="Times New Roman" w:eastAsia="宋体" w:cs="Times New Roman"/>
          <w:b/>
          <w:bCs/>
          <w:color w:val="000000" w:themeColor="text1"/>
          <w:sz w:val="44"/>
          <w:szCs w:val="44"/>
          <w:u w:val="none" w:color="auto"/>
          <w14:textFill>
            <w14:solidFill>
              <w14:schemeClr w14:val="tx1"/>
            </w14:solidFill>
          </w14:textFill>
        </w:rPr>
      </w:pPr>
      <w:r>
        <w:rPr>
          <w:rFonts w:hint="default" w:ascii="Times New Roman" w:hAnsi="Times New Roman" w:eastAsia="宋体" w:cs="Times New Roman"/>
          <w:b/>
          <w:bCs/>
          <w:color w:val="000000" w:themeColor="text1"/>
          <w:sz w:val="44"/>
          <w:szCs w:val="44"/>
          <w:u w:val="none" w:color="auto"/>
          <w14:textFill>
            <w14:solidFill>
              <w14:schemeClr w14:val="tx1"/>
            </w14:solidFill>
          </w14:textFill>
        </w:rPr>
        <w:t>目  录</w:t>
      </w:r>
    </w:p>
    <w:p w14:paraId="74EA7C6A">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color w:val="000000" w:themeColor="text1"/>
          <w:sz w:val="28"/>
          <w:szCs w:val="28"/>
          <w:u w:val="none" w:color="auto"/>
          <w14:textFill>
            <w14:solidFill>
              <w14:schemeClr w14:val="tx1"/>
            </w14:solidFill>
          </w14:textFill>
        </w:rPr>
        <w:instrText xml:space="preserve"> TOC \o "1-3" \h \z \u </w:instrText>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separate"/>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_Toc4401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第1章 概论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_Toc4401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62A2B63">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_Toc18747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 项目由来</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_Toc18747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25B6062">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_Toc16555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 环境影响评价的工作过程</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_Toc16555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B0B14FD">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_Toc5859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 分析判定相关情况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_Toc5859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0ED7D1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_Toc19730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1.3.1 产业政策相符性</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_Toc19730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E2E05A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_Toc29877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1.3.2 生态环境分区管控符合性</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_Toc29877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8D540C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_Toc301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1.3.3 与规划的相容性分析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_Toc301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2632801">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_Toc27602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1.3.4 与相关法律法规、政策的相符性分析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_Toc27602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E5547D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_Toc4351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1.3.5 项目选址合理性分析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_Toc4351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C3371E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_Toc10974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1.3.6 平面布局合理性分析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_Toc10974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D2A661A">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_Toc5712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 项目关注的主要环境问题</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_Toc5712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6CD324A">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_Toc3391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 环境影响评价的主要结论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_Toc3391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7E9CD90">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_Toc3922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第2章 总则</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_Toc3922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8DE8A35">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_Toc23653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2.1 编制依据</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_Toc23653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515BBE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_Toc9078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2.1.1 环境保护法律、行政法规</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_Toc9078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D99CC4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_Toc2771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2.1.2 地方法规及文件</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_Toc2771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156231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_Toc2240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2.1.3 技术导则和规范</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_Toc2240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1DE6C78">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_Toc30172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2.1.</w:t>
      </w:r>
      <w:r>
        <w:rPr>
          <w:rFonts w:hint="eastAsia"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 xml:space="preserve"> 其他文件</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_Toc30172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883C17D">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_Toc12557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2.2 评价目的</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_Toc12557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49D5C2E">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_Toc4703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2.3 评价内容和重点</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_Toc4703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4997D0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_Toc9835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2.3.1 评价内容</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_Toc9835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F9E1CC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_Toc12335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2.3.2 评价重点</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_Toc12335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7E8FF61">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_Toc14171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2.4 环境影响识别和评价因子筛选</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_Toc14171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6E39ECA">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_Toc4573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2.4.1 环境影响识别</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_Toc4573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20EE94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_Toc23029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2.4.2 评价因子筛选</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_Toc23029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017AF18">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_Toc17349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2.5 评价标准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_Toc17349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73ED63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_Toc9533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2.5.1 环境质量标准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_Toc9533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583148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_Toc13450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2.5.2 污染物排放标准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_Toc13450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CF2EADC">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_Toc31287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2.6 评价工作等级与评价范围</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_Toc31287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CF24558">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_Toc25187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2.6.1 评价工作等级</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_Toc25187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F809918">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_Toc630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2.6.2 评价范围</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_Toc630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44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DD9E9A6">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_Toc19434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2.7 环境保护目标</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_Toc19434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46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F8FA1DE">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_Toc6198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w:t>
      </w:r>
      <w:r>
        <w:rPr>
          <w:rFonts w:hint="default"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rPr>
        <w:t>章 工程分析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_Toc6198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E6EDE92">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_Toc2125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 xml:space="preserve">1 </w:t>
      </w:r>
      <w:r>
        <w:rPr>
          <w:rFonts w:hint="default" w:ascii="Times New Roman" w:hAnsi="Times New Roman" w:eastAsia="宋体" w:cs="Times New Roman"/>
          <w:sz w:val="28"/>
          <w:szCs w:val="28"/>
          <w:lang w:val="en-US" w:eastAsia="zh-CN"/>
        </w:rPr>
        <w:t>拟建工程</w:t>
      </w:r>
      <w:r>
        <w:rPr>
          <w:rFonts w:hint="default" w:ascii="Times New Roman" w:hAnsi="Times New Roman" w:eastAsia="宋体" w:cs="Times New Roman"/>
          <w:sz w:val="28"/>
          <w:szCs w:val="28"/>
        </w:rPr>
        <w:t>概况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_Toc2125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18CF0E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_Toc3143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1.1 项目基本情况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_Toc3143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EE91D2E">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_Toc18956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1.2 主要建设内容</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_Toc18956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402DBC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_Toc8274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rPr>
        <w:t xml:space="preserve"> 主要原辅材料消耗</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_Toc8274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B2CFB6E">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_Toc26798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 xml:space="preserve"> 产品方案及规模</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_Toc26798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1B192F4">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1.5 主要生产设备</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AB9568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_Toc12559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1.6 设备产能匹配性分析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_Toc12559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4C788D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_Toc7105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1.8 公用工程</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_Toc7105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B03E2A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_Toc31033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1.</w:t>
      </w:r>
      <w:r>
        <w:rPr>
          <w:rFonts w:hint="eastAsia" w:ascii="Times New Roman" w:hAnsi="Times New Roman" w:eastAsia="宋体" w:cs="Times New Roman"/>
          <w:sz w:val="28"/>
          <w:szCs w:val="28"/>
          <w:lang w:val="en-US" w:eastAsia="zh-CN"/>
        </w:rPr>
        <w:t>9</w:t>
      </w:r>
      <w:r>
        <w:rPr>
          <w:rFonts w:hint="default" w:ascii="Times New Roman" w:hAnsi="Times New Roman" w:eastAsia="宋体" w:cs="Times New Roman"/>
          <w:sz w:val="28"/>
          <w:szCs w:val="28"/>
        </w:rPr>
        <w:t xml:space="preserve"> 平面布置</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_Toc31033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FDCC7E7">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_Toc2389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2 工程分析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_Toc2389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C729CDB">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_Toc7141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2.1 施工期工艺流程及污染源强核算</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_Toc7141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75D9691">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_Toc9788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2.2 运营期工艺流程及产污环节</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_Toc9788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57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E9F122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_Toc24849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2.3 产污环节</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_Toc24849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B1F8EB0">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_Toc820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3 运营期物料平衡</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_Toc820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8BD502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_Toc17495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3.1 总物料平衡</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_Toc17495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D7FC95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_Toc27640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3.</w:t>
      </w:r>
      <w:r>
        <w:rPr>
          <w:rFonts w:hint="eastAsia"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水平衡</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_Toc27640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5570E5C">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_Toc2006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4 运营期污染源强核算</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_Toc2006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DE7A901">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_Toc10825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4.1 废气污染源强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_Toc10825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65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AA5057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_Toc17368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4.2 废水污染源强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_Toc17368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75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C56393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_Toc31329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4.3 噪声污染源强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_Toc31329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169D56E">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_Toc31572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3.</w:t>
      </w:r>
      <w:r>
        <w:rPr>
          <w:rFonts w:hint="default" w:ascii="Times New Roman" w:hAnsi="Times New Roman" w:eastAsia="宋体" w:cs="Times New Roman"/>
          <w:sz w:val="28"/>
          <w:szCs w:val="28"/>
        </w:rPr>
        <w:t>4.</w:t>
      </w: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 xml:space="preserve"> 固体废物</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_Toc31572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67BAC57">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_Toc16448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w:t>
      </w: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章 区域环境概况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_Toc16448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55E9493">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_Toc14817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1 自然环境概况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_Toc14817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426C4BA">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_Toc21699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1.1 地理位置</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_Toc21699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0D5C9F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_Toc2557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1.2 地形地貌地质</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_Toc2557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027FB3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_Toc16673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1.3 气候气象</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_Toc16673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AAF1AE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_Toc7662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1.4 水文水系</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_Toc7662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CAE7BA8">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_Toc11465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1.5 土壤环境</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_Toc11465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108E5BE">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_Toc19621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1.6 生态环境</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_Toc19621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89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2DE9238">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_Toc4924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2 平江高新技术产业园概况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_Toc4924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FCDEB9E">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_Toc27301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2.1 高新区概况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_Toc27301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077DA5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_Toc18898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2.2 产业定位</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_Toc18898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8C02D5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_Toc1855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4.</w:t>
      </w:r>
      <w:r>
        <w:rPr>
          <w:rFonts w:hint="default" w:ascii="Times New Roman" w:hAnsi="Times New Roman" w:eastAsia="宋体" w:cs="Times New Roman"/>
          <w:sz w:val="28"/>
          <w:szCs w:val="28"/>
        </w:rPr>
        <w:t>2.3 配套基础设施现状及规划</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_Toc1855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65E29B6">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_Toc23688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w:t>
      </w:r>
      <w:r>
        <w:rPr>
          <w:rFonts w:hint="default" w:ascii="Times New Roman" w:hAnsi="Times New Roman" w:eastAsia="宋体" w:cs="Times New Roman"/>
          <w:sz w:val="28"/>
          <w:szCs w:val="28"/>
          <w:lang w:val="en-US" w:eastAsia="zh-CN"/>
        </w:rPr>
        <w:t>5</w:t>
      </w:r>
      <w:r>
        <w:rPr>
          <w:rFonts w:hint="default" w:ascii="Times New Roman" w:hAnsi="Times New Roman" w:eastAsia="宋体" w:cs="Times New Roman"/>
          <w:sz w:val="28"/>
          <w:szCs w:val="28"/>
        </w:rPr>
        <w:t>章 环境质量现状调查与评价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_Toc23688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81C0BF8">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_Toc6313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1 环境空气质量现状监测与评价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_Toc6313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3D0ABF3">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_Toc16963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1.1 空气质量达标性分析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_Toc16963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736611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_Toc13743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1.2 环境空气现状引用监测</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_Toc13743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F739E6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_Toc11312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1.3 环境空气现状补充监测</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_Toc11312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1814081">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_Toc12817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2 地表水环境质量现状评价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_Toc12817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63C143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_Toc4395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2.1 区域地表水断面环境质量现状</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_Toc4395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394DE01">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_Toc23257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2.2 地表水环境引用监测数据</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_Toc23257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97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140D39B">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_Toc23887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3 地下水环境质量现状评价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_Toc23887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100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7EC01C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_Toc14874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lang w:val="en-US" w:eastAsia="zh-CN"/>
        </w:rPr>
        <w:t>1</w:t>
      </w:r>
      <w:r>
        <w:rPr>
          <w:rFonts w:hint="default" w:ascii="Times New Roman" w:hAnsi="Times New Roman" w:eastAsia="宋体" w:cs="Times New Roman"/>
          <w:sz w:val="28"/>
          <w:szCs w:val="28"/>
        </w:rPr>
        <w:t xml:space="preserve"> 地下水环境引用数据</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_Toc14874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100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1F66DF8">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_Toc12067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地下水环境现状监测</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_Toc12067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101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524BE18">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_Toc17918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4 声环境质量现状调查与评价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_Toc17918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103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CBED166">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_Toc5880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5 土壤环境质量现状调查与评价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_Toc5880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104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5788E0B">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_Toc15640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5.</w:t>
      </w:r>
      <w:r>
        <w:rPr>
          <w:rFonts w:hint="default" w:ascii="Times New Roman" w:hAnsi="Times New Roman" w:eastAsia="宋体" w:cs="Times New Roman"/>
          <w:sz w:val="28"/>
          <w:szCs w:val="28"/>
        </w:rPr>
        <w:t>6 生态环境质量现状调查分析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_Toc15640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0CB5194">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_Toc12921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w:t>
      </w:r>
      <w:r>
        <w:rPr>
          <w:rFonts w:hint="default" w:ascii="Times New Roman" w:hAnsi="Times New Roman" w:eastAsia="宋体" w:cs="Times New Roman"/>
          <w:sz w:val="28"/>
          <w:szCs w:val="28"/>
          <w:lang w:val="en-US" w:eastAsia="zh-CN"/>
        </w:rPr>
        <w:t>6</w:t>
      </w:r>
      <w:r>
        <w:rPr>
          <w:rFonts w:hint="default" w:ascii="Times New Roman" w:hAnsi="Times New Roman" w:eastAsia="宋体" w:cs="Times New Roman"/>
          <w:sz w:val="28"/>
          <w:szCs w:val="28"/>
        </w:rPr>
        <w:t>章 环境影响预测与评价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_Toc12921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B0E375E">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_Toc16968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1 施工期环境影响预测与评价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_Toc16968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3D1FD8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_Toc3450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1.1施工期环境空气影响分析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_Toc3450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DC78B54">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_Toc7347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1.2 施工期废水影响分析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_Toc7347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8F428F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_Toc14989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1.3 施工期噪声影响分析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_Toc14989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3DE4214">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_Toc25763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1.4 施工期固体废物影响分析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_Toc25763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E5858D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_Toc26850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1.5 施工期生态环境影响分析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_Toc26850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257169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_Toc27727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lang w:val="en-US" w:eastAsia="zh-CN"/>
        </w:rPr>
        <w:t>6</w:t>
      </w:r>
      <w:r>
        <w:rPr>
          <w:rFonts w:hint="default" w:ascii="Times New Roman" w:hAnsi="Times New Roman" w:eastAsia="宋体" w:cs="Times New Roman"/>
          <w:sz w:val="28"/>
          <w:szCs w:val="28"/>
        </w:rPr>
        <w:t xml:space="preserve"> 施工期小结</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_Toc27727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EB95CFB">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_Toc10874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2 运营期大气环境影响预测与评价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_Toc10874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5CC7D3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_Toc27599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6.2.1 环境影响预测</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_Toc27599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154C224">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_Toc29889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6.2.2 项目废气对环境影响分析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_Toc29889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119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A7710D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_Toc29132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2.</w:t>
      </w:r>
      <w:r>
        <w:rPr>
          <w:rFonts w:hint="default"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rPr>
        <w:t xml:space="preserve"> 大气污染源核算</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_Toc29132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A789388">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_Toc30457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3 运营期地表水环境影响分析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_Toc30457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0BBEEB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_Toc26291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3.1 水污染控制和水环境影响减缓措施有效性分析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_Toc26291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596786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_Toc32047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3.2 依托平江高新</w:t>
      </w:r>
      <w:r>
        <w:rPr>
          <w:rFonts w:hint="default" w:ascii="Times New Roman" w:hAnsi="Times New Roman" w:eastAsia="宋体" w:cs="Times New Roman"/>
          <w:sz w:val="28"/>
          <w:szCs w:val="28"/>
          <w:lang w:eastAsia="zh-CN"/>
        </w:rPr>
        <w:t>平江高新区污水处理厂</w:t>
      </w:r>
      <w:r>
        <w:rPr>
          <w:rFonts w:hint="default" w:ascii="Times New Roman" w:hAnsi="Times New Roman" w:eastAsia="宋体" w:cs="Times New Roman"/>
          <w:sz w:val="28"/>
          <w:szCs w:val="28"/>
        </w:rPr>
        <w:t>处理可行性分析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_Toc32047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903317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_Toc7792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rPr>
        <w:t xml:space="preserve"> 废水污染物排放信息表</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_Toc7792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B0B5CC0">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_Toc2947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4 运营期地下水环境影响分析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_Toc2947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90002EA">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_Toc5365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4.1 项目区地质概述</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_Toc5365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BBBD2F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_Toc32015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4.2 项目区水文地质概述</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_Toc32015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129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568ACF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_Toc5153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6.4.3 地下水开发利用情况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_Toc5153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0F5C44A">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_Toc2742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4.</w:t>
      </w: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 xml:space="preserve"> 地下水影响预测</w:t>
      </w:r>
      <w:r>
        <w:rPr>
          <w:rFonts w:hint="default" w:ascii="Times New Roman" w:hAnsi="Times New Roman" w:eastAsia="宋体" w:cs="Times New Roman"/>
          <w:sz w:val="28"/>
          <w:szCs w:val="28"/>
          <w:lang w:val="en-US" w:eastAsia="zh-CN"/>
        </w:rPr>
        <w:t>与评价</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_Toc2742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B50BB5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_Toc13767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6.4.5 地下水保护措施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_Toc13767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EAC29EC">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_Toc405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5 运营期声环境影响分析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_Toc405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B6A1E5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_Toc2776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5.1 主要噪声源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_Toc2776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134500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_Toc28154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5.2 预测模式</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_Toc28154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65398E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_Toc14596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5.3 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_Toc14596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D58ADAC">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_Toc26374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6 运营期固体废物环境影响分析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_Toc26374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CC34041">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_Toc10834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6.1 固体废物处置原则</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_Toc10834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818169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_Toc18532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6.2 一般固体废物环境影响分析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_Toc18532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7CEEBB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_Toc1659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6.3 危险废物环境影响分析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_Toc1659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447A1F4">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_Toc21183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7 运营期土壤环境影响分析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_Toc21183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60C6E3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_Toc11273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 xml:space="preserve">7.1 </w:t>
      </w:r>
      <w:r>
        <w:rPr>
          <w:rFonts w:hint="default" w:ascii="Times New Roman" w:hAnsi="Times New Roman" w:eastAsia="宋体" w:cs="Times New Roman"/>
          <w:sz w:val="28"/>
          <w:szCs w:val="28"/>
          <w:lang w:val="en-US" w:eastAsia="zh-CN"/>
        </w:rPr>
        <w:t>评价等级</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_Toc11273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38DD88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_Toc12507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7.2 土壤环境影响</w:t>
      </w:r>
      <w:r>
        <w:rPr>
          <w:rFonts w:hint="default" w:ascii="Times New Roman" w:hAnsi="Times New Roman" w:eastAsia="宋体" w:cs="Times New Roman"/>
          <w:sz w:val="28"/>
          <w:szCs w:val="28"/>
          <w:lang w:val="en-US" w:eastAsia="zh-CN"/>
        </w:rPr>
        <w:t>途径</w:t>
      </w:r>
      <w:r>
        <w:rPr>
          <w:rFonts w:hint="default" w:ascii="Times New Roman" w:hAnsi="Times New Roman" w:eastAsia="宋体" w:cs="Times New Roman"/>
          <w:sz w:val="28"/>
          <w:szCs w:val="28"/>
        </w:rPr>
        <w:t>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_Toc12507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ECE1F8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_Toc20363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6.7.3 土壤保护措施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_Toc20363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5497BDB">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_Toc3705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7.</w:t>
      </w:r>
      <w:r>
        <w:rPr>
          <w:rFonts w:hint="eastAsia"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 xml:space="preserve"> </w:t>
      </w:r>
      <w:r>
        <w:rPr>
          <w:rFonts w:hint="default" w:ascii="Times New Roman" w:hAnsi="Times New Roman" w:eastAsia="宋体" w:cs="Times New Roman"/>
          <w:sz w:val="28"/>
          <w:szCs w:val="28"/>
          <w:lang w:val="en-US" w:eastAsia="zh-CN"/>
        </w:rPr>
        <w:t>土壤环境影响分析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_Toc3705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425BA65">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_Toc22882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6.</w:t>
      </w:r>
      <w:r>
        <w:rPr>
          <w:rFonts w:hint="default" w:ascii="Times New Roman" w:hAnsi="Times New Roman" w:eastAsia="宋体" w:cs="Times New Roman"/>
          <w:sz w:val="28"/>
          <w:szCs w:val="28"/>
        </w:rPr>
        <w:t>8 生态环境影响分析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_Toc22882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B44B054">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_Toc6009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w:t>
      </w:r>
      <w:r>
        <w:rPr>
          <w:rFonts w:hint="default" w:ascii="Times New Roman" w:hAnsi="Times New Roman" w:eastAsia="宋体" w:cs="Times New Roman"/>
          <w:sz w:val="28"/>
          <w:szCs w:val="28"/>
          <w:lang w:val="en-US" w:eastAsia="zh-CN"/>
        </w:rPr>
        <w:t>7</w:t>
      </w:r>
      <w:r>
        <w:rPr>
          <w:rFonts w:hint="default" w:ascii="Times New Roman" w:hAnsi="Times New Roman" w:eastAsia="宋体" w:cs="Times New Roman"/>
          <w:sz w:val="28"/>
          <w:szCs w:val="28"/>
        </w:rPr>
        <w:t>章 环境风险分析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_Toc6009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724BC98">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_Toc7920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7.1 环境风险评价原则及评价程序</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_Toc7920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149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6C1B41C">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_Toc10443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7.2 环境风险识别</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_Toc10443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2E4255E">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_Toc14888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7.2.1 风险源调查</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_Toc14888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E59079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_Toc2611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7.2.2 风险潜势初判</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_Toc2611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C164833">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_Toc6876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7.2.</w:t>
      </w:r>
      <w:r>
        <w:rPr>
          <w:rFonts w:hint="eastAsia"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lang w:val="en-US" w:eastAsia="zh-CN"/>
        </w:rPr>
        <w:t xml:space="preserve"> 风险潜势初判</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_Toc6876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5480C5B">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_Toc32496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7.</w:t>
      </w:r>
      <w:r>
        <w:rPr>
          <w:rFonts w:hint="default"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rPr>
        <w:t xml:space="preserve"> </w:t>
      </w:r>
      <w:r>
        <w:rPr>
          <w:rFonts w:hint="default" w:ascii="Times New Roman" w:hAnsi="Times New Roman" w:eastAsia="宋体" w:cs="Times New Roman"/>
          <w:sz w:val="28"/>
          <w:szCs w:val="28"/>
          <w:lang w:val="en-US" w:eastAsia="zh-CN"/>
        </w:rPr>
        <w:t>环境风险目标调查</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_Toc32496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40C0252">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_Toc1849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7.4 环境风险识别</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_Toc1849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BC1922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_Toc11453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7.4.1 物质危险性识别</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_Toc11453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B7C73F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_Toc11593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7.</w:t>
      </w: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.2 生产</w:t>
      </w:r>
      <w:r>
        <w:rPr>
          <w:rFonts w:hint="default" w:ascii="Times New Roman" w:hAnsi="Times New Roman" w:eastAsia="宋体" w:cs="Times New Roman"/>
          <w:sz w:val="28"/>
          <w:szCs w:val="28"/>
          <w:lang w:val="en-US" w:eastAsia="zh-CN"/>
        </w:rPr>
        <w:t>系统危险性</w:t>
      </w:r>
      <w:r>
        <w:rPr>
          <w:rFonts w:hint="default" w:ascii="Times New Roman" w:hAnsi="Times New Roman" w:eastAsia="宋体" w:cs="Times New Roman"/>
          <w:sz w:val="28"/>
          <w:szCs w:val="28"/>
        </w:rPr>
        <w:t>识别</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_Toc11593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7DB7C92">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_Toc5067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7.5 环境风险分析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_Toc5067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0A39AAB">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_Toc13695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7.5.1 废弃油脂收运泄漏环境风险分析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_Toc13695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12C620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_Toc26536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7.5.2 废弃油脂加工生产线泄漏环境风险分析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_Toc26536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C6F9F8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_Toc1678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7.5.3 成品油储罐泄漏环境风险分析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_Toc1678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155</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6D6CB7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_Toc22568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7.5.4 危险废物泄漏环境风险分析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_Toc22568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E7F118E">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_Toc11554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7.5.5 污染治理设施泄漏环境风险分析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_Toc11554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753CBE4">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_Toc4814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7.6 环境风险防范措施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_Toc4814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BC6603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_Toc11825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7.</w:t>
      </w:r>
      <w:r>
        <w:rPr>
          <w:rFonts w:hint="default" w:ascii="Times New Roman" w:hAnsi="Times New Roman" w:eastAsia="宋体" w:cs="Times New Roman"/>
          <w:sz w:val="28"/>
          <w:szCs w:val="28"/>
          <w:lang w:val="en-US" w:eastAsia="zh-CN"/>
        </w:rPr>
        <w:t>6</w:t>
      </w:r>
      <w:r>
        <w:rPr>
          <w:rFonts w:hint="default" w:ascii="Times New Roman" w:hAnsi="Times New Roman" w:eastAsia="宋体" w:cs="Times New Roman"/>
          <w:sz w:val="28"/>
          <w:szCs w:val="28"/>
        </w:rPr>
        <w:t xml:space="preserve">.1 </w:t>
      </w:r>
      <w:r>
        <w:rPr>
          <w:rFonts w:hint="default" w:ascii="Times New Roman" w:hAnsi="Times New Roman" w:eastAsia="宋体" w:cs="Times New Roman"/>
          <w:sz w:val="28"/>
          <w:szCs w:val="28"/>
          <w:lang w:val="en-US" w:eastAsia="zh-CN"/>
        </w:rPr>
        <w:t>废弃油脂收运过程泄漏风险防范措施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_Toc11825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97381B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_Toc18501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 xml:space="preserve">7.6.2 </w:t>
      </w:r>
      <w:r>
        <w:rPr>
          <w:rFonts w:hint="default" w:ascii="Times New Roman" w:hAnsi="Times New Roman" w:eastAsia="宋体" w:cs="Times New Roman"/>
          <w:sz w:val="28"/>
          <w:szCs w:val="28"/>
          <w:lang w:val="en-US" w:eastAsia="zh-CN"/>
        </w:rPr>
        <w:t>厂区内油脂泄漏风险防范措施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_Toc18501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7D6377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7.6.3 危险废物暂存间泄漏风险防范措施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5BD3BA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_Toc7919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 xml:space="preserve">7.6.4 </w:t>
      </w:r>
      <w:r>
        <w:rPr>
          <w:rFonts w:hint="default" w:ascii="Times New Roman" w:hAnsi="Times New Roman" w:eastAsia="宋体" w:cs="Times New Roman"/>
          <w:sz w:val="28"/>
          <w:szCs w:val="28"/>
          <w:lang w:eastAsia="zh-CN"/>
        </w:rPr>
        <w:t>废水</w:t>
      </w:r>
      <w:r>
        <w:rPr>
          <w:rFonts w:hint="default" w:ascii="Times New Roman" w:hAnsi="Times New Roman" w:eastAsia="宋体" w:cs="Times New Roman"/>
          <w:sz w:val="28"/>
          <w:szCs w:val="28"/>
          <w:lang w:val="en-US" w:eastAsia="zh-CN"/>
        </w:rPr>
        <w:t>预处理设施</w:t>
      </w:r>
      <w:r>
        <w:rPr>
          <w:rFonts w:hint="default" w:ascii="Times New Roman" w:hAnsi="Times New Roman" w:eastAsia="宋体" w:cs="Times New Roman"/>
          <w:sz w:val="28"/>
          <w:szCs w:val="28"/>
          <w:lang w:eastAsia="zh-CN"/>
        </w:rPr>
        <w:t>泄漏事故防范</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_Toc7919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9A02338">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_Toc5629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 xml:space="preserve">7.6.5 </w:t>
      </w:r>
      <w:r>
        <w:rPr>
          <w:rFonts w:hint="default" w:ascii="Times New Roman" w:hAnsi="Times New Roman" w:eastAsia="宋体" w:cs="Times New Roman"/>
          <w:sz w:val="28"/>
          <w:szCs w:val="28"/>
          <w:lang w:eastAsia="zh-CN"/>
        </w:rPr>
        <w:t>废气处理事故防范措施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_Toc5629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B9BBBDB">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_Toc657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7.6.6 火灾爆炸</w:t>
      </w:r>
      <w:r>
        <w:rPr>
          <w:rFonts w:hint="default" w:ascii="Times New Roman" w:hAnsi="Times New Roman" w:eastAsia="宋体" w:cs="Times New Roman"/>
          <w:sz w:val="28"/>
          <w:szCs w:val="28"/>
          <w:lang w:eastAsia="zh-CN"/>
        </w:rPr>
        <w:t>事故防范措施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_Toc657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87BE18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_Toc14926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6.6.7 消防事故水防范措施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_Toc14926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214D52B">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_Toc668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7.6.8 三级风险防控体系</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_Toc668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159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3A5E3F2">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_Toc25428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7.7 环境风险应急预案</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_Toc25428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880387C">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_Toc15283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val="en-US" w:eastAsia="zh-CN"/>
        </w:rPr>
        <w:t>7.8 环境风险</w:t>
      </w:r>
      <w:r>
        <w:rPr>
          <w:rFonts w:hint="default" w:ascii="Times New Roman" w:hAnsi="Times New Roman" w:eastAsia="宋体" w:cs="Times New Roman"/>
          <w:sz w:val="28"/>
          <w:szCs w:val="28"/>
          <w:lang w:eastAsia="zh-CN"/>
        </w:rPr>
        <w:t>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_Toc15283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ADF3A7F">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_Toc3249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w:t>
      </w:r>
      <w:r>
        <w:rPr>
          <w:rFonts w:hint="default" w:ascii="Times New Roman" w:hAnsi="Times New Roman" w:eastAsia="宋体" w:cs="Times New Roman"/>
          <w:sz w:val="28"/>
          <w:szCs w:val="28"/>
          <w:lang w:val="en-US" w:eastAsia="zh-CN"/>
        </w:rPr>
        <w:t>8</w:t>
      </w:r>
      <w:r>
        <w:rPr>
          <w:rFonts w:hint="default" w:ascii="Times New Roman" w:hAnsi="Times New Roman" w:eastAsia="宋体" w:cs="Times New Roman"/>
          <w:sz w:val="28"/>
          <w:szCs w:val="28"/>
        </w:rPr>
        <w:t>章 污染防治措施可行性分析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_Toc3249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40299FD">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_Toc28244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1 施工期污染防治措施分析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_Toc28244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56FDFD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_Toc25286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1.1 施工期大气污染防治措施分析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_Toc25286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1ECCAA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_Toc13262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1.2 施工期水污染防治措施分析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_Toc13262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FFD915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_Toc1615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1.3 施工期噪声污染防治措施分析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_Toc1615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E32A45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_Toc3054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1.4 施工期固体废物污染防治措施分析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_Toc3054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0CDF120">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_Toc23010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2 运营期污染防治措施分析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_Toc23010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07129E3">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_Toc4356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2.1 运营期大气污染防治措施分析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_Toc4356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819DEE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_Toc4178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2.2 排气筒设置合理性分析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_Toc4178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DCF933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_Toc19766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2.3 无组织排放废气防治措施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_Toc19766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ED17783">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_Toc11083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2.4 废气治理设施的管理维护要求</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_Toc11083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C58E96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_Toc17209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2.5 废气事故排放防范措施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_Toc17209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992D807">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_Toc21405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3 运营期水污染防治措施分析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_Toc21405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EE0BD2E">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_Toc3547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3.1 生产废水处理措施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_Toc3547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EFA1F4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_Toc271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3.</w:t>
      </w:r>
      <w:r>
        <w:rPr>
          <w:rFonts w:hint="eastAsia"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生活污水处理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44741F5">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_Toc21785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4 运营期地下水污染防治措施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_Toc21785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2CFDD48">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_Toc21946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4.1 环境管理对策</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_Toc21946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D5B1E2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_Toc3209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4.2 地下水防治原则</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_Toc3209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7BF15E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_Toc28981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4.3 分区防渗划分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_Toc28981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169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CED54EF">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_Toc20060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5 运营期土壤污染防治措施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_Toc20060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9F4D97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_Toc25108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5.1 源头控制</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_Toc25108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159E80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_Toc32594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5.2 过程防控措施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_Toc32594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35ADF11">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_Toc20629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5.3 跟踪监测</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_Toc20629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5CCAF4A">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_Toc2888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5.4 应急措施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_Toc2888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CAF96A1">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_Toc4967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6 运营期噪声污染防治措施及可行性分析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_Toc4967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469D7A3">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_Toc18258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6.1 项目噪声污染防治措施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_Toc18258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0854B1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_Toc10221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6.2 噪声污染防治措施可行性分析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_Toc10221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AFD7441">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_Toc11640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7 运营期固体废物污染防治措施及可行性分析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_Toc11640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E42F53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_Toc4468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7.1 固体废物处置措施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_Toc4468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6837D49">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_Toc1939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8.</w:t>
      </w:r>
      <w:r>
        <w:rPr>
          <w:rFonts w:hint="default" w:ascii="Times New Roman" w:hAnsi="Times New Roman" w:eastAsia="宋体" w:cs="Times New Roman"/>
          <w:sz w:val="28"/>
          <w:szCs w:val="28"/>
        </w:rPr>
        <w:t>7.2 危险废物污染防治措施分析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_Toc1939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7A6B4C2">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_Toc32560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w:t>
      </w:r>
      <w:r>
        <w:rPr>
          <w:rFonts w:hint="default" w:ascii="Times New Roman" w:hAnsi="Times New Roman" w:eastAsia="宋体" w:cs="Times New Roman"/>
          <w:sz w:val="28"/>
          <w:szCs w:val="28"/>
          <w:lang w:val="en-US" w:eastAsia="zh-CN"/>
        </w:rPr>
        <w:t>9</w:t>
      </w:r>
      <w:r>
        <w:rPr>
          <w:rFonts w:hint="default" w:ascii="Times New Roman" w:hAnsi="Times New Roman" w:eastAsia="宋体" w:cs="Times New Roman"/>
          <w:sz w:val="28"/>
          <w:szCs w:val="28"/>
        </w:rPr>
        <w:t>章 总量控制</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_Toc32560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5A1B71A">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_Toc2525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9.</w:t>
      </w:r>
      <w:r>
        <w:rPr>
          <w:rFonts w:hint="default" w:ascii="Times New Roman" w:hAnsi="Times New Roman" w:eastAsia="宋体" w:cs="Times New Roman"/>
          <w:sz w:val="28"/>
          <w:szCs w:val="28"/>
        </w:rPr>
        <w:t>1 本项目建成后全厂污染物排放量</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_Toc2525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6181283">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_Toc22265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9.</w:t>
      </w:r>
      <w:r>
        <w:rPr>
          <w:rFonts w:hint="default" w:ascii="Times New Roman" w:hAnsi="Times New Roman" w:eastAsia="宋体" w:cs="Times New Roman"/>
          <w:sz w:val="28"/>
          <w:szCs w:val="28"/>
        </w:rPr>
        <w:t>1.1 废水</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_Toc22265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FA735A6">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_Toc9006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9.</w:t>
      </w:r>
      <w:r>
        <w:rPr>
          <w:rFonts w:hint="default" w:ascii="Times New Roman" w:hAnsi="Times New Roman" w:eastAsia="宋体" w:cs="Times New Roman"/>
          <w:sz w:val="28"/>
          <w:szCs w:val="28"/>
        </w:rPr>
        <w:t>1.2 废气</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_Toc9006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997A1CB">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_Toc29473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9.</w:t>
      </w:r>
      <w:r>
        <w:rPr>
          <w:rFonts w:hint="default" w:ascii="Times New Roman" w:hAnsi="Times New Roman" w:eastAsia="宋体" w:cs="Times New Roman"/>
          <w:sz w:val="28"/>
          <w:szCs w:val="28"/>
        </w:rPr>
        <w:t>2 总量指标</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_Toc29473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D4C6BED">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_Toc14338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第1</w:t>
      </w:r>
      <w:r>
        <w:rPr>
          <w:rFonts w:hint="default" w:ascii="Times New Roman" w:hAnsi="Times New Roman" w:eastAsia="宋体" w:cs="Times New Roman"/>
          <w:sz w:val="28"/>
          <w:szCs w:val="28"/>
          <w:lang w:val="en-US" w:eastAsia="zh-CN"/>
        </w:rPr>
        <w:t>0</w:t>
      </w:r>
      <w:r>
        <w:rPr>
          <w:rFonts w:hint="default" w:ascii="Times New Roman" w:hAnsi="Times New Roman" w:eastAsia="宋体" w:cs="Times New Roman"/>
          <w:sz w:val="28"/>
          <w:szCs w:val="28"/>
        </w:rPr>
        <w:t>章 环境影响经济损益分析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_Toc14338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12C1F85">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_Toc5088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1 社会效益分析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_Toc5088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C026AC3">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_Toc18721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2 经济效益分析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_Toc18721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3580913">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_Toc9876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3 环境效益分析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_Toc9876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AB2EB3B">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_Toc32695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3.1 水环境影响损益分析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_Toc32695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141663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_Toc24779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3.2 大气环境影响损益分析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_Toc24779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98CC88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_Toc30021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3.3 声环境影响损益分析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_Toc30021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40B0B7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_Toc22817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3.4 固体废物环境影响损益分析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_Toc22817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2E7DE88">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_Toc12384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4 环保投资</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_Toc12384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5B6CDCB">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_Toc11804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10.</w:t>
      </w:r>
      <w:r>
        <w:rPr>
          <w:rFonts w:hint="default" w:ascii="Times New Roman" w:hAnsi="Times New Roman" w:eastAsia="宋体" w:cs="Times New Roman"/>
          <w:sz w:val="28"/>
          <w:szCs w:val="28"/>
        </w:rPr>
        <w:t>5 环境影响经济损益分析结论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_Toc11804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178</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D935206">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_Toc18092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第1</w:t>
      </w:r>
      <w:r>
        <w:rPr>
          <w:rFonts w:hint="default" w:ascii="Times New Roman" w:hAnsi="Times New Roman" w:eastAsia="宋体" w:cs="Times New Roman"/>
          <w:sz w:val="28"/>
          <w:szCs w:val="28"/>
          <w:lang w:val="en-US" w:eastAsia="zh-CN"/>
        </w:rPr>
        <w:t>1</w:t>
      </w:r>
      <w:r>
        <w:rPr>
          <w:rFonts w:hint="default" w:ascii="Times New Roman" w:hAnsi="Times New Roman" w:eastAsia="宋体" w:cs="Times New Roman"/>
          <w:sz w:val="28"/>
          <w:szCs w:val="28"/>
        </w:rPr>
        <w:t>章 环境管理与监测制度</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_Toc18092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2E14E27">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_Toc13088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1 环境管理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_Toc13088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196A6B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_Toc18698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1.1 环境管理机构</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_Toc18698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6DD70A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_Toc15469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1.2 环境管理机构的职能和任务</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_Toc15469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179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93182A0">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_Toc11792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1.3 环保管理制度</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_Toc11792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039EF00">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_Toc29746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2 环境监测</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_Toc29746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665DFF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_Toc5472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2.1 环境监测目的</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_Toc5472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3203A03">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_Toc18699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2.2 环境监测机构</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_Toc18699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486BE2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_Toc21146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2.3 监测计划</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_Toc21146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97FED6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_Toc18855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2.4 信息公开</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_Toc18855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2DAF93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_Toc25855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2.5 监测数据的管理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_Toc25855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0CB35F86">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_Toc7787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3 排污口规范化管理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_Toc7787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D9D721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_Toc26875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3.1 排污口规范化管理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_Toc26875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EA9F39B">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_Toc6468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3.2 排污口立标管理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_Toc6468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496599D">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_Toc15150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3.3 排污口建档管理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_Toc15150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BE341DC">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_Toc21776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4 排污许可管理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_Toc21776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3EB0E8AE">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_Toc184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5 污染物排放清单</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_Toc184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F7DBF32">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_Toc26947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11.</w:t>
      </w:r>
      <w:r>
        <w:rPr>
          <w:rFonts w:hint="default" w:ascii="Times New Roman" w:hAnsi="Times New Roman" w:eastAsia="宋体" w:cs="Times New Roman"/>
          <w:sz w:val="28"/>
          <w:szCs w:val="28"/>
        </w:rPr>
        <w:t>6 环保设施</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三同时</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竣工验收</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_Toc26947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184</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7FD4AA7">
      <w:pPr>
        <w:pStyle w:val="27"/>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_Toc9929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第1</w:t>
      </w:r>
      <w:r>
        <w:rPr>
          <w:rFonts w:hint="default"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章 结论与建议</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_Toc9929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08993AD">
      <w:pPr>
        <w:pStyle w:val="32"/>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_Toc7087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 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_Toc7087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5708F1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_Toc15301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1.1 项目概况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_Toc15301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189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880649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_Toc2460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1.2 产业政策符合性分析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_Toc2460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190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70BEAA94">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_Toc22143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1.3 区域环境质量现状</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_Toc22143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190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2C35A237">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_Toc19090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1.4 环境影响评价结论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_Toc19090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191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54E7EB65">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_Toc9302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w:t>
      </w:r>
      <w:r>
        <w:rPr>
          <w:rFonts w:hint="eastAsia" w:ascii="Times New Roman" w:hAnsi="Times New Roman" w:eastAsia="宋体" w:cs="Times New Roman"/>
          <w:sz w:val="28"/>
          <w:szCs w:val="28"/>
          <w:lang w:val="en-US" w:eastAsia="zh-CN"/>
        </w:rPr>
        <w:t>5</w:t>
      </w:r>
      <w:r>
        <w:rPr>
          <w:rFonts w:hint="default" w:ascii="Times New Roman" w:hAnsi="Times New Roman" w:eastAsia="宋体" w:cs="Times New Roman"/>
          <w:sz w:val="28"/>
          <w:szCs w:val="28"/>
        </w:rPr>
        <w:t xml:space="preserve"> 风险分析结论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_Toc9302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192</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FFCBA42">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_Toc25219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w:t>
      </w:r>
      <w:r>
        <w:rPr>
          <w:rFonts w:hint="eastAsia" w:ascii="Times New Roman" w:hAnsi="Times New Roman" w:eastAsia="宋体" w:cs="Times New Roman"/>
          <w:sz w:val="28"/>
          <w:szCs w:val="28"/>
          <w:lang w:val="en-US" w:eastAsia="zh-CN"/>
        </w:rPr>
        <w:t>6</w:t>
      </w:r>
      <w:r>
        <w:rPr>
          <w:rFonts w:hint="default" w:ascii="Times New Roman" w:hAnsi="Times New Roman" w:eastAsia="宋体" w:cs="Times New Roman"/>
          <w:sz w:val="28"/>
          <w:szCs w:val="28"/>
        </w:rPr>
        <w:t xml:space="preserve"> 总量控制</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_Toc25219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193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DB6A1FC">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_Toc15678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w:t>
      </w:r>
      <w:r>
        <w:rPr>
          <w:rFonts w:hint="eastAsia" w:ascii="Times New Roman" w:hAnsi="Times New Roman" w:eastAsia="宋体" w:cs="Times New Roman"/>
          <w:sz w:val="28"/>
          <w:szCs w:val="28"/>
          <w:lang w:val="en-US" w:eastAsia="zh-CN"/>
        </w:rPr>
        <w:t>7</w:t>
      </w:r>
      <w:r>
        <w:rPr>
          <w:rFonts w:hint="default" w:ascii="Times New Roman" w:hAnsi="Times New Roman" w:eastAsia="宋体" w:cs="Times New Roman"/>
          <w:sz w:val="28"/>
          <w:szCs w:val="28"/>
        </w:rPr>
        <w:t xml:space="preserve"> 公众参与情况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_Toc15678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193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474D4EAF">
      <w:pPr>
        <w:pStyle w:val="20"/>
        <w:tabs>
          <w:tab w:val="right" w:leader="dot" w:pos="8312"/>
        </w:tabs>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_Toc17978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1.</w:t>
      </w:r>
      <w:r>
        <w:rPr>
          <w:rFonts w:hint="eastAsia" w:ascii="Times New Roman" w:hAnsi="Times New Roman" w:eastAsia="宋体" w:cs="Times New Roman"/>
          <w:sz w:val="28"/>
          <w:szCs w:val="28"/>
          <w:lang w:val="en-US" w:eastAsia="zh-CN"/>
        </w:rPr>
        <w:t>8</w:t>
      </w:r>
      <w:r>
        <w:rPr>
          <w:rFonts w:hint="default" w:ascii="Times New Roman" w:hAnsi="Times New Roman" w:eastAsia="宋体" w:cs="Times New Roman"/>
          <w:sz w:val="28"/>
          <w:szCs w:val="28"/>
        </w:rPr>
        <w:t xml:space="preserve"> 总结论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_Toc17978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193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69AFD435">
      <w:pPr>
        <w:pStyle w:val="32"/>
        <w:tabs>
          <w:tab w:val="right" w:leader="dot" w:pos="8312"/>
        </w:tabs>
        <w:spacing w:line="360" w:lineRule="auto"/>
        <w:rPr>
          <w:rFonts w:hint="default" w:ascii="Times New Roman" w:hAnsi="Times New Roman" w:eastAsia="宋体" w:cs="Times New Roman"/>
          <w:color w:val="FF0000"/>
          <w:sz w:val="28"/>
          <w:szCs w:val="28"/>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begin"/>
      </w:r>
      <w:r>
        <w:rPr>
          <w:rFonts w:hint="default" w:ascii="Times New Roman" w:hAnsi="Times New Roman" w:eastAsia="宋体" w:cs="Times New Roman"/>
          <w:sz w:val="28"/>
          <w:szCs w:val="28"/>
        </w:rPr>
        <w:instrText xml:space="preserve"> HYPERLINK \l _Toc5362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lang w:eastAsia="zh-CN"/>
        </w:rPr>
        <w:t>12.</w:t>
      </w:r>
      <w:r>
        <w:rPr>
          <w:rFonts w:hint="default" w:ascii="Times New Roman" w:hAnsi="Times New Roman" w:eastAsia="宋体" w:cs="Times New Roman"/>
          <w:sz w:val="28"/>
          <w:szCs w:val="28"/>
        </w:rPr>
        <w:t>2 建议</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_Toc5362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193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r>
        <w:rPr>
          <w:rFonts w:hint="default" w:ascii="Times New Roman" w:hAnsi="Times New Roman" w:eastAsia="宋体" w:cs="Times New Roman"/>
          <w:color w:val="000000" w:themeColor="text1"/>
          <w:sz w:val="28"/>
          <w:szCs w:val="28"/>
          <w:u w:val="none" w:color="auto"/>
          <w14:textFill>
            <w14:solidFill>
              <w14:schemeClr w14:val="tx1"/>
            </w14:solidFill>
          </w14:textFill>
        </w:rPr>
        <w:fldChar w:fldCharType="end"/>
      </w:r>
    </w:p>
    <w:p w14:paraId="196CE4FA">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color w:val="000000" w:themeColor="text1"/>
          <w:szCs w:val="24"/>
          <w:u w:val="none" w:color="auto"/>
          <w14:textFill>
            <w14:solidFill>
              <w14:schemeClr w14:val="tx1"/>
            </w14:solidFill>
          </w14:textFill>
        </w:rPr>
      </w:pPr>
      <w:r>
        <w:rPr>
          <w:rFonts w:hint="default" w:ascii="Times New Roman" w:hAnsi="Times New Roman" w:eastAsia="宋体" w:cs="Times New Roman"/>
          <w:b/>
          <w:color w:val="000000" w:themeColor="text1"/>
          <w:szCs w:val="24"/>
          <w:u w:val="none" w:color="auto"/>
          <w14:textFill>
            <w14:solidFill>
              <w14:schemeClr w14:val="tx1"/>
            </w14:solidFill>
          </w14:textFill>
        </w:rPr>
        <w:t>附图：</w:t>
      </w:r>
    </w:p>
    <w:p w14:paraId="0198F7A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附图1  地理位置图</w:t>
      </w:r>
    </w:p>
    <w:p w14:paraId="6460A6C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附图2  项目与平江高新技术产业园土地利用规划关系图</w:t>
      </w:r>
    </w:p>
    <w:p w14:paraId="35C12EC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 xml:space="preserve">附图3  </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湖南省生态环境分区管控智慧平台查询结果</w:t>
      </w:r>
    </w:p>
    <w:p w14:paraId="67F1BC8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 xml:space="preserve">附图4  </w:t>
      </w:r>
      <w:r>
        <w:rPr>
          <w:rFonts w:hint="default" w:ascii="Times New Roman" w:hAnsi="Times New Roman" w:eastAsia="宋体" w:cs="Times New Roman"/>
          <w:color w:val="000000" w:themeColor="text1"/>
          <w:szCs w:val="24"/>
          <w:u w:val="none" w:color="auto"/>
          <w14:textFill>
            <w14:solidFill>
              <w14:schemeClr w14:val="tx1"/>
            </w14:solidFill>
          </w14:textFill>
        </w:rPr>
        <w:t>大气评价范围及敏感点分布图</w:t>
      </w:r>
    </w:p>
    <w:p w14:paraId="3FD96B1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区域水系图</w:t>
      </w:r>
    </w:p>
    <w:p w14:paraId="12EF37F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环境空气引用监测及现状监测点位图</w:t>
      </w:r>
    </w:p>
    <w:p w14:paraId="500B9DC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附图</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 xml:space="preserve">  地表水引用监测点位图</w:t>
      </w:r>
    </w:p>
    <w:p w14:paraId="3047ACC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附图</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 xml:space="preserve">  地下水评价范围、引用监测及现状监测点位图</w:t>
      </w:r>
    </w:p>
    <w:p w14:paraId="3076093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附图</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 xml:space="preserve">  噪声现状监测点位图</w:t>
      </w:r>
    </w:p>
    <w:p w14:paraId="660E75B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附图</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 xml:space="preserve">  土壤现状监测点位图</w:t>
      </w:r>
    </w:p>
    <w:p w14:paraId="61A416F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11</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项目平面布置图</w:t>
      </w:r>
    </w:p>
    <w:p w14:paraId="7710611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附图1</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分区防渗示意图</w:t>
      </w:r>
    </w:p>
    <w:p w14:paraId="4A6A23D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附图1</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危险单元分布图</w:t>
      </w:r>
    </w:p>
    <w:p w14:paraId="64EE09F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附图1</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厂区应急疏散指示图</w:t>
      </w:r>
    </w:p>
    <w:p w14:paraId="1B01CD5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附图1</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封堵示意图</w:t>
      </w:r>
    </w:p>
    <w:p w14:paraId="32978A5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附图16  现状照片</w:t>
      </w:r>
    </w:p>
    <w:p w14:paraId="2F2F05F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p>
    <w:p w14:paraId="3A052854">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color w:val="000000" w:themeColor="text1"/>
          <w:szCs w:val="24"/>
          <w:u w:val="none" w:color="auto"/>
          <w14:textFill>
            <w14:solidFill>
              <w14:schemeClr w14:val="tx1"/>
            </w14:solidFill>
          </w14:textFill>
        </w:rPr>
      </w:pPr>
      <w:r>
        <w:rPr>
          <w:rFonts w:hint="default" w:ascii="Times New Roman" w:hAnsi="Times New Roman" w:eastAsia="宋体" w:cs="Times New Roman"/>
          <w:b/>
          <w:color w:val="000000" w:themeColor="text1"/>
          <w:szCs w:val="24"/>
          <w:u w:val="none" w:color="auto"/>
          <w14:textFill>
            <w14:solidFill>
              <w14:schemeClr w14:val="tx1"/>
            </w14:solidFill>
          </w14:textFill>
        </w:rPr>
        <w:t>附件：</w:t>
      </w:r>
    </w:p>
    <w:p w14:paraId="72E8F68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附件1  委托书</w:t>
      </w:r>
    </w:p>
    <w:p w14:paraId="33AD0DC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附件2  建设项目环境影响报告书（表）编制情况承诺书、编制人员承诺书</w:t>
      </w:r>
    </w:p>
    <w:p w14:paraId="6EC1947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附件3  建设单位环评申请批复、同意全文公示的报告、涉密事项的说明</w:t>
      </w:r>
    </w:p>
    <w:p w14:paraId="6E478FD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附件</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建设单位营业执照</w:t>
      </w:r>
    </w:p>
    <w:p w14:paraId="4A65CE1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附件</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项目备案证明</w:t>
      </w:r>
    </w:p>
    <w:p w14:paraId="3EA0685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附件</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项目用地证明</w:t>
      </w:r>
    </w:p>
    <w:p w14:paraId="677FCD1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附件</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招商引资合同书</w:t>
      </w:r>
    </w:p>
    <w:p w14:paraId="05178FD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附件</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关于《平江高新技术产业园区总体规划环境影响报告书》审查意见的函</w:t>
      </w:r>
    </w:p>
    <w:p w14:paraId="57F5064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附件</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污水纳污协议</w:t>
      </w:r>
    </w:p>
    <w:p w14:paraId="73F6694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附件</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Cs w:val="24"/>
          <w:u w:val="none" w:color="auto"/>
          <w14:textFill>
            <w14:solidFill>
              <w14:schemeClr w14:val="tx1"/>
            </w14:solidFill>
          </w14:textFill>
        </w:rPr>
        <w:t xml:space="preserve">  </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现状监测</w:t>
      </w:r>
      <w:r>
        <w:rPr>
          <w:rFonts w:hint="default" w:ascii="Times New Roman" w:hAnsi="Times New Roman" w:eastAsia="宋体" w:cs="Times New Roman"/>
          <w:color w:val="000000" w:themeColor="text1"/>
          <w:szCs w:val="24"/>
          <w:u w:val="none" w:color="auto"/>
          <w14:textFill>
            <w14:solidFill>
              <w14:schemeClr w14:val="tx1"/>
            </w14:solidFill>
          </w14:textFill>
        </w:rPr>
        <w:t>报告</w:t>
      </w:r>
    </w:p>
    <w:p w14:paraId="18C4E9F0">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color w:val="000000" w:themeColor="text1"/>
          <w:szCs w:val="24"/>
          <w:u w:val="none" w:color="auto"/>
          <w14:textFill>
            <w14:solidFill>
              <w14:schemeClr w14:val="tx1"/>
            </w14:solidFill>
          </w14:textFill>
        </w:rPr>
      </w:pPr>
      <w:r>
        <w:rPr>
          <w:rFonts w:hint="default" w:ascii="Times New Roman" w:hAnsi="Times New Roman" w:eastAsia="宋体" w:cs="Times New Roman"/>
          <w:b/>
          <w:color w:val="000000" w:themeColor="text1"/>
          <w:szCs w:val="24"/>
          <w:u w:val="none" w:color="auto"/>
          <w14:textFill>
            <w14:solidFill>
              <w14:schemeClr w14:val="tx1"/>
            </w14:solidFill>
          </w14:textFill>
        </w:rPr>
        <w:t>附表：</w:t>
      </w:r>
    </w:p>
    <w:p w14:paraId="554F681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附表1  大气环境影响评价自查表</w:t>
      </w:r>
    </w:p>
    <w:p w14:paraId="6259144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附表2  地表水环境影响评价自查表</w:t>
      </w:r>
    </w:p>
    <w:p w14:paraId="0E6B73B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附表3  土壤环境影响评价自查表</w:t>
      </w:r>
    </w:p>
    <w:p w14:paraId="4B42BC0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附表4  声环境影响评价自查表</w:t>
      </w:r>
    </w:p>
    <w:p w14:paraId="5A3400C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附表5  生态环境影响评价自查表</w:t>
      </w:r>
    </w:p>
    <w:p w14:paraId="180EC0E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附表6  环境风险评价自查表</w:t>
      </w:r>
    </w:p>
    <w:p w14:paraId="090AA23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附表7  建设项目环评审批基础信息表</w:t>
      </w:r>
    </w:p>
    <w:p w14:paraId="77FD614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4E89F06E">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0" w:name="_Toc144276852"/>
      <w:bookmarkStart w:id="1" w:name="_Toc4401"/>
      <w:bookmarkStart w:id="2" w:name="_Toc187011253"/>
      <w:bookmarkStart w:id="3" w:name="_Toc191239917"/>
      <w:bookmarkStart w:id="4" w:name="_Toc201879587"/>
      <w:bookmarkStart w:id="5" w:name="_Toc164200743"/>
      <w:bookmarkStart w:id="6" w:name="_Toc199517423"/>
      <w:bookmarkStart w:id="7" w:name="_Toc144236722"/>
      <w:r>
        <w:rPr>
          <w:rFonts w:hint="default" w:ascii="Times New Roman" w:hAnsi="Times New Roman" w:eastAsia="宋体" w:cs="Times New Roman"/>
          <w:color w:val="000000" w:themeColor="text1"/>
          <w:u w:val="none" w:color="auto"/>
          <w14:textFill>
            <w14:solidFill>
              <w14:schemeClr w14:val="tx1"/>
            </w14:solidFill>
          </w14:textFill>
        </w:rPr>
        <w:t>第1章 概论</w:t>
      </w:r>
      <w:bookmarkEnd w:id="0"/>
      <w:bookmarkEnd w:id="1"/>
      <w:bookmarkEnd w:id="2"/>
      <w:bookmarkEnd w:id="3"/>
      <w:bookmarkEnd w:id="4"/>
      <w:bookmarkEnd w:id="5"/>
      <w:bookmarkEnd w:id="6"/>
      <w:bookmarkEnd w:id="7"/>
    </w:p>
    <w:p w14:paraId="1CD98DBF">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8" w:name="_Toc18747"/>
      <w:bookmarkStart w:id="9" w:name="_Toc144276853"/>
      <w:bookmarkStart w:id="10" w:name="_Toc144236723"/>
      <w:bookmarkStart w:id="11" w:name="_Toc191239918"/>
      <w:bookmarkStart w:id="12" w:name="_Toc164200744"/>
      <w:bookmarkStart w:id="13" w:name="_Toc187011254"/>
      <w:bookmarkStart w:id="14" w:name="_Toc199517424"/>
      <w:bookmarkStart w:id="15" w:name="_Toc201879588"/>
      <w:r>
        <w:rPr>
          <w:rFonts w:hint="default" w:ascii="Times New Roman" w:hAnsi="Times New Roman" w:eastAsia="宋体" w:cs="Times New Roman"/>
          <w:color w:val="000000" w:themeColor="text1"/>
          <w:u w:val="none" w:color="auto"/>
          <w14:textFill>
            <w14:solidFill>
              <w14:schemeClr w14:val="tx1"/>
            </w14:solidFill>
          </w14:textFill>
        </w:rPr>
        <w:t>1.1 项目由来</w:t>
      </w:r>
      <w:bookmarkEnd w:id="8"/>
      <w:bookmarkEnd w:id="9"/>
      <w:bookmarkEnd w:id="10"/>
      <w:bookmarkEnd w:id="11"/>
      <w:bookmarkEnd w:id="12"/>
      <w:bookmarkEnd w:id="13"/>
      <w:bookmarkEnd w:id="14"/>
      <w:bookmarkEnd w:id="15"/>
    </w:p>
    <w:p w14:paraId="44F78FF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餐饮业废油脂是一项非常有价值的资源，其中含有大量脂肪酸等含碳有机物，具有污染环境和回收利用的双重性。近年来，对废食用油脂回收用作工业油品及燃料的行业逐渐增加，在全球面临能源危机及环境污染日益严重的情况下，对废弃动植物油脂进行合理回收利用，替代石油资源作为生产表面活性剂、化工原料、生物柴油等的原料，实现变废为宝，对于改善生态环境、缓解能源危机、促进经济可持续发展等方面都将起到推动作用。</w:t>
      </w:r>
    </w:p>
    <w:p w14:paraId="19496A5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根据《国家能源局关于组织开展生物柴油推广应用试点示范的通知》（国能发科技〔2023〕80 号）：生物柴油是以废弃油脂等生物质为原料生产的可再生能源，是国际公认的绿色清洁燃料，受到国际社会广泛重视。党的二十大报告提出，要加快构建废弃物循环利用体系。《中华人民共和国可再生能源法》明确国家鼓励生产和利用生物液体燃料。《</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十四五</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现代能源体系规划》也要求大力发展生物柴油等非粮生物燃料。根据《湖南省人民政府办公厅关于加强地沟油整治和餐厨废弃物管理的实施意见》（湘政办发〔2011〕18 号）：（三）积极推进餐厨废弃物资源化利用和无害化处置。探索建立适宜的餐厨废弃物资源化利用和无害化处理技术工艺路线及管理模式。</w:t>
      </w:r>
    </w:p>
    <w:p w14:paraId="146D202C">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在此背景下，湖南信达生物能源有限公司投资5000万元建设年产10000吨工业级混合油（非食用动植物油脂）初加工、仓储及转运收集建设项目，项目已于2026年1月21日在平江县发展和改革局进行了项目备案（编码：2601-430626-04-01-198094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采用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除渣</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离心分离工艺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将</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食品加工企业废油</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的油、渣、水分离后生产初级工业油脂，</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作为原料销售给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具有</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生物柴油生产</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资质的公司用于生物柴油</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生产。本项目加工工艺仅为简单的物理分离，不发生化学反应。</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项目原料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主要为食品加工厂隔油池的浮渣和食品加工厂使用过的煎炸废油，项目不使用餐饮隔油池废油和</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地沟油</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p>
    <w:p w14:paraId="61270EA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根据《国民经济行业分类》（GB/T 4754-2017）及其2019年第1号修改单（国统字〔2019〕66号），本项目属于</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C4220 非金属废料和碎屑加工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利用废物（油）炼油加工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。根据《中华人民共和国环境影响评价法》、《建设项目环境保护管理条例》和《建设项目环境影响评价分类管理名录（2021年版）》（部令第16号）中的有关规定，本项目属于</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三十九、废弃资源综合利用业 85 废油加工处理</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，应编制环境影响报告书。建设单位于2026年1月</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23日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委托湖南中誉生态环境科技有限公司（以下简称</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我公司</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进行项目环境影响评价工作。我公司接受委托后，及时组织专业技术人员赴现场踏勘、调研，收集了与项目有关技术资料，按照国家对建设项目环境影响评价的有关规定、相关环保政策与技术规范，编制完成了《湖南信达生物能源有限公司年产10000吨工业级混合油（非食用动植物油脂）初加工、仓储及转运收集建设项目环境影响报告书》。</w:t>
      </w:r>
    </w:p>
    <w:p w14:paraId="61C4BC9C">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6" w:name="_Toc16555"/>
      <w:bookmarkStart w:id="17" w:name="_Toc22412"/>
      <w:bookmarkStart w:id="18" w:name="_Toc91619665"/>
      <w:r>
        <w:rPr>
          <w:rFonts w:hint="default" w:ascii="Times New Roman" w:hAnsi="Times New Roman" w:eastAsia="宋体" w:cs="Times New Roman"/>
          <w:color w:val="000000" w:themeColor="text1"/>
          <w:u w:val="none" w:color="auto"/>
          <w14:textFill>
            <w14:solidFill>
              <w14:schemeClr w14:val="tx1"/>
            </w14:solidFill>
          </w14:textFill>
        </w:rPr>
        <w:t>1.2 环境影响评价的工作过程</w:t>
      </w:r>
      <w:bookmarkEnd w:id="16"/>
      <w:bookmarkEnd w:id="17"/>
      <w:bookmarkEnd w:id="18"/>
    </w:p>
    <w:p w14:paraId="53848CF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按照《建设项目环境影响评价技术导则 总纲》（HJ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2.1-2016）要求，本次环评工作分为三个阶段，第一阶段的主要工作为前期准备、调研。具体工作内容是研究国家和地方有关环境保护的法律法规、政策、标准及相关规划，并在此基础上进行环境影响因素的识别与评价因子筛选，明确评价工作的重点和环境保护目标，确定大气、水、噪声等专项评价的工作等级、评价范围和评价基础，制定评价的工作方案；第二阶段的工作是根据评价工作方案完成评价范围内环境状况的调查、监测与评价，完成建设项目的工程分析，并在工程分析的基础上对各环境要素进行环境影响预测与评价；第三阶段的工作是提出环境保护措施，进行技术经济论证，给出建设项目环境可行性的评价结论，最终完成环境影响报告书的编制。具体流程详见下图。</w:t>
      </w:r>
    </w:p>
    <w:p w14:paraId="1F205624">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25" o:spt="75" type="#_x0000_t75" style="height:449.25pt;width:381pt;" o:ole="t" filled="f" o:preferrelative="t" stroked="f" coordsize="21600,21600">
            <v:path/>
            <v:fill on="f" focussize="0,0"/>
            <v:stroke on="f" joinstyle="miter"/>
            <v:imagedata r:id="rId26" o:title=""/>
            <o:lock v:ext="edit" aspectratio="t"/>
            <w10:wrap type="none"/>
            <w10:anchorlock/>
          </v:shape>
          <o:OLEObject Type="Embed" ProgID="Visio.Drawing.11" ShapeID="_x0000_i1025" DrawAspect="Content" ObjectID="_1468075725" r:id="rId25">
            <o:LockedField>false</o:LockedField>
          </o:OLEObject>
        </w:object>
      </w:r>
    </w:p>
    <w:p w14:paraId="36957354">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图1.2-1  环境影响评价的工作流程</w:t>
      </w:r>
    </w:p>
    <w:p w14:paraId="1E762599">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9" w:name="_Toc201879594"/>
      <w:bookmarkStart w:id="20" w:name="_Toc5859"/>
      <w:r>
        <w:rPr>
          <w:rFonts w:hint="default" w:ascii="Times New Roman" w:hAnsi="Times New Roman" w:eastAsia="宋体" w:cs="Times New Roman"/>
          <w:color w:val="000000" w:themeColor="text1"/>
          <w:u w:val="none" w:color="auto"/>
          <w14:textFill>
            <w14:solidFill>
              <w14:schemeClr w14:val="tx1"/>
            </w14:solidFill>
          </w14:textFill>
        </w:rPr>
        <w:t>1.3 分析判定相关情况</w:t>
      </w:r>
      <w:bookmarkEnd w:id="19"/>
      <w:bookmarkEnd w:id="20"/>
    </w:p>
    <w:p w14:paraId="358D2E62">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1" w:name="_Toc201879595"/>
      <w:bookmarkStart w:id="22" w:name="_Toc19730"/>
      <w:r>
        <w:rPr>
          <w:rFonts w:hint="default" w:ascii="Times New Roman" w:hAnsi="Times New Roman" w:eastAsia="宋体" w:cs="Times New Roman"/>
          <w:color w:val="000000" w:themeColor="text1"/>
          <w:u w:val="none" w:color="auto"/>
          <w14:textFill>
            <w14:solidFill>
              <w14:schemeClr w14:val="tx1"/>
            </w14:solidFill>
          </w14:textFill>
        </w:rPr>
        <w:t>1.3.1 产业政策相符性</w:t>
      </w:r>
      <w:bookmarkEnd w:id="21"/>
      <w:bookmarkEnd w:id="22"/>
    </w:p>
    <w:p w14:paraId="2016285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本项目属于</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C4220 非金属废料和碎屑加工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利用废物（油）炼油加工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行业，为废弃油脂综合利用项目。</w:t>
      </w:r>
      <w:r>
        <w:rPr>
          <w:rFonts w:hint="default" w:ascii="Times New Roman" w:hAnsi="Times New Roman" w:eastAsia="宋体" w:cs="Times New Roman"/>
          <w:color w:val="000000" w:themeColor="text1"/>
          <w:u w:val="none" w:color="auto"/>
          <w14:textFill>
            <w14:solidFill>
              <w14:schemeClr w14:val="tx1"/>
            </w14:solidFill>
          </w14:textFill>
        </w:rPr>
        <w:t>符合《产业结构调整指导目录（20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24</w:t>
      </w:r>
      <w:r>
        <w:rPr>
          <w:rFonts w:hint="default" w:ascii="Times New Roman" w:hAnsi="Times New Roman" w:eastAsia="宋体" w:cs="Times New Roman"/>
          <w:color w:val="000000" w:themeColor="text1"/>
          <w:u w:val="none" w:color="auto"/>
          <w14:textFill>
            <w14:solidFill>
              <w14:schemeClr w14:val="tx1"/>
            </w14:solidFill>
          </w14:textFill>
        </w:rPr>
        <w:t>本）》鼓励类中第四十</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w:t>
      </w:r>
      <w:r>
        <w:rPr>
          <w:rFonts w:hint="default" w:ascii="Times New Roman" w:hAnsi="Times New Roman" w:eastAsia="宋体" w:cs="Times New Roman"/>
          <w:color w:val="000000" w:themeColor="text1"/>
          <w:u w:val="none" w:color="auto"/>
          <w14:textFill>
            <w14:solidFill>
              <w14:schemeClr w14:val="tx1"/>
            </w14:solidFill>
          </w14:textFill>
        </w:rPr>
        <w:t>条</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环境保护与资源节约综合利用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中的第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8条</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废弃物循环利用：废弃油脂等城市典型废弃物循环利用、技术设备开发及应用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的要求，属于鼓励类项目</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项目建设符合国家当前产业政策。同时</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原辅料、产品，以及生产工艺不属于</w:t>
      </w:r>
      <w:r>
        <w:rPr>
          <w:rFonts w:hint="default" w:ascii="Times New Roman" w:hAnsi="Times New Roman" w:eastAsia="宋体" w:cs="Times New Roman"/>
          <w:color w:val="000000" w:themeColor="text1"/>
          <w:u w:val="none" w:color="auto"/>
          <w14:textFill>
            <w14:solidFill>
              <w14:schemeClr w14:val="tx1"/>
            </w14:solidFill>
          </w14:textFill>
        </w:rPr>
        <w:t>《市场准入负面清单（2025年版）》</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中明令禁止的类别，符合</w:t>
      </w:r>
      <w:r>
        <w:rPr>
          <w:rFonts w:hint="default" w:ascii="Times New Roman" w:hAnsi="Times New Roman" w:eastAsia="宋体" w:cs="Times New Roman"/>
          <w:color w:val="000000" w:themeColor="text1"/>
          <w:u w:val="none" w:color="auto"/>
          <w14:textFill>
            <w14:solidFill>
              <w14:schemeClr w14:val="tx1"/>
            </w14:solidFill>
          </w14:textFill>
        </w:rPr>
        <w:t>《市场准入负面清单（2025年版）》相关要求。</w:t>
      </w:r>
    </w:p>
    <w:p w14:paraId="02532F8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综上，本项目符合国家相关产业政策。</w:t>
      </w:r>
    </w:p>
    <w:p w14:paraId="0D15BA8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3" w:name="_Toc204350637"/>
      <w:bookmarkStart w:id="24" w:name="_Toc29877"/>
      <w:bookmarkStart w:id="25" w:name="_Toc32012"/>
      <w:r>
        <w:rPr>
          <w:rFonts w:hint="default" w:ascii="Times New Roman" w:hAnsi="Times New Roman" w:eastAsia="宋体" w:cs="Times New Roman"/>
          <w:color w:val="000000" w:themeColor="text1"/>
          <w:u w:val="none" w:color="auto"/>
          <w14:textFill>
            <w14:solidFill>
              <w14:schemeClr w14:val="tx1"/>
            </w14:solidFill>
          </w14:textFill>
        </w:rPr>
        <w:t>1.3.2 生态环境分区管控符合性</w:t>
      </w:r>
      <w:bookmarkEnd w:id="23"/>
      <w:bookmarkEnd w:id="24"/>
    </w:p>
    <w:p w14:paraId="15A2176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平江高新技术产业园区，其属于《湖南省生态环境分区管控总体管控要求暨省级以上产业园区生态环境准入清单》（2023版）中的重点管控单元，本项目与《湖南省生态环境分区管控总体管控要求暨省级以上产业园区生态环境准入清单》（2023版）相符性分析见下表。</w:t>
      </w:r>
    </w:p>
    <w:p w14:paraId="06697B8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 xml:space="preserve">表1.3-1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与</w:t>
      </w:r>
      <w:r>
        <w:rPr>
          <w:rFonts w:hint="default" w:ascii="Times New Roman" w:hAnsi="Times New Roman" w:eastAsia="宋体" w:cs="Times New Roman"/>
          <w:color w:val="000000" w:themeColor="text1"/>
          <w:u w:val="none" w:color="auto"/>
          <w14:textFill>
            <w14:solidFill>
              <w14:schemeClr w14:val="tx1"/>
            </w14:solidFill>
          </w14:textFill>
        </w:rPr>
        <w:t>《湖南省生态环境分区管控总体管控要求暨省级以上产业园区生态环境准入清单》（2023版）符合性分析</w:t>
      </w:r>
    </w:p>
    <w:tbl>
      <w:tblPr>
        <w:tblStyle w:val="37"/>
        <w:tblW w:w="0" w:type="auto"/>
        <w:tblInd w:w="-12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4961"/>
        <w:gridCol w:w="2363"/>
      </w:tblGrid>
      <w:tr w14:paraId="3229F9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082" w:type="dxa"/>
            <w:vAlign w:val="center"/>
          </w:tcPr>
          <w:p w14:paraId="17B4B6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管控维度</w:t>
            </w:r>
          </w:p>
        </w:tc>
        <w:tc>
          <w:tcPr>
            <w:tcW w:w="4961" w:type="dxa"/>
            <w:vAlign w:val="center"/>
          </w:tcPr>
          <w:p w14:paraId="0ABA9E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管控要求</w:t>
            </w:r>
          </w:p>
        </w:tc>
        <w:tc>
          <w:tcPr>
            <w:tcW w:w="2363" w:type="dxa"/>
            <w:vAlign w:val="center"/>
          </w:tcPr>
          <w:p w14:paraId="346217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判定情况</w:t>
            </w:r>
          </w:p>
        </w:tc>
      </w:tr>
      <w:tr w14:paraId="50CD7A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2" w:type="dxa"/>
            <w:vAlign w:val="center"/>
          </w:tcPr>
          <w:p w14:paraId="0F5D5C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空间布局约束</w:t>
            </w:r>
          </w:p>
        </w:tc>
        <w:tc>
          <w:tcPr>
            <w:tcW w:w="4961" w:type="dxa"/>
            <w:vAlign w:val="center"/>
          </w:tcPr>
          <w:p w14:paraId="0BAB2E73">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（1.1）高新区限制气型及水型污染严重企业入驻。</w:t>
            </w:r>
          </w:p>
          <w:p w14:paraId="4121ACE5">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（1.2）对高新区北部边界处环境敏感区周边设置的工业用地严禁引进噪声污染和大气污染型企业，其内生产性厂房应布置在远离环境敏感区一侧并做好隔离防护措施。</w:t>
            </w:r>
          </w:p>
        </w:tc>
        <w:tc>
          <w:tcPr>
            <w:tcW w:w="2363" w:type="dxa"/>
            <w:vAlign w:val="center"/>
          </w:tcPr>
          <w:p w14:paraId="18B844B9">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本项目生产废水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经隔油池+A/O处理后</w:t>
            </w:r>
            <w:r>
              <w:rPr>
                <w:rFonts w:hint="default" w:ascii="Times New Roman" w:hAnsi="Times New Roman" w:eastAsia="宋体" w:cs="Times New Roman"/>
                <w:color w:val="000000" w:themeColor="text1"/>
                <w:u w:val="none" w:color="auto"/>
                <w14:textFill>
                  <w14:solidFill>
                    <w14:schemeClr w14:val="tx1"/>
                  </w14:solidFill>
                </w14:textFill>
              </w:rPr>
              <w:t>依托</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生活污水依托平江高新区污水处理厂进行处理，废水对周边环境影响很小；</w:t>
            </w:r>
          </w:p>
          <w:p w14:paraId="3C7665F1">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eastAsia" w:eastAsia="宋体" w:cs="Times New Roman"/>
                <w:color w:val="000000" w:themeColor="text1"/>
                <w:u w:val="none" w:color="auto"/>
                <w:lang w:val="en-US" w:eastAsia="zh-CN"/>
                <w14:textFill>
                  <w14:solidFill>
                    <w14:schemeClr w14:val="tx1"/>
                  </w14:solidFill>
                </w14:textFill>
              </w:rPr>
              <w:t>本项目不涉及工业炉窑、锅炉，不属于大气污染严重行业，生产过程仅产生少量恶臭及挥发性有机气体，废气产生量很小，废气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经喷淋+过滤棉+二级活性炭处理后满足达标排放的要求，</w:t>
            </w:r>
            <w:r>
              <w:rPr>
                <w:rFonts w:hint="default" w:ascii="Times New Roman" w:hAnsi="Times New Roman" w:eastAsia="宋体" w:cs="Times New Roman"/>
                <w:color w:val="000000" w:themeColor="text1"/>
                <w:u w:val="none" w:color="auto"/>
                <w14:textFill>
                  <w14:solidFill>
                    <w14:schemeClr w14:val="tx1"/>
                  </w14:solidFill>
                </w14:textFill>
              </w:rPr>
              <w:t>对周边环境影响</w:t>
            </w:r>
            <w:r>
              <w:rPr>
                <w:rFonts w:hint="eastAsia" w:eastAsia="宋体" w:cs="Times New Roman"/>
                <w:color w:val="000000" w:themeColor="text1"/>
                <w:u w:val="none" w:color="auto"/>
                <w:lang w:val="en-US" w:eastAsia="zh-CN"/>
                <w14:textFill>
                  <w14:solidFill>
                    <w14:schemeClr w14:val="tx1"/>
                  </w14:solidFill>
                </w14:textFill>
              </w:rPr>
              <w:t>很小</w:t>
            </w:r>
            <w:r>
              <w:rPr>
                <w:rFonts w:hint="default" w:ascii="Times New Roman" w:hAnsi="Times New Roman" w:eastAsia="宋体" w:cs="Times New Roman"/>
                <w:color w:val="000000" w:themeColor="text1"/>
                <w:u w:val="none" w:color="auto"/>
                <w14:textFill>
                  <w14:solidFill>
                    <w14:schemeClr w14:val="tx1"/>
                  </w14:solidFill>
                </w14:textFill>
              </w:rPr>
              <w:t>。</w:t>
            </w:r>
          </w:p>
          <w:p w14:paraId="43F2B318">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3）项目不属于噪声污染和大气污染严重的企业，项目所有生产设备均在密闭厂房内运行，废气、废水处理设施布置于厂房南侧，远离环境敏感区。</w:t>
            </w:r>
          </w:p>
        </w:tc>
      </w:tr>
      <w:tr w14:paraId="622497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2" w:type="dxa"/>
            <w:vAlign w:val="center"/>
          </w:tcPr>
          <w:p w14:paraId="75EB32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污染物排放管控</w:t>
            </w:r>
          </w:p>
        </w:tc>
        <w:tc>
          <w:tcPr>
            <w:tcW w:w="4961" w:type="dxa"/>
            <w:vAlign w:val="center"/>
          </w:tcPr>
          <w:p w14:paraId="5AFF2F67">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（2.1）废水：统筹高新区雨污管网规划，加快园区污水处理站建设，保证各区块污水达标排放。区块四、区块五加快区域排水管网和配套污水处理厂的建设。</w:t>
            </w:r>
          </w:p>
          <w:p w14:paraId="0ACA56B7">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（2.1.1）区块一、区块二、区块三污水经高新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处理达标后由凌公桥河排污口经凌公桥河排入汨罗江。（2.1.2）区块四和区块五在管网未建设完善之前，区块四污水依托现有企业污水处理设施处理后达标排放，其中生活污水经厂区地埋式一体化处理、生产废水经厂区工艺废水处理站处理，处理后的废水达标后经总排口由专用管道排入汨罗江；区块五产生的污水依托现有企业污水处理设施处理后达标排放，其中生活污水经化类池处理后排入泪罗江，生产质水经废水处理设施处理后回用于厂区不外排。</w:t>
            </w:r>
          </w:p>
          <w:p w14:paraId="0F6D6B39">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（2.1.3）加强对高新区各企业的排水监管，对其中涉及一类污染物废水排放的企业严格执行车间排放口达标控制，对涉及含油废水产生的企业经预处理后尽量回用。</w:t>
            </w:r>
          </w:p>
          <w:p w14:paraId="73B71AC8">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（2.1.4）雨水经雨水管网收集后外排进入汨罗江或周边农灌沟渠。</w:t>
            </w:r>
          </w:p>
          <w:p w14:paraId="528B69E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2.2）废气：加强企业管理，对各企业工艺废气产出的生产节点，应配置废气收集与净化装置，确保达标排放；加强生产工艺与技术改进，采取有效措施，减少入园企业工艺废气的无组织排放。狠抓重点行业大气污染减排。</w:t>
            </w:r>
          </w:p>
          <w:p w14:paraId="4969ED6D">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（2.3）固体废弃物</w:t>
            </w:r>
          </w:p>
          <w:p w14:paraId="7FC63EC4">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（2.3.1）做好工业园工业固体废物和生活垃圾的分类收集、转运、综合利用和无害化处理，建议统一的固废收集、贮存、运输。综合利用和安全处置的运营管理体系。</w:t>
            </w:r>
          </w:p>
          <w:p w14:paraId="7362F30A">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（2.3.2）推行清洁生产，减少固体废物产生量；加强固体废物的资源化进程，提高固体废物的综合利用率。</w:t>
            </w:r>
          </w:p>
          <w:p w14:paraId="3612C0FE">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（2.3.3）规范固体废物处理措施，对工业企业产生的固体废物特别是危险固废应按国家有关规定综合利用或妥善处置，严防二次污染。</w:t>
            </w:r>
          </w:p>
          <w:p w14:paraId="08829B95">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highlight w:val="yellow"/>
                <w:u w:val="none" w:color="auto"/>
                <w14:textFill>
                  <w14:solidFill>
                    <w14:schemeClr w14:val="tx1"/>
                  </w14:solidFill>
                </w14:textFill>
              </w:rPr>
              <w:t>高新区内相关行业污染物排放按照满足《湖南省生态环中境厅关于执行污染物特别排放限值（第一批）的公告》、《湖南省生态环境厅关于执行污染物特别排放限值（第二批）的公告》中的要求</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2363" w:type="dxa"/>
            <w:vAlign w:val="center"/>
          </w:tcPr>
          <w:p w14:paraId="1597454D">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1、本项目位于伍市片区，生产废水经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预</w:t>
            </w:r>
            <w:r>
              <w:rPr>
                <w:rFonts w:hint="default" w:ascii="Times New Roman" w:hAnsi="Times New Roman" w:eastAsia="宋体" w:cs="Times New Roman"/>
                <w:color w:val="000000" w:themeColor="text1"/>
                <w:u w:val="none" w:color="auto"/>
                <w14:textFill>
                  <w14:solidFill>
                    <w14:schemeClr w14:val="tx1"/>
                  </w14:solidFill>
                </w14:textFill>
              </w:rPr>
              <w:t>处理后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满足</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纳污标准，</w:t>
            </w:r>
            <w:r>
              <w:rPr>
                <w:rFonts w:hint="default" w:ascii="Times New Roman" w:hAnsi="Times New Roman" w:eastAsia="宋体" w:cs="Times New Roman"/>
                <w:color w:val="000000" w:themeColor="text1"/>
                <w:u w:val="none" w:color="auto"/>
                <w14:textFill>
                  <w14:solidFill>
                    <w14:schemeClr w14:val="tx1"/>
                  </w14:solidFill>
                </w14:textFill>
              </w:rPr>
              <w:t>依托平江高新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进行处置，生活污水经化粪池处理后依托</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进行处置。</w:t>
            </w:r>
          </w:p>
          <w:p w14:paraId="27B36ED5">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eastAsia" w:eastAsia="宋体" w:cs="Times New Roman"/>
                <w:color w:val="000000" w:themeColor="text1"/>
                <w:u w:val="none" w:color="auto"/>
                <w:lang w:val="en-US" w:eastAsia="zh-CN"/>
                <w14:textFill>
                  <w14:solidFill>
                    <w14:schemeClr w14:val="tx1"/>
                  </w14:solidFill>
                </w14:textFill>
              </w:rPr>
              <w:t>本项目废气产生量很小，</w:t>
            </w:r>
            <w:r>
              <w:rPr>
                <w:rFonts w:hint="default" w:ascii="Times New Roman" w:hAnsi="Times New Roman" w:eastAsia="宋体" w:cs="Times New Roman"/>
                <w:color w:val="000000" w:themeColor="text1"/>
                <w:u w:val="none" w:color="auto"/>
                <w14:textFill>
                  <w14:solidFill>
                    <w14:schemeClr w14:val="tx1"/>
                  </w14:solidFill>
                </w14:textFill>
              </w:rPr>
              <w:t>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经喷淋+过滤棉+二级活性炭处理后满足达标排放的要求，</w:t>
            </w:r>
            <w:r>
              <w:rPr>
                <w:rFonts w:hint="default" w:ascii="Times New Roman" w:hAnsi="Times New Roman" w:eastAsia="宋体" w:cs="Times New Roman"/>
                <w:color w:val="000000" w:themeColor="text1"/>
                <w:u w:val="none" w:color="auto"/>
                <w14:textFill>
                  <w14:solidFill>
                    <w14:schemeClr w14:val="tx1"/>
                  </w14:solidFill>
                </w14:textFill>
              </w:rPr>
              <w:t>对周边环境影响</w:t>
            </w:r>
            <w:r>
              <w:rPr>
                <w:rFonts w:hint="eastAsia" w:eastAsia="宋体" w:cs="Times New Roman"/>
                <w:color w:val="000000" w:themeColor="text1"/>
                <w:u w:val="none" w:color="auto"/>
                <w:lang w:val="en-US" w:eastAsia="zh-CN"/>
                <w14:textFill>
                  <w14:solidFill>
                    <w14:schemeClr w14:val="tx1"/>
                  </w14:solidFill>
                </w14:textFill>
              </w:rPr>
              <w:t>很小</w:t>
            </w:r>
            <w:r>
              <w:rPr>
                <w:rFonts w:hint="default" w:ascii="Times New Roman" w:hAnsi="Times New Roman" w:eastAsia="宋体" w:cs="Times New Roman"/>
                <w:color w:val="000000" w:themeColor="text1"/>
                <w:u w:val="none" w:color="auto"/>
                <w14:textFill>
                  <w14:solidFill>
                    <w14:schemeClr w14:val="tx1"/>
                  </w14:solidFill>
                </w14:textFill>
              </w:rPr>
              <w:t>。</w:t>
            </w:r>
          </w:p>
          <w:p w14:paraId="29AFA5CA">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、本项目一般固废经收集后委托有资质企业综合利用，危险废物经收集后委托有资质单位进行处置。</w:t>
            </w:r>
          </w:p>
          <w:p w14:paraId="52780A01">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、本项目污染物排放满足相关限制。</w:t>
            </w:r>
          </w:p>
        </w:tc>
      </w:tr>
      <w:tr w14:paraId="2A4FCD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2" w:type="dxa"/>
            <w:vAlign w:val="center"/>
          </w:tcPr>
          <w:p w14:paraId="30C609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环境风险防控</w:t>
            </w:r>
          </w:p>
        </w:tc>
        <w:tc>
          <w:tcPr>
            <w:tcW w:w="4961" w:type="dxa"/>
            <w:vAlign w:val="center"/>
          </w:tcPr>
          <w:p w14:paraId="386F13E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（3.1）高新区各区块应建立健全环境风险防控体系，严格落实平江高新技术产业园区最新的突发环境事件应急预案的相关要求，严防环境风险事故发生，提高应急处置能力。</w:t>
            </w:r>
          </w:p>
          <w:p w14:paraId="185AA89C">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3.2）高新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p w14:paraId="6903248A">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（3.3）建设用地土壤风险防控</w:t>
            </w:r>
          </w:p>
          <w:p w14:paraId="389DA0FE">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（3.3.1）有效管控建设用地土壤污染风险。开展重点行业企业用地调查和典型行业周边土壤环境调查，进一步摸清污染地块底数和污染成因。</w:t>
            </w:r>
          </w:p>
          <w:p w14:paraId="12360878">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（3.3.2）对纳入建设用地土壤污染风险管控和修复名录内的地块，移出名录前，不得核发建设工程规划许可证。对列入优先监管清单的地块，开展土壤污染调查和风险评估，按要求采取风险防控措施。</w:t>
            </w:r>
          </w:p>
        </w:tc>
        <w:tc>
          <w:tcPr>
            <w:tcW w:w="2363" w:type="dxa"/>
            <w:vAlign w:val="center"/>
          </w:tcPr>
          <w:p w14:paraId="3DEF8F0D">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本评价对</w:t>
            </w:r>
            <w:r>
              <w:rPr>
                <w:rFonts w:hint="default" w:ascii="Times New Roman" w:hAnsi="Times New Roman" w:eastAsia="宋体" w:cs="Times New Roman"/>
                <w:color w:val="000000" w:themeColor="text1"/>
                <w:u w:val="none" w:color="auto"/>
                <w14:textFill>
                  <w14:solidFill>
                    <w14:schemeClr w14:val="tx1"/>
                  </w14:solidFill>
                </w14:textFill>
              </w:rPr>
              <w:t>建设单位编制突发环境事件应急预案</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提出了要求。</w:t>
            </w:r>
          </w:p>
        </w:tc>
      </w:tr>
      <w:tr w14:paraId="0181A1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2" w:type="dxa"/>
            <w:vAlign w:val="center"/>
          </w:tcPr>
          <w:p w14:paraId="527A31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资源开发效率要求</w:t>
            </w:r>
          </w:p>
        </w:tc>
        <w:tc>
          <w:tcPr>
            <w:tcW w:w="4961" w:type="dxa"/>
            <w:vAlign w:val="center"/>
          </w:tcPr>
          <w:p w14:paraId="34D1B94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4.1）能源：加快推进清洁能源替代利用。实施能源消耗总量和强度双控行动，推动工业园区能源系统整体优化和污染综合整治，鼓励工业企业、高新区优先利用可再生能源。2025年区域年综合能耗消费量预测当量值围63300吨标煤，区域单位GDP能耗预测值为0.0283吨标煤/万元，区域</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时期能源消耗量控制在25400顿标煤。</w:t>
            </w:r>
          </w:p>
          <w:p w14:paraId="6CBCDDE8">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（4.2）水资源</w:t>
            </w:r>
          </w:p>
          <w:p w14:paraId="249A11AE">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（4.2.1）强化生产用水管理，大力推广高效冷却、循环用水等节水工艺和技术，支持企业开展节水技术改造。</w:t>
            </w:r>
          </w:p>
          <w:p w14:paraId="45A5188D">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（4.2.2）积极推行水循环梯级利用，推动现有企业和高新区开展绿色高质量转型升级和循环化改造，促进企业间串联用水、分质用水，一水多用和循环利用。</w:t>
            </w:r>
          </w:p>
        </w:tc>
        <w:tc>
          <w:tcPr>
            <w:tcW w:w="2363" w:type="dxa"/>
            <w:vAlign w:val="center"/>
          </w:tcPr>
          <w:p w14:paraId="69ABB8FB">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1、本项目能源以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电能和热能</w:t>
            </w:r>
            <w:r>
              <w:rPr>
                <w:rFonts w:hint="eastAsia" w:eastAsia="宋体" w:cs="Times New Roman"/>
                <w:color w:val="000000" w:themeColor="text1"/>
                <w:u w:val="none" w:color="auto"/>
                <w:lang w:val="en-US" w:eastAsia="zh-CN"/>
                <w14:textFill>
                  <w14:solidFill>
                    <w14:schemeClr w14:val="tx1"/>
                  </w14:solidFill>
                </w14:textFill>
              </w:rPr>
              <w:t>（蒸汽）</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为主，热能</w:t>
            </w:r>
            <w:r>
              <w:rPr>
                <w:rFonts w:hint="eastAsia" w:eastAsia="宋体" w:cs="Times New Roman"/>
                <w:color w:val="000000" w:themeColor="text1"/>
                <w:u w:val="none" w:color="auto"/>
                <w:lang w:val="en-US" w:eastAsia="zh-CN"/>
                <w14:textFill>
                  <w14:solidFill>
                    <w14:schemeClr w14:val="tx1"/>
                  </w14:solidFill>
                </w14:textFill>
              </w:rPr>
              <w:t>（蒸汽）</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依托园区供热系统，项目不建设锅炉。</w:t>
            </w:r>
          </w:p>
          <w:p w14:paraId="7BE45444">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生产环节用水主要是地面拖洗、原料油收运专用车及设备清洗，用水量小</w:t>
            </w:r>
            <w:r>
              <w:rPr>
                <w:rFonts w:hint="default" w:ascii="Times New Roman" w:hAnsi="Times New Roman" w:eastAsia="宋体" w:cs="Times New Roman"/>
                <w:color w:val="000000" w:themeColor="text1"/>
                <w:u w:val="none" w:color="auto"/>
                <w14:textFill>
                  <w14:solidFill>
                    <w14:schemeClr w14:val="tx1"/>
                  </w14:solidFill>
                </w14:textFill>
              </w:rPr>
              <w:t>。</w:t>
            </w:r>
          </w:p>
        </w:tc>
      </w:tr>
    </w:tbl>
    <w:p w14:paraId="6528FAEE">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6" w:name="_Toc204350638"/>
      <w:bookmarkStart w:id="27" w:name="_Toc301"/>
      <w:r>
        <w:rPr>
          <w:rFonts w:hint="default" w:ascii="Times New Roman" w:hAnsi="Times New Roman" w:eastAsia="宋体" w:cs="Times New Roman"/>
          <w:color w:val="000000" w:themeColor="text1"/>
          <w:u w:val="none" w:color="auto"/>
          <w14:textFill>
            <w14:solidFill>
              <w14:schemeClr w14:val="tx1"/>
            </w14:solidFill>
          </w14:textFill>
        </w:rPr>
        <w:t>1.3.3 与规划的相容性分析</w:t>
      </w:r>
      <w:bookmarkEnd w:id="26"/>
      <w:bookmarkEnd w:id="27"/>
    </w:p>
    <w:p w14:paraId="702F64E9">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1.3.3.1 与《平江县国土空间总体规划（2021-2035年）》相符性分析</w:t>
      </w:r>
    </w:p>
    <w:p w14:paraId="653F2BE3">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color w:val="000000" w:themeColor="text1"/>
          <w:u w:val="none" w:color="auto"/>
          <w14:textFill>
            <w14:solidFill>
              <w14:schemeClr w14:val="tx1"/>
            </w14:solidFill>
          </w14:textFill>
        </w:rPr>
      </w:pPr>
      <w:r>
        <w:rPr>
          <w:rFonts w:hint="default" w:ascii="Times New Roman" w:hAnsi="Times New Roman" w:eastAsia="宋体" w:cs="Times New Roman"/>
          <w:b/>
          <w:color w:val="000000" w:themeColor="text1"/>
          <w:u w:val="none" w:color="auto"/>
          <w14:textFill>
            <w14:solidFill>
              <w14:schemeClr w14:val="tx1"/>
            </w14:solidFill>
          </w14:textFill>
        </w:rPr>
        <w:t>（1）规划内容</w:t>
      </w:r>
    </w:p>
    <w:p w14:paraId="43839D6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坚持把工业高质量发展摆在突出位置，着力优布局、强链条、建集群，依托</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一园三区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着力推进产业基础高级化，产业链现代化，培育引导产业集聚集群发展，平江高新技术产业园区规划形成</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一园三区四片</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的总体格局。</w:t>
      </w:r>
    </w:p>
    <w:p w14:paraId="2B3933A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一园</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——指平江高新技术产业园，是整个产业园的核心，同时也是科技孵化和管理服务中心。</w:t>
      </w:r>
    </w:p>
    <w:p w14:paraId="4C7F8E5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——即伍市工业区、安定工业区和余梅工业区。</w:t>
      </w:r>
    </w:p>
    <w:p w14:paraId="5483B4E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四片</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——即伍市工业片区、安定工业片区、东部工业片区（中心城区）和余梅工业片区。</w:t>
      </w:r>
    </w:p>
    <w:p w14:paraId="5BC00F4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伍市工业区发展指引：</w:t>
      </w:r>
    </w:p>
    <w:p w14:paraId="72181A2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——发展定位。将伍市工业园建设为全国知名的休闲食品、云母制品、石膏装饰建材的园区。</w:t>
      </w:r>
    </w:p>
    <w:p w14:paraId="21B0E6F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——功能布局。伍市工业园规划形成</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一心、两轴、五组团</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的空间结构。</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一心</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指园区管理服务中心；</w:t>
      </w:r>
    </w:p>
    <w:p w14:paraId="1A99A1F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五组团</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指将重点建设的五个产业组团，具体包括：中心新材料组团、北部绿色食品组团、西部装备制造业组团、东部电子科技组团和民爆组团。</w:t>
      </w:r>
    </w:p>
    <w:p w14:paraId="12E773D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——用地规模。预计到规划末期，伍市工业区用地总面积为746.98公顷。其中工业用地占比75%。</w:t>
      </w:r>
    </w:p>
    <w:p w14:paraId="5453192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规划分区。对伍市工业园区进一步细分，形成城镇集中建设区、城镇弹性发展区和特别用途区3类二级功能分区。其中城镇集中建设区再细分为居住生活区、综合服务区、商业商务区、工业发展区、物流仓储区、绿地休闲区、交通枢纽区及战略预留区等8类分区。通过二级功能分区的边界划定和用途管控，形成对城镇建设用地定性定量相结合的管控措施。</w:t>
      </w:r>
    </w:p>
    <w:p w14:paraId="12F7D8AA">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color w:val="000000" w:themeColor="text1"/>
          <w:u w:val="none" w:color="auto"/>
          <w14:textFill>
            <w14:solidFill>
              <w14:schemeClr w14:val="tx1"/>
            </w14:solidFill>
          </w14:textFill>
        </w:rPr>
      </w:pPr>
      <w:r>
        <w:rPr>
          <w:rFonts w:hint="default" w:ascii="Times New Roman" w:hAnsi="Times New Roman" w:eastAsia="宋体" w:cs="Times New Roman"/>
          <w:b/>
          <w:color w:val="000000" w:themeColor="text1"/>
          <w:u w:val="none" w:color="auto"/>
          <w14:textFill>
            <w14:solidFill>
              <w14:schemeClr w14:val="tx1"/>
            </w14:solidFill>
          </w14:textFill>
        </w:rPr>
        <w:t>（2）相符性分析</w:t>
      </w:r>
    </w:p>
    <w:p w14:paraId="493FA4C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本项目位于平江高新技术产业园伍市片区范围内，用地类型属于工业用地</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伍市工业园</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产业定位为</w:t>
      </w:r>
      <w:r>
        <w:rPr>
          <w:rFonts w:hint="default" w:ascii="Times New Roman" w:hAnsi="Times New Roman" w:eastAsia="宋体" w:cs="Times New Roman"/>
          <w:color w:val="000000" w:themeColor="text1"/>
          <w:u w:val="none" w:color="auto"/>
          <w14:textFill>
            <w14:solidFill>
              <w14:schemeClr w14:val="tx1"/>
            </w14:solidFill>
          </w14:textFill>
        </w:rPr>
        <w:t>休闲食品、云母制品、石膏装饰建材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等，项目以食品企业废弃油脂为原料生产工业级混合油，解决园区食品加工企业废弃油脂处置问题，完善园区废弃资源综合利用的能力。而且，</w:t>
      </w:r>
      <w:r>
        <w:rPr>
          <w:rFonts w:hint="default" w:ascii="Times New Roman" w:hAnsi="Times New Roman" w:eastAsia="宋体" w:cs="Times New Roman"/>
          <w:color w:val="000000" w:themeColor="text1"/>
          <w:u w:val="none" w:color="auto"/>
          <w14:textFill>
            <w14:solidFill>
              <w14:schemeClr w14:val="tx1"/>
            </w14:solidFill>
          </w14:textFill>
        </w:rPr>
        <w:t>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建成</w:t>
      </w:r>
      <w:r>
        <w:rPr>
          <w:rFonts w:hint="default" w:ascii="Times New Roman" w:hAnsi="Times New Roman" w:eastAsia="宋体" w:cs="Times New Roman"/>
          <w:color w:val="000000" w:themeColor="text1"/>
          <w:u w:val="none" w:color="auto"/>
          <w14:textFill>
            <w14:solidFill>
              <w14:schemeClr w14:val="tx1"/>
            </w14:solidFill>
          </w14:textFill>
        </w:rPr>
        <w:t>后对周边环境影响可控，满足《平江县国土空间总体规划（2021-2035年）》相关要求。</w:t>
      </w:r>
    </w:p>
    <w:p w14:paraId="29A1813F">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1.3.3.2 与《平江高新技术产业园区总体规划环境影响报告书》符合性分析</w:t>
      </w:r>
    </w:p>
    <w:p w14:paraId="33E819A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平江高新技术产业园区于2024年7月16日取得《关于&lt;平江高新技术产业园区总体规划环境影响报告书&gt;审查意见的函》（湘环评函</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37号），本项目位于平江高新区伍市片区，项目与园区规划环评的相关要求见下表所示。</w:t>
      </w:r>
    </w:p>
    <w:p w14:paraId="6A2C748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footerReference r:id="rId6" w:type="default"/>
          <w:pgSz w:w="11906" w:h="16838"/>
          <w:pgMar w:top="1440" w:right="1797" w:bottom="1440" w:left="1797" w:header="851" w:footer="992" w:gutter="0"/>
          <w:pgBorders>
            <w:top w:val="none" w:sz="0" w:space="0"/>
            <w:left w:val="none" w:sz="0" w:space="0"/>
            <w:bottom w:val="none" w:sz="0" w:space="0"/>
            <w:right w:val="none" w:sz="0" w:space="0"/>
          </w:pgBorders>
          <w:pgNumType w:start="1"/>
          <w:cols w:space="425" w:num="1"/>
          <w:docGrid w:linePitch="326" w:charSpace="0"/>
        </w:sectPr>
      </w:pPr>
    </w:p>
    <w:p w14:paraId="46804C7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表1.3-2  平江高新区产业生态环境准入清单</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3" w:type="dxa"/>
          <w:bottom w:w="0" w:type="dxa"/>
          <w:right w:w="23" w:type="dxa"/>
        </w:tblCellMar>
      </w:tblPr>
      <w:tblGrid>
        <w:gridCol w:w="757"/>
        <w:gridCol w:w="827"/>
        <w:gridCol w:w="6661"/>
        <w:gridCol w:w="5759"/>
      </w:tblGrid>
      <w:tr w14:paraId="47BAD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54" w:hRule="atLeast"/>
        </w:trPr>
        <w:tc>
          <w:tcPr>
            <w:tcW w:w="270" w:type="pct"/>
            <w:shd w:val="clear" w:color="auto" w:fill="auto"/>
            <w:vAlign w:val="center"/>
          </w:tcPr>
          <w:p w14:paraId="43026C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片区</w:t>
            </w:r>
          </w:p>
        </w:tc>
        <w:tc>
          <w:tcPr>
            <w:tcW w:w="295" w:type="pct"/>
            <w:shd w:val="clear" w:color="auto" w:fill="auto"/>
            <w:vAlign w:val="center"/>
          </w:tcPr>
          <w:p w14:paraId="4EFA6A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类别</w:t>
            </w:r>
          </w:p>
        </w:tc>
        <w:tc>
          <w:tcPr>
            <w:tcW w:w="2377" w:type="pct"/>
            <w:shd w:val="clear" w:color="auto" w:fill="auto"/>
            <w:vAlign w:val="center"/>
          </w:tcPr>
          <w:p w14:paraId="77C831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产业生态环境准入清单</w:t>
            </w:r>
          </w:p>
        </w:tc>
        <w:tc>
          <w:tcPr>
            <w:tcW w:w="2055" w:type="pct"/>
            <w:vAlign w:val="center"/>
          </w:tcPr>
          <w:p w14:paraId="562AEC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相符性</w:t>
            </w:r>
          </w:p>
        </w:tc>
      </w:tr>
      <w:tr w14:paraId="58F3E4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54" w:hRule="atLeast"/>
        </w:trPr>
        <w:tc>
          <w:tcPr>
            <w:tcW w:w="270" w:type="pct"/>
            <w:vMerge w:val="restart"/>
            <w:shd w:val="clear" w:color="auto" w:fill="auto"/>
            <w:vAlign w:val="center"/>
          </w:tcPr>
          <w:p w14:paraId="6604CE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w:t>
            </w:r>
          </w:p>
        </w:tc>
        <w:tc>
          <w:tcPr>
            <w:tcW w:w="295" w:type="pct"/>
            <w:shd w:val="clear" w:color="auto" w:fill="auto"/>
            <w:vAlign w:val="center"/>
          </w:tcPr>
          <w:p w14:paraId="616A6B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产业定位</w:t>
            </w:r>
          </w:p>
        </w:tc>
        <w:tc>
          <w:tcPr>
            <w:tcW w:w="2377" w:type="pct"/>
            <w:shd w:val="clear" w:color="auto" w:fill="auto"/>
            <w:vAlign w:val="center"/>
          </w:tcPr>
          <w:p w14:paraId="4A98172C">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主要发展食品加工、新材料、装备制造、电子信息、民爆产业产业。</w:t>
            </w:r>
          </w:p>
        </w:tc>
        <w:tc>
          <w:tcPr>
            <w:tcW w:w="2055" w:type="pct"/>
            <w:vMerge w:val="restart"/>
            <w:vAlign w:val="center"/>
          </w:tcPr>
          <w:p w14:paraId="47BDDEF5">
            <w:pPr>
              <w:pStyle w:val="68"/>
              <w:keepNext w:val="0"/>
              <w:keepLines w:val="0"/>
              <w:pageBreakBefore w:val="0"/>
              <w:widowControl w:val="0"/>
              <w:numPr>
                <w:ilvl w:val="0"/>
                <w:numId w:val="0"/>
              </w:numPr>
              <w:kinsoku/>
              <w:wordWrap/>
              <w:overflowPunct/>
              <w:topLinePunct w:val="0"/>
              <w:bidi w:val="0"/>
              <w:jc w:val="both"/>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本项目属于</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C4220 非金属废料和碎屑加工</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利用废物（油）炼油加工</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行业，为废弃油脂综合利用项目。</w:t>
            </w:r>
            <w:r>
              <w:rPr>
                <w:rFonts w:hint="default" w:ascii="Times New Roman" w:hAnsi="Times New Roman" w:eastAsia="宋体" w:cs="Times New Roman"/>
                <w:color w:val="000000" w:themeColor="text1"/>
                <w:u w:val="none" w:color="auto"/>
                <w14:textFill>
                  <w14:solidFill>
                    <w14:schemeClr w14:val="tx1"/>
                  </w14:solidFill>
                </w14:textFill>
              </w:rPr>
              <w:t>符合《产业结构调整指导目录（20</w:t>
            </w:r>
            <w:r>
              <w:rPr>
                <w:rFonts w:hint="eastAsia" w:eastAsia="宋体" w:cs="Times New Roman"/>
                <w:color w:val="000000" w:themeColor="text1"/>
                <w:u w:val="none" w:color="auto"/>
                <w:lang w:val="en-US" w:eastAsia="zh-CN"/>
                <w14:textFill>
                  <w14:solidFill>
                    <w14:schemeClr w14:val="tx1"/>
                  </w14:solidFill>
                </w14:textFill>
              </w:rPr>
              <w:t>24</w:t>
            </w:r>
            <w:r>
              <w:rPr>
                <w:rFonts w:hint="default" w:ascii="Times New Roman" w:hAnsi="Times New Roman" w:eastAsia="宋体" w:cs="Times New Roman"/>
                <w:color w:val="000000" w:themeColor="text1"/>
                <w:u w:val="none" w:color="auto"/>
                <w14:textFill>
                  <w14:solidFill>
                    <w14:schemeClr w14:val="tx1"/>
                  </w14:solidFill>
                </w14:textFill>
              </w:rPr>
              <w:t>本）》鼓励类中第四十</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w:t>
            </w:r>
            <w:r>
              <w:rPr>
                <w:rFonts w:hint="default" w:ascii="Times New Roman" w:hAnsi="Times New Roman" w:eastAsia="宋体" w:cs="Times New Roman"/>
                <w:color w:val="000000" w:themeColor="text1"/>
                <w:u w:val="none" w:color="auto"/>
                <w14:textFill>
                  <w14:solidFill>
                    <w14:schemeClr w14:val="tx1"/>
                  </w14:solidFill>
                </w14:textFill>
              </w:rPr>
              <w:t>条</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环境保护与资源节约综合利用</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中的第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8条</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废弃物循环利用：废弃油脂等城市典型废弃物循环利用、技术设备开发及应用</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的要求，属于鼓励类项目</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59B0ADA4">
            <w:pPr>
              <w:pStyle w:val="68"/>
              <w:keepNext w:val="0"/>
              <w:keepLines w:val="0"/>
              <w:pageBreakBefore w:val="0"/>
              <w:widowControl w:val="0"/>
              <w:numPr>
                <w:ilvl w:val="0"/>
                <w:numId w:val="0"/>
              </w:numPr>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本项目以食品企业废弃油脂为原料生产工业级混合油，解决园区食品加工企业废弃油脂处置问题，完善园区废弃资源综合利用的能力。</w:t>
            </w:r>
          </w:p>
          <w:p w14:paraId="14364D5B">
            <w:pPr>
              <w:pStyle w:val="68"/>
              <w:keepNext w:val="0"/>
              <w:keepLines w:val="0"/>
              <w:pageBreakBefore w:val="0"/>
              <w:widowControl w:val="0"/>
              <w:numPr>
                <w:ilvl w:val="0"/>
                <w:numId w:val="0"/>
              </w:numPr>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本项目生产废水经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预</w:t>
            </w:r>
            <w:r>
              <w:rPr>
                <w:rFonts w:hint="default" w:ascii="Times New Roman" w:hAnsi="Times New Roman" w:eastAsia="宋体" w:cs="Times New Roman"/>
                <w:color w:val="000000" w:themeColor="text1"/>
                <w:u w:val="none" w:color="auto"/>
                <w14:textFill>
                  <w14:solidFill>
                    <w14:schemeClr w14:val="tx1"/>
                  </w14:solidFill>
                </w14:textFill>
              </w:rPr>
              <w:t>处理后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满足</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纳污标准，</w:t>
            </w:r>
            <w:r>
              <w:rPr>
                <w:rFonts w:hint="default" w:ascii="Times New Roman" w:hAnsi="Times New Roman" w:eastAsia="宋体" w:cs="Times New Roman"/>
                <w:color w:val="000000" w:themeColor="text1"/>
                <w:u w:val="none" w:color="auto"/>
                <w14:textFill>
                  <w14:solidFill>
                    <w14:schemeClr w14:val="tx1"/>
                  </w14:solidFill>
                </w14:textFill>
              </w:rPr>
              <w:t>依托平江高新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进行处置；本项目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不属于</w:t>
            </w:r>
            <w:r>
              <w:rPr>
                <w:rFonts w:hint="default" w:ascii="Times New Roman" w:hAnsi="Times New Roman" w:eastAsia="宋体" w:cs="Times New Roman"/>
                <w:color w:val="000000" w:themeColor="text1"/>
                <w:u w:val="none" w:color="auto"/>
                <w14:textFill>
                  <w14:solidFill>
                    <w14:schemeClr w14:val="tx1"/>
                  </w14:solidFill>
                </w14:textFill>
              </w:rPr>
              <w:t>味精制造、酱油</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制造行业，不属于印染、造纸、集中电镀、化学药品原料药制造项目，不涉</w:t>
            </w:r>
            <w:r>
              <w:rPr>
                <w:rFonts w:hint="default" w:ascii="Times New Roman" w:hAnsi="Times New Roman" w:eastAsia="宋体" w:cs="Times New Roman"/>
                <w:color w:val="000000" w:themeColor="text1"/>
                <w:u w:val="none" w:color="auto"/>
                <w14:textFill>
                  <w14:solidFill>
                    <w14:schemeClr w14:val="tx1"/>
                  </w14:solidFill>
                </w14:textFill>
              </w:rPr>
              <w:t>重金属排放，符合相关要求。</w:t>
            </w:r>
          </w:p>
          <w:p w14:paraId="790F3F14">
            <w:pPr>
              <w:pStyle w:val="68"/>
              <w:keepNext w:val="0"/>
              <w:keepLines w:val="0"/>
              <w:pageBreakBefore w:val="0"/>
              <w:widowControl w:val="0"/>
              <w:numPr>
                <w:ilvl w:val="0"/>
                <w:numId w:val="0"/>
              </w:numPr>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因此本项目与平江高新区产业生态环境准入清单不冲突。</w:t>
            </w:r>
          </w:p>
        </w:tc>
      </w:tr>
      <w:tr w14:paraId="444D70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54" w:hRule="atLeast"/>
        </w:trPr>
        <w:tc>
          <w:tcPr>
            <w:tcW w:w="270" w:type="pct"/>
            <w:vMerge w:val="continue"/>
            <w:shd w:val="clear" w:color="auto" w:fill="auto"/>
            <w:vAlign w:val="center"/>
          </w:tcPr>
          <w:p w14:paraId="1F9D03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95" w:type="pct"/>
            <w:shd w:val="clear" w:color="auto" w:fill="auto"/>
            <w:vAlign w:val="center"/>
          </w:tcPr>
          <w:p w14:paraId="659887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限制类</w:t>
            </w:r>
          </w:p>
        </w:tc>
        <w:tc>
          <w:tcPr>
            <w:tcW w:w="2377" w:type="pct"/>
            <w:shd w:val="clear" w:color="auto" w:fill="auto"/>
            <w:vAlign w:val="center"/>
          </w:tcPr>
          <w:p w14:paraId="2790F203">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1、属于《产业结构调整指导目录》限制类工艺和设备的项目。</w:t>
            </w:r>
          </w:p>
          <w:p w14:paraId="7EA12F8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2、限制引进味精制造、酱油；现有涉及重金属污染物排放项目不得新增重金属污染物排放。</w:t>
            </w:r>
          </w:p>
        </w:tc>
        <w:tc>
          <w:tcPr>
            <w:tcW w:w="2055" w:type="pct"/>
            <w:vMerge w:val="continue"/>
            <w:vAlign w:val="center"/>
          </w:tcPr>
          <w:p w14:paraId="08A886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11AD02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3" w:type="dxa"/>
            <w:bottom w:w="0" w:type="dxa"/>
            <w:right w:w="23" w:type="dxa"/>
          </w:tblCellMar>
        </w:tblPrEx>
        <w:trPr>
          <w:trHeight w:val="454" w:hRule="atLeast"/>
        </w:trPr>
        <w:tc>
          <w:tcPr>
            <w:tcW w:w="270" w:type="pct"/>
            <w:vMerge w:val="continue"/>
            <w:shd w:val="clear" w:color="auto" w:fill="auto"/>
            <w:vAlign w:val="center"/>
          </w:tcPr>
          <w:p w14:paraId="69E71A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95" w:type="pct"/>
            <w:shd w:val="clear" w:color="auto" w:fill="auto"/>
            <w:vAlign w:val="center"/>
          </w:tcPr>
          <w:p w14:paraId="61DF09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禁止类</w:t>
            </w:r>
          </w:p>
        </w:tc>
        <w:tc>
          <w:tcPr>
            <w:tcW w:w="2377" w:type="pct"/>
            <w:shd w:val="clear" w:color="auto" w:fill="auto"/>
            <w:vAlign w:val="center"/>
          </w:tcPr>
          <w:p w14:paraId="447707CE">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1、禁止引进《产业结构调整指导目录》淘汰类工艺和设备的项目。</w:t>
            </w:r>
          </w:p>
          <w:p w14:paraId="25734D91">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2、根据国、省政策要求必须入化工园区的项目；禁止印染、造纸、集中电镀、化学药品原料药制造项目。</w:t>
            </w:r>
          </w:p>
        </w:tc>
        <w:tc>
          <w:tcPr>
            <w:tcW w:w="2055" w:type="pct"/>
            <w:vMerge w:val="continue"/>
            <w:vAlign w:val="center"/>
          </w:tcPr>
          <w:p w14:paraId="537384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bl>
    <w:p w14:paraId="353D10B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表1.3-3  本项目与规划环评审查意见的符合性分析一览表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3" w:type="dxa"/>
          <w:bottom w:w="0" w:type="dxa"/>
          <w:right w:w="23" w:type="dxa"/>
        </w:tblCellMar>
      </w:tblPr>
      <w:tblGrid>
        <w:gridCol w:w="759"/>
        <w:gridCol w:w="8865"/>
        <w:gridCol w:w="3495"/>
        <w:gridCol w:w="879"/>
      </w:tblGrid>
      <w:tr w14:paraId="4A2041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blHeader/>
          <w:jc w:val="center"/>
        </w:trPr>
        <w:tc>
          <w:tcPr>
            <w:tcW w:w="271" w:type="pct"/>
            <w:vAlign w:val="center"/>
          </w:tcPr>
          <w:p w14:paraId="02B836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3165" w:type="pct"/>
            <w:vAlign w:val="center"/>
          </w:tcPr>
          <w:p w14:paraId="701527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湘环评函</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37号审查意见要求</w:t>
            </w:r>
          </w:p>
        </w:tc>
        <w:tc>
          <w:tcPr>
            <w:tcW w:w="1248" w:type="pct"/>
            <w:vAlign w:val="center"/>
          </w:tcPr>
          <w:p w14:paraId="76A548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本项目情况</w:t>
            </w:r>
          </w:p>
        </w:tc>
        <w:tc>
          <w:tcPr>
            <w:tcW w:w="314" w:type="pct"/>
            <w:vAlign w:val="center"/>
          </w:tcPr>
          <w:p w14:paraId="3DDC5E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符合性</w:t>
            </w:r>
          </w:p>
        </w:tc>
      </w:tr>
      <w:tr w14:paraId="5D4E47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71" w:type="pct"/>
            <w:vAlign w:val="center"/>
          </w:tcPr>
          <w:p w14:paraId="528D63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w:t>
            </w:r>
          </w:p>
        </w:tc>
        <w:tc>
          <w:tcPr>
            <w:tcW w:w="3165" w:type="pct"/>
            <w:vAlign w:val="center"/>
          </w:tcPr>
          <w:p w14:paraId="1523C0BF">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做好功能布局，严格执行准入要求。园区在进行国土空间规划和开发建设过程中应从规划层面提升环境相容性，以减小工业开发对城市居住及社会服务功能的影响。安定片区食品产业的布局应有所区别，天岳新城（区块三）部分区域已与集中居住区交错布局，新引进项目应为噪声、异味、恶臭环境影响较小的项目，并加强对现有工业企业的污染管控。产业引进应落实园区生态分区环境管控要求，执行《报告书》提出的产业定位和产业生态环境准入清单。</w:t>
            </w:r>
          </w:p>
        </w:tc>
        <w:tc>
          <w:tcPr>
            <w:tcW w:w="1248" w:type="pct"/>
            <w:vAlign w:val="center"/>
          </w:tcPr>
          <w:p w14:paraId="5C2837AF">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本项目位于</w:t>
            </w:r>
            <w:r>
              <w:rPr>
                <w:rFonts w:hint="eastAsia" w:eastAsia="宋体" w:cs="Times New Roman"/>
                <w:color w:val="000000" w:themeColor="text1"/>
                <w:u w:val="none" w:color="auto"/>
                <w:lang w:val="en-US" w:eastAsia="zh-CN"/>
                <w14:textFill>
                  <w14:solidFill>
                    <w14:schemeClr w14:val="tx1"/>
                  </w14:solidFill>
                </w14:textFill>
              </w:rPr>
              <w:t>平江高新技术产业开发区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伍市片区，以食品企业废弃油脂为原料生产工业级混合油，解决园区食品加工企业废弃油脂处置问题，完善园区废弃资源综合利用的能力。</w:t>
            </w:r>
            <w:r>
              <w:rPr>
                <w:rFonts w:hint="default" w:ascii="Times New Roman" w:hAnsi="Times New Roman" w:eastAsia="宋体" w:cs="Times New Roman"/>
                <w:color w:val="000000" w:themeColor="text1"/>
                <w:u w:val="none" w:color="auto"/>
                <w14:textFill>
                  <w14:solidFill>
                    <w14:schemeClr w14:val="tx1"/>
                  </w14:solidFill>
                </w14:textFill>
              </w:rPr>
              <w:t>与平江高新区产业生态环境准入清单不冲突。</w:t>
            </w:r>
          </w:p>
        </w:tc>
        <w:tc>
          <w:tcPr>
            <w:tcW w:w="314" w:type="pct"/>
            <w:vAlign w:val="center"/>
          </w:tcPr>
          <w:p w14:paraId="0DED22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3D5110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71" w:type="pct"/>
            <w:vAlign w:val="center"/>
          </w:tcPr>
          <w:p w14:paraId="1F1F90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w:t>
            </w:r>
          </w:p>
        </w:tc>
        <w:tc>
          <w:tcPr>
            <w:tcW w:w="3165" w:type="pct"/>
            <w:vAlign w:val="center"/>
          </w:tcPr>
          <w:p w14:paraId="1906F9D0">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落实管控措施，加强园区污染治理。园区应切实抓好污水处理设施及配套管网的建设和运维，加快推进各片区配套污水处理厂的建设进度，做好雨污分流、污污分流，确保园区各片区生产生活废水应收尽收，全部送至污水处理厂集中处理，园区引进项目要符合污水处理厂处理能力和排污口审批所规定的废水排放量等要求，确保尾水达到污水处理厂环评及排污口批复的相关标准。各片</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应具备针对该片区产业特征污染物的处置能力，伍市片区（区块一）东西组团废水规划进入平江高新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进行处理，加快推进平江高新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三期物理沉淀处理装置的建设进度，建成后湖南荣泰新材料科技有限公司废水排入平江高新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处理，不再直接排放；余梅片区（区块二）规划建设余梅工业园</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，在余梅工业园</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投产前，涉及废水排放项目不得投产运行；天岳新城（区块三）废水规划进入平江金窝污水处理厂进行处理，安定镇（区块四）废水现状进入安定镇污水处理厂进行处理，规划建设安定工业园污水处理厂，园区后续应落实国、省关于水污染防治、排水方案优化、环保基础设施建设运行等方面的政策要求。园区应加强大气污染防治，控制相关特征污染物的无组织排放，督促园区企业重点做好V0Cs、恶臭治理，对重点排放的生产设施予以严格监管，确保其处理设施稳妥、持续有效运行，严格落实大气污染防治特护期的相关减排要求。做好工业固体废物和生活垃圾的分类收集、转运、综合利用和无害化处理，建立完善的固废管理体系。对危险废物应严格按照国家有关规定综合利用或妥善处置，对危险废物产生企业和经营单位，应强化日常环境监管园区须严格落实排污许可制度和污染物排放总量控制，推动入园企业按规定要求开展清洁生产审核，减少污染物的排放量。园区应落实第三方环境治理工作相关政策要求，强化对园区重点产排污企业的监管与服务。</w:t>
            </w:r>
          </w:p>
        </w:tc>
        <w:tc>
          <w:tcPr>
            <w:tcW w:w="1248" w:type="pct"/>
            <w:vAlign w:val="center"/>
          </w:tcPr>
          <w:p w14:paraId="3BAA58C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1、本项目生产废水经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预</w:t>
            </w:r>
            <w:r>
              <w:rPr>
                <w:rFonts w:hint="default" w:ascii="Times New Roman" w:hAnsi="Times New Roman" w:eastAsia="宋体" w:cs="Times New Roman"/>
                <w:color w:val="000000" w:themeColor="text1"/>
                <w:u w:val="none" w:color="auto"/>
                <w14:textFill>
                  <w14:solidFill>
                    <w14:schemeClr w14:val="tx1"/>
                  </w14:solidFill>
                </w14:textFill>
              </w:rPr>
              <w:t>处理后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满足</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纳污标准，</w:t>
            </w:r>
            <w:r>
              <w:rPr>
                <w:rFonts w:hint="default" w:ascii="Times New Roman" w:hAnsi="Times New Roman" w:eastAsia="宋体" w:cs="Times New Roman"/>
                <w:color w:val="000000" w:themeColor="text1"/>
                <w:u w:val="none" w:color="auto"/>
                <w14:textFill>
                  <w14:solidFill>
                    <w14:schemeClr w14:val="tx1"/>
                  </w14:solidFill>
                </w14:textFill>
              </w:rPr>
              <w:t>依托平江高新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进行处置，生活污水经化粪池处理后依托</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进行处置。不涉及重金属及持久性污染物，不属于禁止引进类企业。</w:t>
            </w:r>
          </w:p>
          <w:p w14:paraId="111BED29">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本项目废气污染物主要为氨、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硫化氢、臭气浓度、非甲烷总烃</w:t>
            </w:r>
            <w:r>
              <w:rPr>
                <w:rFonts w:hint="default" w:ascii="Times New Roman" w:hAnsi="Times New Roman" w:eastAsia="宋体" w:cs="Times New Roman"/>
                <w:color w:val="000000" w:themeColor="text1"/>
                <w:u w:val="none" w:color="auto"/>
                <w14:textFill>
                  <w14:solidFill>
                    <w14:schemeClr w14:val="tx1"/>
                  </w14:solidFill>
                </w14:textFill>
              </w:rPr>
              <w:t>，经预测项目废气排放对周边环境可</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接受</w:t>
            </w:r>
            <w:r>
              <w:rPr>
                <w:rFonts w:hint="default" w:ascii="Times New Roman" w:hAnsi="Times New Roman" w:eastAsia="宋体" w:cs="Times New Roman"/>
                <w:color w:val="000000" w:themeColor="text1"/>
                <w:u w:val="none" w:color="auto"/>
                <w14:textFill>
                  <w14:solidFill>
                    <w14:schemeClr w14:val="tx1"/>
                  </w14:solidFill>
                </w14:textFill>
              </w:rPr>
              <w:t>，建设单位严格落实大气污染防止措施，减缓废气对周边环境影响。</w:t>
            </w:r>
          </w:p>
          <w:p w14:paraId="7765F9D6">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3、建设单位完善工业固体废物和生活垃圾的分类收集、转运、综合利用和无害化处理，一般固废经收集后委托有资质企业综合利用，危险废物经收集后委托有资质单位进行处置。</w:t>
            </w:r>
          </w:p>
          <w:p w14:paraId="1E2E6C9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4、项目严格落实排污许可制度和污染物排放总量控制。</w:t>
            </w:r>
          </w:p>
          <w:p w14:paraId="7607F12E">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5、在项目运行后，委托第三方定期进行污染源及周边环境监测。</w:t>
            </w:r>
          </w:p>
        </w:tc>
        <w:tc>
          <w:tcPr>
            <w:tcW w:w="314" w:type="pct"/>
            <w:vAlign w:val="center"/>
          </w:tcPr>
          <w:p w14:paraId="29BC71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3F6C0C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71" w:type="pct"/>
            <w:vAlign w:val="center"/>
          </w:tcPr>
          <w:p w14:paraId="6A05C6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w:t>
            </w:r>
          </w:p>
        </w:tc>
        <w:tc>
          <w:tcPr>
            <w:tcW w:w="3165" w:type="pct"/>
            <w:vAlign w:val="center"/>
          </w:tcPr>
          <w:p w14:paraId="7A964720">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完善监测体系，监控环境质量变化状况。园区应按照《报告书》提出的跟踪监测方案落实相关工作，建立健全各环境要素的监控体系，督促相关企业严格按要求安装在线监测并联网。园区应加强对涉重金属排放企业、重点气型污染排放企业、污水处理厂的监督性监测，严防企业废水废气偷排漏排或污染治理措施不正常运行。重点加强对周边集中居住区大气环境质量的监测并涵盖相关特征排放因子，督促土壤污染重点监管单位按规定进行土壤污染状况监测及地下水监测。</w:t>
            </w:r>
          </w:p>
        </w:tc>
        <w:tc>
          <w:tcPr>
            <w:tcW w:w="1248" w:type="pct"/>
            <w:vAlign w:val="center"/>
          </w:tcPr>
          <w:p w14:paraId="723382D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在项目运行后，委托第三方定期进行污染源及周边环境监测。</w:t>
            </w:r>
          </w:p>
        </w:tc>
        <w:tc>
          <w:tcPr>
            <w:tcW w:w="314" w:type="pct"/>
            <w:vAlign w:val="center"/>
          </w:tcPr>
          <w:p w14:paraId="3D2E97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00C3E1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71" w:type="pct"/>
            <w:vAlign w:val="center"/>
          </w:tcPr>
          <w:p w14:paraId="2F2C07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四</w:t>
            </w:r>
          </w:p>
        </w:tc>
        <w:tc>
          <w:tcPr>
            <w:tcW w:w="3165" w:type="pct"/>
            <w:vAlign w:val="center"/>
          </w:tcPr>
          <w:p w14:paraId="47278825">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强化风险管控，严防园区环境事故。建立健全园区环境风险管理工作长效机制，加强园区环境风险防控、预警和应急体系建设，全面提升园区环境风险防控和环境事故应急处置能力，确保区域环境安全。</w:t>
            </w:r>
          </w:p>
        </w:tc>
        <w:tc>
          <w:tcPr>
            <w:tcW w:w="1248" w:type="pct"/>
            <w:vAlign w:val="center"/>
          </w:tcPr>
          <w:p w14:paraId="529ECF74">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本评价对</w:t>
            </w:r>
            <w:r>
              <w:rPr>
                <w:rFonts w:hint="default" w:ascii="Times New Roman" w:hAnsi="Times New Roman" w:eastAsia="宋体" w:cs="Times New Roman"/>
                <w:color w:val="000000" w:themeColor="text1"/>
                <w:u w:val="none" w:color="auto"/>
                <w14:textFill>
                  <w14:solidFill>
                    <w14:schemeClr w14:val="tx1"/>
                  </w14:solidFill>
                </w14:textFill>
              </w:rPr>
              <w:t>建设单位编制突发环境事件应急预案</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提出了要求。</w:t>
            </w:r>
          </w:p>
        </w:tc>
        <w:tc>
          <w:tcPr>
            <w:tcW w:w="314" w:type="pct"/>
            <w:vAlign w:val="center"/>
          </w:tcPr>
          <w:p w14:paraId="318971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257286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71" w:type="pct"/>
            <w:vAlign w:val="center"/>
          </w:tcPr>
          <w:p w14:paraId="75A493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五</w:t>
            </w:r>
          </w:p>
        </w:tc>
        <w:tc>
          <w:tcPr>
            <w:tcW w:w="3165" w:type="pct"/>
            <w:vAlign w:val="center"/>
          </w:tcPr>
          <w:p w14:paraId="45CA442E">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做好周边控规，落实搬迁安置计划。园区管委会与地方政府应共同做好控规，杜绝在规划的工业用地上新增环境敏感目标，确保园区开发过程中的居民搬迁安置到位，防止发生居民再次安置和次生环境问题。严格按照《湖南中南黄金冶炼有限公司200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t/d难处理金精矿冶炼工程环境影响后评价报告书》及《平江县人民政府关于平江高新区中南黄金冶炼污染装置区外600米及渣场500米防护距离企业及居民搬迁工作方案》（平政函</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146号）相关要求完成防护距离内企业及居民搬迁工作。后续对于新建项目环评提出防护距离和搬迁要求的，要确保予以落实，如未落实的，园区应确保其不得投产。</w:t>
            </w:r>
          </w:p>
        </w:tc>
        <w:tc>
          <w:tcPr>
            <w:tcW w:w="1248" w:type="pct"/>
            <w:vAlign w:val="center"/>
          </w:tcPr>
          <w:p w14:paraId="7BA6807C">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本项目建设不涉及拆迁</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314" w:type="pct"/>
            <w:vAlign w:val="center"/>
          </w:tcPr>
          <w:p w14:paraId="3D9C04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40D4B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71" w:type="pct"/>
            <w:vAlign w:val="center"/>
          </w:tcPr>
          <w:p w14:paraId="3594E6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六</w:t>
            </w:r>
          </w:p>
        </w:tc>
        <w:tc>
          <w:tcPr>
            <w:tcW w:w="3165" w:type="pct"/>
            <w:vAlign w:val="center"/>
          </w:tcPr>
          <w:p w14:paraId="2C4B097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做好园区建设期生态保护。尽可能保留自然水体，施工期对土石方开挖、堆存及回填要实施围挡、护坡等措施，裸露地及时恢复植被，杜绝施工建设对地表水体的污染。</w:t>
            </w:r>
          </w:p>
        </w:tc>
        <w:tc>
          <w:tcPr>
            <w:tcW w:w="1248" w:type="pct"/>
            <w:vAlign w:val="center"/>
          </w:tcPr>
          <w:p w14:paraId="55B62A23">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本项目严格落实施工期相关措施，减少对周边环境的影响</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314" w:type="pct"/>
            <w:vAlign w:val="center"/>
          </w:tcPr>
          <w:p w14:paraId="487B64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bl>
    <w:p w14:paraId="3BE3BD7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bookmarkEnd w:id="25"/>
    <w:p w14:paraId="2AE98BF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8" w:name="_Toc27602"/>
      <w:r>
        <w:rPr>
          <w:rFonts w:hint="default" w:ascii="Times New Roman" w:hAnsi="Times New Roman" w:eastAsia="宋体" w:cs="Times New Roman"/>
          <w:color w:val="000000" w:themeColor="text1"/>
          <w:u w:val="none" w:color="auto"/>
          <w14:textFill>
            <w14:solidFill>
              <w14:schemeClr w14:val="tx1"/>
            </w14:solidFill>
          </w14:textFill>
        </w:rPr>
        <w:t>1.3.4 与相关法律法规、政策的相符性分析</w:t>
      </w:r>
      <w:bookmarkEnd w:id="28"/>
    </w:p>
    <w:p w14:paraId="5CAAC8CF">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1.3.4.1 与《关于加强高耗能、高排放建设项目生态环境源头防控的指导意见》相符性分析</w:t>
      </w:r>
    </w:p>
    <w:p w14:paraId="1EE69DB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2021年12月16日湖南省发展和改革委员会印发《湖南省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两高</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项目管理目录》。两高项目包含石化、化工、煤化工、焦化</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钢铁、建材、有色、煤电</w:t>
      </w:r>
      <w:r>
        <w:rPr>
          <w:rFonts w:hint="default" w:ascii="Times New Roman" w:hAnsi="Times New Roman" w:eastAsia="宋体" w:cs="Times New Roman"/>
          <w:color w:val="000000" w:themeColor="text1"/>
          <w:u w:val="none" w:color="auto"/>
          <w14:textFill>
            <w14:solidFill>
              <w14:schemeClr w14:val="tx1"/>
            </w14:solidFill>
          </w14:textFill>
        </w:rPr>
        <w:t>等行业，</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以及涉及煤制品、石油焦、渣油、重油等高污染燃料使用工业炉窑、锅炉的项目</w:t>
      </w:r>
      <w:r>
        <w:rPr>
          <w:rFonts w:hint="default" w:ascii="Times New Roman" w:hAnsi="Times New Roman" w:eastAsia="宋体" w:cs="Times New Roman"/>
          <w:color w:val="000000" w:themeColor="text1"/>
          <w:u w:val="none" w:color="auto"/>
          <w14:textFill>
            <w14:solidFill>
              <w14:schemeClr w14:val="tx1"/>
            </w14:solidFill>
          </w14:textFill>
        </w:rPr>
        <w:t>。</w:t>
      </w:r>
    </w:p>
    <w:p w14:paraId="103E551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C4220 非金属废料和碎屑加工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利用废物（油）炼油加工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行业</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且生产工艺不涉及工业炉窑和锅炉</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因此，本项目不属于</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两高</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w:t>
      </w:r>
    </w:p>
    <w:p w14:paraId="42544A99">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国家能源局关于印发&lt;生物柴油产业发展政策&gt;的通知</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国能科技〔2014〕511号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的相符性分析</w:t>
      </w:r>
    </w:p>
    <w:p w14:paraId="02CCC88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国家能源局关于印发&lt;生物柴油产业发展政策&gt;的通知</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国能科技〔2014〕511号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第十一条：</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结合餐厨废弃物资源化利用和无害化处理试点工作，建设废弃油脂回收供应体系。疏堵结合，以疏为主，建立餐饮、食品加工等废弃油脂定点回收、定向供应机制，实现区域内废弃油脂应收尽收和资源化利用。鼓励废弃油脂供应单位积极向生物柴油生产企业交售废弃油脂。</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51BF633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本项目以食品加工企业废弃油脂为原料，生产工业级混合油，产品供应给生物柴油制造企业。项目建成后可实现废弃油脂回收和资源化利用，符合生物柴油产业发展政策要求。</w:t>
      </w:r>
    </w:p>
    <w:p w14:paraId="169ADF05">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1.3.4.3 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固体废物再生利用污染防治技术导则</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HJ 1019-2020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的符合性分析</w:t>
      </w:r>
    </w:p>
    <w:p w14:paraId="38F71E2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本项目与《固体废物再生利用污染防治技术导则》（HJ 1019-2020）的符合性分析见下表。</w:t>
      </w:r>
    </w:p>
    <w:p w14:paraId="6194D00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表1.3-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与</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固体废物再生利用污染防治技术导则</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HJ 1019-2020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符合性分析</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5"/>
        <w:gridCol w:w="4262"/>
        <w:gridCol w:w="2451"/>
        <w:gridCol w:w="957"/>
      </w:tblGrid>
      <w:tr w14:paraId="2EBBBB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55" w:type="dxa"/>
            <w:vAlign w:val="center"/>
          </w:tcPr>
          <w:p w14:paraId="0D19EA7E">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序号</w:t>
            </w:r>
          </w:p>
        </w:tc>
        <w:tc>
          <w:tcPr>
            <w:tcW w:w="4262" w:type="dxa"/>
            <w:vAlign w:val="center"/>
          </w:tcPr>
          <w:p w14:paraId="7BAD88CC">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技术导则要求</w:t>
            </w:r>
          </w:p>
        </w:tc>
        <w:tc>
          <w:tcPr>
            <w:tcW w:w="2451" w:type="dxa"/>
            <w:vAlign w:val="center"/>
          </w:tcPr>
          <w:p w14:paraId="67606527">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本项目情况</w:t>
            </w:r>
          </w:p>
        </w:tc>
        <w:tc>
          <w:tcPr>
            <w:tcW w:w="957" w:type="dxa"/>
            <w:vAlign w:val="center"/>
          </w:tcPr>
          <w:p w14:paraId="275CD011">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符合性分析</w:t>
            </w:r>
          </w:p>
        </w:tc>
      </w:tr>
      <w:tr w14:paraId="134F06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61F5E0D8">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p>
        </w:tc>
        <w:tc>
          <w:tcPr>
            <w:tcW w:w="4262" w:type="dxa"/>
            <w:vAlign w:val="center"/>
          </w:tcPr>
          <w:p w14:paraId="3A21E7A2">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4.3 固体废物再生利用建设项目的选址应符合区域性环境保护规划和当地的城乡总体规划。</w:t>
            </w:r>
          </w:p>
        </w:tc>
        <w:tc>
          <w:tcPr>
            <w:tcW w:w="2451" w:type="dxa"/>
            <w:vAlign w:val="center"/>
          </w:tcPr>
          <w:p w14:paraId="6612CBCD">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项目选址位于</w:t>
            </w:r>
            <w:r>
              <w:rPr>
                <w:rFonts w:hint="eastAsia" w:cs="Times New Roman"/>
                <w:color w:val="000000" w:themeColor="text1"/>
                <w:sz w:val="21"/>
                <w:szCs w:val="21"/>
                <w:u w:val="none" w:color="auto"/>
                <w:lang w:val="en-US" w:eastAsia="zh-CN"/>
                <w14:textFill>
                  <w14:solidFill>
                    <w14:schemeClr w14:val="tx1"/>
                  </w14:solidFill>
                </w14:textFill>
              </w:rPr>
              <w:t>平江高新技术产业开发区</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伍市片区，通过前文分析，项目选址符合</w:t>
            </w:r>
            <w:r>
              <w:rPr>
                <w:rFonts w:hint="eastAsia" w:cs="Times New Roman"/>
                <w:color w:val="000000" w:themeColor="text1"/>
                <w:sz w:val="21"/>
                <w:szCs w:val="21"/>
                <w:u w:val="none" w:color="auto"/>
                <w:lang w:val="en-US" w:eastAsia="zh-CN"/>
                <w14:textFill>
                  <w14:solidFill>
                    <w14:schemeClr w14:val="tx1"/>
                  </w14:solidFill>
                </w14:textFill>
              </w:rPr>
              <w:t>平江高新技术产业开发区</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产业政策和土地利用规划。</w:t>
            </w:r>
          </w:p>
        </w:tc>
        <w:tc>
          <w:tcPr>
            <w:tcW w:w="957" w:type="dxa"/>
            <w:vAlign w:val="center"/>
          </w:tcPr>
          <w:p w14:paraId="0D0386FB">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52751D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6D622565">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w:t>
            </w:r>
          </w:p>
        </w:tc>
        <w:tc>
          <w:tcPr>
            <w:tcW w:w="4262" w:type="dxa"/>
            <w:vAlign w:val="center"/>
          </w:tcPr>
          <w:p w14:paraId="2CB63118">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4.4 固体废物再生利用建设项目的设计、施工、验收和运行应遵守国家现行的相关法规的规定，同时建立完善的环境管理制度，包括环境影响评价、环境管理计划、环境保护责任、排污许可、监测、信息公开、环境应急预案和环境保护档案管理等制度。</w:t>
            </w:r>
          </w:p>
        </w:tc>
        <w:tc>
          <w:tcPr>
            <w:tcW w:w="2451" w:type="dxa"/>
            <w:vAlign w:val="center"/>
          </w:tcPr>
          <w:p w14:paraId="5FCF4F2A">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项目按照相关规范要求设计，建设单位将严格落实各项环境管理制度。</w:t>
            </w:r>
          </w:p>
        </w:tc>
        <w:tc>
          <w:tcPr>
            <w:tcW w:w="957" w:type="dxa"/>
            <w:vAlign w:val="center"/>
          </w:tcPr>
          <w:p w14:paraId="44F77177">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46D227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46782D2F">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p>
        </w:tc>
        <w:tc>
          <w:tcPr>
            <w:tcW w:w="4262" w:type="dxa"/>
            <w:vAlign w:val="center"/>
          </w:tcPr>
          <w:p w14:paraId="65DCD91B">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 应对固体废物再生利用各技术环节的环境污染因子进行识别，采取有效污染控制措施，配备污染物监测设备设施，避免污染物的无组织排放，防止发生二次污染，妥善处置产生的废物。</w:t>
            </w:r>
          </w:p>
        </w:tc>
        <w:tc>
          <w:tcPr>
            <w:tcW w:w="2451" w:type="dxa"/>
            <w:vAlign w:val="center"/>
          </w:tcPr>
          <w:p w14:paraId="7F3FFBCF">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本项目采用</w:t>
            </w:r>
            <w:r>
              <w:rPr>
                <w:rFonts w:hint="eastAsia"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喷淋塔+过滤棉+二级活性炭吸附</w:t>
            </w:r>
            <w:r>
              <w:rPr>
                <w:rFonts w:hint="eastAsia"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装置处理油脂加工产生的恶臭气体及有机废气，制定并严格执行自行监测计划。</w:t>
            </w:r>
          </w:p>
        </w:tc>
        <w:tc>
          <w:tcPr>
            <w:tcW w:w="957" w:type="dxa"/>
            <w:vAlign w:val="center"/>
          </w:tcPr>
          <w:p w14:paraId="0E5C2690">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符合</w:t>
            </w:r>
          </w:p>
        </w:tc>
      </w:tr>
    </w:tbl>
    <w:p w14:paraId="2ACD92B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通过上表分析，项目符合《固体废物再生利用污染防治技术导则》（HJ 1019-2020）的相关要求。</w:t>
      </w:r>
    </w:p>
    <w:p w14:paraId="47C781EA">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与《中华人民共和国长江保护法》的符合性分析</w:t>
      </w:r>
    </w:p>
    <w:p w14:paraId="4BCFC706">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根据《中华人民共和国长江保护法》第二章规划与管控第二十六条规定</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禁止在长江干支流岸线一公里范围内新建、扩建化工园区和化工项目。禁止在长江干流岸线三公里范围内和重要支流岸线一公里范围内新建、改建、扩建尾矿库；但是以提升安全、生态环境保护水平为目的的改建除外。</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7D1302E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C4220 非金属废料和碎屑加工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利用废物（油）炼油加工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行业</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不属于工业园和化工项目，不涉及尾矿库建设。</w:t>
      </w:r>
      <w:r>
        <w:rPr>
          <w:rFonts w:hint="default" w:ascii="Times New Roman" w:hAnsi="Times New Roman" w:eastAsia="宋体" w:cs="Times New Roman"/>
          <w:color w:val="000000" w:themeColor="text1"/>
          <w:u w:val="none" w:color="auto"/>
          <w14:textFill>
            <w14:solidFill>
              <w14:schemeClr w14:val="tx1"/>
            </w14:solidFill>
          </w14:textFill>
        </w:rPr>
        <w:t xml:space="preserve">因此本项目与《中华人民共和国长江保护法》相符。 </w:t>
      </w:r>
    </w:p>
    <w:p w14:paraId="5D641E7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与《湖南省长江经济带发展负面清单实施细则（试行2022年版）》的符合性</w:t>
      </w:r>
    </w:p>
    <w:p w14:paraId="64F138C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0"/>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0"/>
          <w:u w:val="none" w:color="auto"/>
          <w14:textFill>
            <w14:solidFill>
              <w14:schemeClr w14:val="tx1"/>
            </w14:solidFill>
          </w14:textFill>
        </w:rPr>
        <w:t>2022年，推动长江经济带发展领导小组办公室发布了《长江经济带发展负面清单指南（试行，2022年版）》。2022年，湖南省推动长江经济带发展领导小组办公室发布了《湖南省长江经济带发展负面清单实施细则（试行，2022年版）》。</w:t>
      </w:r>
      <w:r>
        <w:rPr>
          <w:rFonts w:hint="default" w:ascii="Times New Roman" w:hAnsi="Times New Roman" w:eastAsia="宋体" w:cs="Times New Roman"/>
          <w:color w:val="000000" w:themeColor="text1"/>
          <w:szCs w:val="20"/>
          <w:u w:val="none" w:color="auto"/>
          <w:lang w:val="en-US" w:eastAsia="zh-CN"/>
          <w14:textFill>
            <w14:solidFill>
              <w14:schemeClr w14:val="tx1"/>
            </w14:solidFill>
          </w14:textFill>
        </w:rPr>
        <w:t>项目与《湖南省长江经济带发展负面清单实施细则（试行，2022 年版）》符合性分析见下表。</w:t>
      </w:r>
    </w:p>
    <w:p w14:paraId="501C9F0D">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表1.3-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与</w:t>
      </w:r>
      <w:r>
        <w:rPr>
          <w:rFonts w:hint="default" w:ascii="Times New Roman" w:hAnsi="Times New Roman" w:eastAsia="宋体" w:cs="Times New Roman"/>
          <w:color w:val="000000" w:themeColor="text1"/>
          <w:u w:val="none" w:color="auto"/>
          <w14:textFill>
            <w14:solidFill>
              <w14:schemeClr w14:val="tx1"/>
            </w14:solidFill>
          </w14:textFill>
        </w:rPr>
        <w:t>《湖南省长江经济带发展负面清单实施细则（试行，2022 年版）》符合性分析</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5"/>
        <w:gridCol w:w="4884"/>
        <w:gridCol w:w="1829"/>
        <w:gridCol w:w="957"/>
      </w:tblGrid>
      <w:tr w14:paraId="342241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55" w:type="dxa"/>
            <w:vAlign w:val="center"/>
          </w:tcPr>
          <w:p w14:paraId="473430A7">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序号</w:t>
            </w:r>
          </w:p>
        </w:tc>
        <w:tc>
          <w:tcPr>
            <w:tcW w:w="4884" w:type="dxa"/>
            <w:vAlign w:val="center"/>
          </w:tcPr>
          <w:p w14:paraId="29E48A82">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文件要求</w:t>
            </w:r>
          </w:p>
        </w:tc>
        <w:tc>
          <w:tcPr>
            <w:tcW w:w="1829" w:type="dxa"/>
            <w:vAlign w:val="center"/>
          </w:tcPr>
          <w:p w14:paraId="50638696">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本项目情况</w:t>
            </w:r>
          </w:p>
        </w:tc>
        <w:tc>
          <w:tcPr>
            <w:tcW w:w="957" w:type="dxa"/>
            <w:vAlign w:val="center"/>
          </w:tcPr>
          <w:p w14:paraId="6A4F8097">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符合性分析</w:t>
            </w:r>
          </w:p>
        </w:tc>
      </w:tr>
      <w:tr w14:paraId="5A8BC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29B237B4">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p>
        </w:tc>
        <w:tc>
          <w:tcPr>
            <w:tcW w:w="4884" w:type="dxa"/>
            <w:vAlign w:val="center"/>
          </w:tcPr>
          <w:p w14:paraId="7E5800F6">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三条：禁止建设不符合全国和省级港口布局规划以及港口总体规划的码头项目。对不符合港口总体规划的新建，改建和扩建的码头工程(含舾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2020-2035年）》的过长江通道项目。</w:t>
            </w:r>
          </w:p>
        </w:tc>
        <w:tc>
          <w:tcPr>
            <w:tcW w:w="1829" w:type="dxa"/>
            <w:vAlign w:val="center"/>
          </w:tcPr>
          <w:p w14:paraId="3731DB47">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本项目不属于港口码头项目</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097A8D75">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73D34C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0A49C69C">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w:t>
            </w:r>
          </w:p>
        </w:tc>
        <w:tc>
          <w:tcPr>
            <w:tcW w:w="4884" w:type="dxa"/>
            <w:vAlign w:val="center"/>
          </w:tcPr>
          <w:p w14:paraId="07898411">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第四条：禁止在自然保护区核心区、缓冲区的岸线和河段范围内投资建设以下项目：……</w:t>
            </w:r>
          </w:p>
        </w:tc>
        <w:tc>
          <w:tcPr>
            <w:tcW w:w="1829" w:type="dxa"/>
            <w:vAlign w:val="center"/>
          </w:tcPr>
          <w:p w14:paraId="56F8107E">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本项目建设不涉及自然保护区</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5B38CC05">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458979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5D209285">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3</w:t>
            </w:r>
          </w:p>
        </w:tc>
        <w:tc>
          <w:tcPr>
            <w:tcW w:w="4884" w:type="dxa"/>
            <w:vAlign w:val="center"/>
          </w:tcPr>
          <w:p w14:paraId="11DF6FFB">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第五条：机场、铁路、公路、水利、航运、围堰等公益性设施的选址选线应多方案优化比选……</w:t>
            </w:r>
          </w:p>
        </w:tc>
        <w:tc>
          <w:tcPr>
            <w:tcW w:w="1829" w:type="dxa"/>
            <w:vAlign w:val="center"/>
          </w:tcPr>
          <w:p w14:paraId="28114E41">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本项目不属于所列公益性设施</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4F73C4B7">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550D2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39F11C08">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4</w:t>
            </w:r>
          </w:p>
        </w:tc>
        <w:tc>
          <w:tcPr>
            <w:tcW w:w="4884" w:type="dxa"/>
            <w:vAlign w:val="center"/>
          </w:tcPr>
          <w:p w14:paraId="18CE52B6">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第六条：禁止违反风景名胜区规划……</w:t>
            </w:r>
          </w:p>
        </w:tc>
        <w:tc>
          <w:tcPr>
            <w:tcW w:w="1829" w:type="dxa"/>
            <w:vAlign w:val="center"/>
          </w:tcPr>
          <w:p w14:paraId="3D9DEFA0">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本项目不涉及风景名胜区</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7E5EC097">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45BCB7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5B0BCAE1">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5</w:t>
            </w:r>
          </w:p>
        </w:tc>
        <w:tc>
          <w:tcPr>
            <w:tcW w:w="4884" w:type="dxa"/>
            <w:vAlign w:val="center"/>
          </w:tcPr>
          <w:p w14:paraId="5730E986">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第七条：饮用水源一级保护区内禁止新建、改建扩建与供水设施和保护水源无关的建设项目……</w:t>
            </w:r>
          </w:p>
        </w:tc>
        <w:tc>
          <w:tcPr>
            <w:tcW w:w="1829" w:type="dxa"/>
            <w:vMerge w:val="restart"/>
            <w:vAlign w:val="center"/>
          </w:tcPr>
          <w:p w14:paraId="36E02AE1">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本项目建设不涉及饮用水源保护区</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Merge w:val="restart"/>
            <w:vAlign w:val="center"/>
          </w:tcPr>
          <w:p w14:paraId="7D1B862A">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5492ED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4F1B536F">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w:t>
            </w:r>
          </w:p>
        </w:tc>
        <w:tc>
          <w:tcPr>
            <w:tcW w:w="4884" w:type="dxa"/>
            <w:vAlign w:val="center"/>
          </w:tcPr>
          <w:p w14:paraId="6101EDA2">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第八条：饮用水水源二级保护区内禁止……</w:t>
            </w:r>
          </w:p>
        </w:tc>
        <w:tc>
          <w:tcPr>
            <w:tcW w:w="1829" w:type="dxa"/>
            <w:vMerge w:val="continue"/>
            <w:vAlign w:val="center"/>
          </w:tcPr>
          <w:p w14:paraId="6F18A1C2">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957" w:type="dxa"/>
            <w:vMerge w:val="continue"/>
            <w:vAlign w:val="center"/>
          </w:tcPr>
          <w:p w14:paraId="42A4D018">
            <w:pPr>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r>
      <w:tr w14:paraId="58FF3B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3303E5B1">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7</w:t>
            </w:r>
          </w:p>
        </w:tc>
        <w:tc>
          <w:tcPr>
            <w:tcW w:w="4884" w:type="dxa"/>
            <w:vAlign w:val="center"/>
          </w:tcPr>
          <w:p w14:paraId="334FE4DE">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第九条：禁止在水产种质资源保护区内新建排污口、从事围湖造田等投资建设项目</w:t>
            </w:r>
          </w:p>
        </w:tc>
        <w:tc>
          <w:tcPr>
            <w:tcW w:w="1829" w:type="dxa"/>
            <w:vAlign w:val="center"/>
          </w:tcPr>
          <w:p w14:paraId="71FEA6E4">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本项目不设置排污口，不涉及围湖造田等</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053497DE">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5B4648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28C5D0B6">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8</w:t>
            </w:r>
          </w:p>
        </w:tc>
        <w:tc>
          <w:tcPr>
            <w:tcW w:w="4884" w:type="dxa"/>
            <w:vAlign w:val="center"/>
          </w:tcPr>
          <w:p w14:paraId="450E9577">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第十条：除《中华人民共和国防洪法》规定的紧急防汛期采取的紧急措施外，禁止在国家湿地公园的岸线和河段范围内挖沙、采矿，以及以下不符合主体功能定位的行为和活动:……</w:t>
            </w:r>
          </w:p>
        </w:tc>
        <w:tc>
          <w:tcPr>
            <w:tcW w:w="1829" w:type="dxa"/>
            <w:vAlign w:val="center"/>
          </w:tcPr>
          <w:p w14:paraId="7049D75D">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本项目不涉及国家湿地公园</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6921B7C8">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071A59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219CEBAB">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w:t>
            </w:r>
          </w:p>
        </w:tc>
        <w:tc>
          <w:tcPr>
            <w:tcW w:w="4884" w:type="dxa"/>
            <w:vAlign w:val="center"/>
          </w:tcPr>
          <w:p w14:paraId="17C94918">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十一条：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14:paraId="56D35618">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禁止填湖造地、围湖造田及非法围垦河道，禁止非法建设矮围网围、填埋湿地等侵占河湖水域或者违法利用、占用河湖岸线的行为。</w:t>
            </w:r>
          </w:p>
        </w:tc>
        <w:tc>
          <w:tcPr>
            <w:tcW w:w="1829" w:type="dxa"/>
            <w:vAlign w:val="center"/>
          </w:tcPr>
          <w:p w14:paraId="710A49DB">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本项目不占用河岸线及湖岸线</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78046A9D">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48E282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3271844A">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4884" w:type="dxa"/>
            <w:vAlign w:val="center"/>
          </w:tcPr>
          <w:p w14:paraId="24587001">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第十二条：禁止在《全国重要江河湖泊水功能区划》划定的河段保护区、保留区内投资建设不利于水资源及自然生态保护的项目。</w:t>
            </w:r>
          </w:p>
        </w:tc>
        <w:tc>
          <w:tcPr>
            <w:tcW w:w="1829" w:type="dxa"/>
            <w:vAlign w:val="center"/>
          </w:tcPr>
          <w:p w14:paraId="36EFB889">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本项目不涉及占用河道</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51458713">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4B2934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08FB11EF">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w:t>
            </w:r>
          </w:p>
        </w:tc>
        <w:tc>
          <w:tcPr>
            <w:tcW w:w="4884" w:type="dxa"/>
            <w:vAlign w:val="center"/>
          </w:tcPr>
          <w:p w14:paraId="702EC8DA">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第十三条：禁止未经许可在长江干支流及湖泊新设、改设或扩大排污口</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1829" w:type="dxa"/>
            <w:vAlign w:val="center"/>
          </w:tcPr>
          <w:p w14:paraId="04E55451">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废水依托平江高新区污水处理厂</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不</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新增</w:t>
            </w:r>
            <w:r>
              <w:rPr>
                <w:rFonts w:hint="default" w:ascii="Times New Roman" w:hAnsi="Times New Roman" w:eastAsia="宋体" w:cs="Times New Roman"/>
                <w:color w:val="000000" w:themeColor="text1"/>
                <w:sz w:val="21"/>
                <w:szCs w:val="21"/>
                <w:u w:val="none" w:color="auto"/>
                <w14:textFill>
                  <w14:solidFill>
                    <w14:schemeClr w14:val="tx1"/>
                  </w14:solidFill>
                </w14:textFill>
              </w:rPr>
              <w:t>入河排污口</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61C50316">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1EFBD6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0D2A5317">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w:t>
            </w:r>
          </w:p>
        </w:tc>
        <w:tc>
          <w:tcPr>
            <w:tcW w:w="4884" w:type="dxa"/>
            <w:vAlign w:val="center"/>
          </w:tcPr>
          <w:p w14:paraId="5C434E03">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第十四条：禁止在洞庭湖、湘江、资江、沅江、漫水干流和45个水生生物保护区开展生产性捕捞。在相关自然保护区域和禁猎 (渔)区、禁猎 (渔)期内，禁止猎捕以及其他妨碍野生动物生息繁衍的活动，但法律法规另有规定的除外。</w:t>
            </w:r>
          </w:p>
        </w:tc>
        <w:tc>
          <w:tcPr>
            <w:tcW w:w="1829" w:type="dxa"/>
            <w:vAlign w:val="center"/>
          </w:tcPr>
          <w:p w14:paraId="291E2C0E">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本项目不从事捕捞</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3A67E777">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22A3D6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69B33103">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13</w:t>
            </w:r>
          </w:p>
        </w:tc>
        <w:tc>
          <w:tcPr>
            <w:tcW w:w="4884" w:type="dxa"/>
            <w:vAlign w:val="center"/>
          </w:tcPr>
          <w:p w14:paraId="4886271F">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第十五条：禁止在长江湖南段和洞庭湖、湘江、资江、沅江、</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澧</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水干流岸线一公里范围内新建、扩建化工园区和化工项目。禁止在长江湖南段岸线三公里范围内和湘江、资江、沅江遭水岸线一公里范围内新建、改建、扩建尾矿库、冶炼渣库和磷石膏库，以提升安全、生态环境保护水平为目的的改建除外。</w:t>
            </w:r>
          </w:p>
        </w:tc>
        <w:tc>
          <w:tcPr>
            <w:tcW w:w="1829" w:type="dxa"/>
            <w:vAlign w:val="center"/>
          </w:tcPr>
          <w:p w14:paraId="22093DB8">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属于</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C4220 非金属废料和碎屑加工</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中</w:t>
            </w:r>
            <w:r>
              <w:rPr>
                <w:rFonts w:hint="eastAsia"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利用废物（油）炼油加工</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，不属于</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化工园区和化工项目</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不建设</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尾矿库、冶炼渣库和磷石膏库</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p>
        </w:tc>
        <w:tc>
          <w:tcPr>
            <w:tcW w:w="957" w:type="dxa"/>
            <w:vAlign w:val="center"/>
          </w:tcPr>
          <w:p w14:paraId="6F7B52FF">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7E08A0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7E1AC350">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14</w:t>
            </w:r>
          </w:p>
        </w:tc>
        <w:tc>
          <w:tcPr>
            <w:tcW w:w="4884" w:type="dxa"/>
            <w:vAlign w:val="center"/>
          </w:tcPr>
          <w:p w14:paraId="559727EF">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第十六条：禁止在合规园区外新建、扩建钢铁、石化、化工、焦化、建材、有色、制浆造纸等高污染项目。高污染项目严格按照生态环境部《环境保护综合名录(2021 年版)》有关要求执行。</w:t>
            </w:r>
          </w:p>
        </w:tc>
        <w:tc>
          <w:tcPr>
            <w:tcW w:w="1829" w:type="dxa"/>
            <w:vAlign w:val="center"/>
          </w:tcPr>
          <w:p w14:paraId="4593CCD4">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本项目不属于钢铁、石化、化工、焦化、建材、有色、制浆造纸等高污染项目</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957" w:type="dxa"/>
            <w:vAlign w:val="center"/>
          </w:tcPr>
          <w:p w14:paraId="099B3FAD">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008DD3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05E32108">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w:t>
            </w:r>
          </w:p>
        </w:tc>
        <w:tc>
          <w:tcPr>
            <w:tcW w:w="4884" w:type="dxa"/>
            <w:vAlign w:val="center"/>
          </w:tcPr>
          <w:p w14:paraId="65CDD562">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第十七条：禁止新建、扩建不符合国家石化、现代煤化工等产业布局规划的项目。未通过认定的化工园区，不得新建、改扩建化工项目</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安全、环保、节能和智能化改造项目除外</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1829" w:type="dxa"/>
            <w:vAlign w:val="center"/>
          </w:tcPr>
          <w:p w14:paraId="5CD88F22">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项目</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属于</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C4220 非金属废料和碎屑加工</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中</w:t>
            </w:r>
            <w:r>
              <w:rPr>
                <w:rFonts w:hint="eastAsia"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利用废物（油）炼油加工</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不属于《环境保护综合名录(2021年版)》</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中</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高污染、高环境风险</w:t>
            </w:r>
            <w:r>
              <w:rPr>
                <w:rFonts w:hint="eastAsia" w:cs="Times New Roman"/>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产品名录中的产品。</w:t>
            </w:r>
          </w:p>
        </w:tc>
        <w:tc>
          <w:tcPr>
            <w:tcW w:w="957" w:type="dxa"/>
            <w:vAlign w:val="center"/>
          </w:tcPr>
          <w:p w14:paraId="78DB98D9">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42CBDF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5" w:type="dxa"/>
            <w:vAlign w:val="center"/>
          </w:tcPr>
          <w:p w14:paraId="4C91F07B">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16</w:t>
            </w:r>
          </w:p>
        </w:tc>
        <w:tc>
          <w:tcPr>
            <w:tcW w:w="4884" w:type="dxa"/>
            <w:vAlign w:val="center"/>
          </w:tcPr>
          <w:p w14:paraId="34A4BB75">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第十八条：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829" w:type="dxa"/>
            <w:vAlign w:val="center"/>
          </w:tcPr>
          <w:p w14:paraId="7E4BB262">
            <w:pPr>
              <w:pStyle w:val="148"/>
              <w:keepNext w:val="0"/>
              <w:keepLines w:val="0"/>
              <w:pageBreakBefore w:val="0"/>
              <w:widowControl w:val="0"/>
              <w:kinsoku/>
              <w:wordWrap/>
              <w:overflowPunct/>
              <w:topLinePunct w:val="0"/>
              <w:bidi w:val="0"/>
              <w:spacing w:beforeLines="0" w:beforeAutospacing="0" w:afterLines="0" w:afterAutospacing="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本项目符合国家产业政策要求</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，不属于两高项目、不属于落后产能项目。</w:t>
            </w:r>
          </w:p>
        </w:tc>
        <w:tc>
          <w:tcPr>
            <w:tcW w:w="957" w:type="dxa"/>
            <w:vAlign w:val="center"/>
          </w:tcPr>
          <w:p w14:paraId="328CA1B1">
            <w:pPr>
              <w:pStyle w:val="148"/>
              <w:keepNext w:val="0"/>
              <w:keepLines w:val="0"/>
              <w:pageBreakBefore w:val="0"/>
              <w:widowControl w:val="0"/>
              <w:kinsoku/>
              <w:wordWrap/>
              <w:overflowPunct/>
              <w:topLinePunct w:val="0"/>
              <w:bidi w:val="0"/>
              <w:spacing w:beforeLines="0" w:beforeAutospacing="0" w:afterLines="0" w:afterAutospacing="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bl>
    <w:p w14:paraId="17402DA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0"/>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本项目位于平江高新技术产业园</w:t>
      </w:r>
      <w:r>
        <w:rPr>
          <w:rFonts w:hint="default" w:ascii="Times New Roman" w:hAnsi="Times New Roman" w:eastAsia="宋体" w:cs="Times New Roman"/>
          <w:color w:val="000000" w:themeColor="text1"/>
          <w:szCs w:val="20"/>
          <w:u w:val="none" w:color="auto"/>
          <w14:textFill>
            <w14:solidFill>
              <w14:schemeClr w14:val="tx1"/>
            </w14:solidFill>
          </w14:textFill>
        </w:rPr>
        <w:t>内，范围不涉及自然保护区、饮用水水源保护区、生态保护红线、国家湿地公园、基本农田等生态环境敏感目标，在落实评价提出的各项减缓措施后，与《长江经济带发展负面清单指南（试行）》和《湖南省长江经济带发展负面清单实施细则（试行）》的相关要求不冲突。</w:t>
      </w:r>
    </w:p>
    <w:p w14:paraId="522148B5">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与《湖南省湘江保护条例》（2023年5月31日修改）</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的</w:t>
      </w:r>
      <w:r>
        <w:rPr>
          <w:rFonts w:hint="default" w:ascii="Times New Roman" w:hAnsi="Times New Roman" w:eastAsia="宋体" w:cs="Times New Roman"/>
          <w:color w:val="000000" w:themeColor="text1"/>
          <w:u w:val="none" w:color="auto"/>
          <w14:textFill>
            <w14:solidFill>
              <w14:schemeClr w14:val="tx1"/>
            </w14:solidFill>
          </w14:textFill>
        </w:rPr>
        <w:t>相符性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分析</w:t>
      </w:r>
    </w:p>
    <w:p w14:paraId="61EF3B24">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根据2023年5月31日修改的《湖南省湘江保护条例》第四十九条：</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禁止在湘江干流岸线一公里范围内新建、扩建化工园区和化工项目。禁止在湘江干流岸线一公里范围内新建、改建、扩建尾矿库；但是以提升安全、生态环境保护水平为目的的改建除外。</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31BCC9C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C4220 非金属废料和碎屑加工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利用废物（油）炼油加工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行业</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不属于</w:t>
      </w:r>
      <w:r>
        <w:rPr>
          <w:rFonts w:hint="default" w:ascii="Times New Roman" w:hAnsi="Times New Roman" w:eastAsia="宋体" w:cs="Times New Roman"/>
          <w:color w:val="000000" w:themeColor="text1"/>
          <w:highlight w:val="yellow"/>
          <w:u w:val="none" w:color="auto"/>
          <w:lang w:val="en-US" w:eastAsia="zh-CN"/>
          <w14:textFill>
            <w14:solidFill>
              <w14:schemeClr w14:val="tx1"/>
            </w14:solidFill>
          </w14:textFill>
        </w:rPr>
        <w:t>工业园和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化工项目，不涉及尾矿库建设。</w:t>
      </w:r>
      <w:r>
        <w:rPr>
          <w:rFonts w:hint="default" w:ascii="Times New Roman" w:hAnsi="Times New Roman" w:eastAsia="宋体" w:cs="Times New Roman"/>
          <w:color w:val="000000" w:themeColor="text1"/>
          <w:u w:val="none" w:color="auto"/>
          <w14:textFill>
            <w14:solidFill>
              <w14:schemeClr w14:val="tx1"/>
            </w14:solidFill>
          </w14:textFill>
        </w:rPr>
        <w:t>因此本项目建设符合《湖南省湘江保护条例》。</w:t>
      </w:r>
    </w:p>
    <w:p w14:paraId="329631EF">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 xml:space="preserve"> 与《</w:t>
      </w:r>
      <w:r>
        <w:rPr>
          <w:rFonts w:hint="default" w:ascii="Times New Roman" w:hAnsi="Times New Roman" w:eastAsia="宋体" w:cs="Times New Roman"/>
          <w:color w:val="000000" w:themeColor="text1"/>
          <w:szCs w:val="22"/>
          <w:u w:val="none" w:color="auto"/>
          <w14:textFill>
            <w14:solidFill>
              <w14:schemeClr w14:val="tx1"/>
            </w14:solidFill>
          </w14:textFill>
        </w:rPr>
        <w:t>湖南省水污染防治条例</w:t>
      </w:r>
      <w:r>
        <w:rPr>
          <w:rFonts w:hint="default" w:ascii="Times New Roman" w:hAnsi="Times New Roman" w:eastAsia="宋体" w:cs="Times New Roman"/>
          <w:color w:val="000000" w:themeColor="text1"/>
          <w:u w:val="none" w:color="auto"/>
          <w14:textFill>
            <w14:solidFill>
              <w14:schemeClr w14:val="tx1"/>
            </w14:solidFill>
          </w14:textFill>
        </w:rPr>
        <w:t>》的相符性分析</w:t>
      </w:r>
    </w:p>
    <w:p w14:paraId="5E51C49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根据湖南省生态环境厅2024年11月29日发布的</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szCs w:val="22"/>
          <w:u w:val="none" w:color="auto"/>
          <w14:textFill>
            <w14:solidFill>
              <w14:schemeClr w14:val="tx1"/>
            </w14:solidFill>
          </w14:textFill>
        </w:rPr>
        <w:t>湖南省水污染防治条例</w:t>
      </w:r>
      <w:r>
        <w:rPr>
          <w:rFonts w:hint="default" w:ascii="Times New Roman" w:hAnsi="Times New Roman" w:eastAsia="宋体" w:cs="Times New Roman"/>
          <w:color w:val="000000" w:themeColor="text1"/>
          <w:u w:val="none" w:color="auto"/>
          <w14:textFill>
            <w14:solidFill>
              <w14:schemeClr w14:val="tx1"/>
            </w14:solidFill>
          </w14:textFill>
        </w:rPr>
        <w:t>》第八条</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禁止在长江湖南段和洞庭湖、湘江、资江、沅江、澧水干流岸线一公里范围内新建、扩建化工园区和化工项目。除以提升安全水平、生态环境保护水平为目的的改建外，禁止在长江湖南段岸线三公里范围内和洞庭湖、湘江、资江、沅江、澧水干流和一级支流岸线一公里范围内新建、改建、扩建尾矿库。</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01F0CDD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（2）符性分析</w:t>
      </w:r>
    </w:p>
    <w:p w14:paraId="0E14C4C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C4220 非金属废料和碎屑加工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利用废物（油）炼油加工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行业</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不属于</w:t>
      </w:r>
      <w:r>
        <w:rPr>
          <w:rFonts w:hint="default" w:ascii="Times New Roman" w:hAnsi="Times New Roman" w:eastAsia="宋体" w:cs="Times New Roman"/>
          <w:color w:val="000000" w:themeColor="text1"/>
          <w:highlight w:val="yellow"/>
          <w:u w:val="none" w:color="auto"/>
          <w:lang w:val="en-US" w:eastAsia="zh-CN"/>
          <w14:textFill>
            <w14:solidFill>
              <w14:schemeClr w14:val="tx1"/>
            </w14:solidFill>
          </w14:textFill>
        </w:rPr>
        <w:t>工业园和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化工项目，不涉及尾矿库建设。</w:t>
      </w:r>
      <w:r>
        <w:rPr>
          <w:rFonts w:hint="default" w:ascii="Times New Roman" w:hAnsi="Times New Roman" w:eastAsia="宋体" w:cs="Times New Roman"/>
          <w:color w:val="000000" w:themeColor="text1"/>
          <w:u w:val="none" w:color="auto"/>
          <w14:textFill>
            <w14:solidFill>
              <w14:schemeClr w14:val="tx1"/>
            </w14:solidFill>
          </w14:textFill>
        </w:rPr>
        <w:t>因此项目符合《湖南省水污染防治条例》的相关要求。</w:t>
      </w:r>
    </w:p>
    <w:p w14:paraId="73F7A82D">
      <w:pPr>
        <w:pStyle w:val="7"/>
        <w:keepNext w:val="0"/>
        <w:keepLines w:val="0"/>
        <w:pageBreakBefore w:val="0"/>
        <w:widowControl w:val="0"/>
        <w:kinsoku/>
        <w:wordWrap/>
        <w:overflowPunct/>
        <w:topLinePunct w:val="0"/>
        <w:bidi w:val="0"/>
        <w:ind w:firstLine="482"/>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1.3.4.8 与《湖南省空气质量持续改善行动计划实施方案》（湘政办发〔2024〕33号）相符性分析</w:t>
      </w:r>
    </w:p>
    <w:p w14:paraId="55999AD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湖南省人民政府办公厅2024年9月25日发布的关于印发</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湖南省空气质量持续改善行动计划实施方案》的通知（湘政办发〔2023〕34号），本项目与其相</w:t>
      </w:r>
      <w:r>
        <w:rPr>
          <w:rFonts w:hint="default" w:ascii="Times New Roman" w:hAnsi="Times New Roman" w:eastAsia="宋体" w:cs="Times New Roman"/>
          <w:color w:val="000000" w:themeColor="text1"/>
          <w:u w:val="none" w:color="auto"/>
          <w14:textFill>
            <w14:solidFill>
              <w14:schemeClr w14:val="tx1"/>
            </w14:solidFill>
          </w14:textFill>
        </w:rPr>
        <w:t>符性分析详见下表。</w:t>
      </w:r>
    </w:p>
    <w:p w14:paraId="357FE342">
      <w:pPr>
        <w:pStyle w:val="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表1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.3-6</w:t>
      </w:r>
      <w:r>
        <w:rPr>
          <w:rFonts w:hint="eastAsia" w:ascii="Times New Roman" w:hAnsi="Times New Roman" w:eastAsia="宋体" w:cs="Times New Roman"/>
          <w:color w:val="000000" w:themeColor="text1"/>
          <w:u w:val="none" w:color="auto"/>
          <w14:textFill>
            <w14:solidFill>
              <w14:schemeClr w14:val="tx1"/>
            </w14:solidFill>
          </w14:textFill>
        </w:rPr>
        <w:t xml:space="preserve">  与</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《湖南省空气质量持续改善行动计划实施方案》（湘政办发〔2024〕33号）</w:t>
      </w:r>
      <w:r>
        <w:rPr>
          <w:rFonts w:hint="eastAsia" w:ascii="Times New Roman" w:hAnsi="Times New Roman" w:eastAsia="宋体" w:cs="Times New Roman"/>
          <w:color w:val="000000" w:themeColor="text1"/>
          <w:u w:val="none" w:color="auto"/>
          <w14:textFill>
            <w14:solidFill>
              <w14:schemeClr w14:val="tx1"/>
            </w14:solidFill>
          </w14:textFill>
        </w:rPr>
        <w:t>相符性分析</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394"/>
        <w:gridCol w:w="2080"/>
        <w:gridCol w:w="1054"/>
      </w:tblGrid>
      <w:tr w14:paraId="243668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62" w:type="pct"/>
            <w:noWrap w:val="0"/>
            <w:vAlign w:val="center"/>
          </w:tcPr>
          <w:p w14:paraId="636E7531">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标准要求</w:t>
            </w:r>
          </w:p>
        </w:tc>
        <w:tc>
          <w:tcPr>
            <w:tcW w:w="1219" w:type="pct"/>
            <w:noWrap w:val="0"/>
            <w:vAlign w:val="center"/>
          </w:tcPr>
          <w:p w14:paraId="1921BF86">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项目情况</w:t>
            </w:r>
          </w:p>
        </w:tc>
        <w:tc>
          <w:tcPr>
            <w:tcW w:w="618" w:type="pct"/>
            <w:noWrap w:val="0"/>
            <w:vAlign w:val="center"/>
          </w:tcPr>
          <w:p w14:paraId="561EE328">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14:textFill>
                  <w14:solidFill>
                    <w14:schemeClr w14:val="tx1"/>
                  </w14:solidFill>
                </w14:textFill>
              </w:rPr>
              <w:t>符合性</w:t>
            </w:r>
          </w:p>
        </w:tc>
      </w:tr>
      <w:tr w14:paraId="3E5124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62" w:type="pct"/>
            <w:noWrap w:val="0"/>
            <w:vAlign w:val="center"/>
          </w:tcPr>
          <w:p w14:paraId="51D04885">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一、总体要求</w:t>
            </w:r>
          </w:p>
          <w:p w14:paraId="420A82B6">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坚持以习近平新时代中国特色社会主义思想为指导，全面贯彻党的二十大和二十届三中全会精神，以降低细颗粒物（PM2.5）浓度为主线，以氮氧化物和挥发性有机物（VOCs）减排为抓手，强化源头防控，突出系统治污，完成国家下达的空气质量指标和主要污染物总量减排任务，推动空气质量持续改善。到2025年，11个以上市州PM2.5浓度达标，全省PM2.5浓度力争控制在32微克/立方米以内。</w:t>
            </w:r>
          </w:p>
        </w:tc>
        <w:tc>
          <w:tcPr>
            <w:tcW w:w="1219" w:type="pct"/>
            <w:noWrap w:val="0"/>
            <w:vAlign w:val="center"/>
          </w:tcPr>
          <w:p w14:paraId="2A5807F4">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本项目废气特征污染物为</w:t>
            </w:r>
            <w:r>
              <w:rPr>
                <w:rFonts w:hint="eastAsia" w:eastAsia="宋体" w:cs="Times New Roman"/>
                <w:color w:val="000000" w:themeColor="text1"/>
                <w:sz w:val="21"/>
                <w:szCs w:val="21"/>
                <w:u w:val="none" w:color="auto"/>
                <w:lang w:val="en-US" w:eastAsia="zh-CN"/>
                <w14:textFill>
                  <w14:solidFill>
                    <w14:schemeClr w14:val="tx1"/>
                  </w14:solidFill>
                </w14:textFill>
              </w:rPr>
              <w:t>恶臭和挥发性有机物</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，通过</w:t>
            </w:r>
            <w:r>
              <w:rPr>
                <w:rFonts w:hint="eastAsia" w:eastAsia="宋体" w:cs="Times New Roman"/>
                <w:color w:val="000000" w:themeColor="text1"/>
                <w:sz w:val="21"/>
                <w:szCs w:val="21"/>
                <w:u w:val="none" w:color="auto"/>
                <w:lang w:val="en-US" w:eastAsia="zh-CN"/>
                <w14:textFill>
                  <w14:solidFill>
                    <w14:schemeClr w14:val="tx1"/>
                  </w14:solidFill>
                </w14:textFill>
              </w:rPr>
              <w:t>水喷淋+过滤+二级活性炭</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等处理设施后能满足达标排放的要求。</w:t>
            </w:r>
          </w:p>
        </w:tc>
        <w:tc>
          <w:tcPr>
            <w:tcW w:w="618" w:type="pct"/>
            <w:noWrap w:val="0"/>
            <w:vAlign w:val="center"/>
          </w:tcPr>
          <w:p w14:paraId="2F9D1814">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78468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62" w:type="pct"/>
            <w:noWrap w:val="0"/>
            <w:vAlign w:val="center"/>
          </w:tcPr>
          <w:p w14:paraId="57BC3CA9">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二、推进产业结构优化升级</w:t>
            </w:r>
          </w:p>
          <w:p w14:paraId="41935628">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（一）加强</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两高</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项目管理。新改扩建项目严格落实国家和省级产业规划、产业政策、生态环境分区管控方案、规划环评、项目环评、节能审查、产能置换、重点污染物总量控制、污染物排放区域削减、碳排放达峰目标等相关要求，原则上达到国内清洁生产先进水平、采用清洁运输方式，主要产品能效达到标杆水平。涉及产能置换、能耗替代、煤耗替代和污染物总量控制的项目，被置换产能及其配套设施关停，能耗、煤耗、新增污染物总量削减替代措施落实后，新建项目方可投产。严禁新增钢铁产能，建立多元化废钢资源保障体系，持续提升钢铁工业的废钢使用量。</w:t>
            </w:r>
          </w:p>
          <w:p w14:paraId="2E5518F3">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二）加快退出重点行业落后产能。严格执行《产业结构调整指导目录》，制定实施利用能耗、环保、质量、安全、技术等标准推动落后产能退出年度工作方案，加大重点行业落后产能淘汰力度，推动大规模设备更新，开展小型生物质锅炉清理整合。到2025年，全省砖瓦窑企业全部完成综合整治，基本完成2蒸吨/小时及以下生物质锅炉淘汰。</w:t>
            </w:r>
          </w:p>
          <w:p w14:paraId="58013D28">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三）全面开展传统产业和园区改造提升。以石油化工、建材、矿业等传统产业为重点，推动工艺绿色升级、清洁生产改造。2024年年底前中小微型传统制造企业集中的城市要制定涉气产业集群发展规划，严格项目审批，严防污染下乡。开展重点涉气产业集群和作坊式产业小集群排查整治，按照</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四个一批</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实施分类治理。到2025年，制造业企业入园率达到85%以上。实施园区节能环保提升工程，支持长沙、株洲、衡阳以及国家级园区开展清洁生产整体审核试点示范。引导各地因地制宜规划建设一批涉VOCs</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绿岛</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项目。</w:t>
            </w:r>
          </w:p>
          <w:p w14:paraId="1AD0BC34">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四）推动低VOCs含量原辅材料和产品源头替代。严格执行VOCs含量限值标准，严格控制生产和使用高VOCs含量原辅材料建设项目。以工业涂装、包装印刷、家具制造和电子行业等为重点，指导企业制定低（无）VOCs含量原辅材料替代计划，大力推动</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应替尽替</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。室外构筑物防护和城市道路交通标志推广使用低（无）VOCs含量涂料。</w:t>
            </w:r>
          </w:p>
        </w:tc>
        <w:tc>
          <w:tcPr>
            <w:tcW w:w="1219" w:type="pct"/>
            <w:noWrap w:val="0"/>
            <w:vAlign w:val="center"/>
          </w:tcPr>
          <w:p w14:paraId="580F72E0">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本项目属于</w:t>
            </w:r>
            <w:r>
              <w:rPr>
                <w:rFonts w:hint="eastAsia"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C4220 非金属废料和碎屑加工</w:t>
            </w:r>
            <w:r>
              <w:rPr>
                <w:rFonts w:hint="eastAsia"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中</w:t>
            </w:r>
            <w:r>
              <w:rPr>
                <w:rFonts w:hint="eastAsia"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利用废物（油）炼油加工</w:t>
            </w:r>
            <w:r>
              <w:rPr>
                <w:rFonts w:hint="eastAsia"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，不属于</w:t>
            </w:r>
            <w:r>
              <w:rPr>
                <w:rFonts w:hint="eastAsia"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两高</w:t>
            </w:r>
            <w:r>
              <w:rPr>
                <w:rFonts w:hint="eastAsia"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名录中的行业；</w:t>
            </w:r>
          </w:p>
          <w:p w14:paraId="1B983EC1">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项目</w:t>
            </w:r>
            <w:r>
              <w:rPr>
                <w:rFonts w:hint="eastAsia" w:eastAsia="宋体" w:cs="Times New Roman"/>
                <w:color w:val="000000" w:themeColor="text1"/>
                <w:sz w:val="21"/>
                <w:szCs w:val="21"/>
                <w:u w:val="none" w:color="auto"/>
                <w:lang w:val="en-US" w:eastAsia="zh-CN"/>
                <w14:textFill>
                  <w14:solidFill>
                    <w14:schemeClr w14:val="tx1"/>
                  </w14:solidFill>
                </w14:textFill>
              </w:rPr>
              <w:t>属于</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《产业结构调整指导目录（2024本）》</w:t>
            </w:r>
            <w:r>
              <w:rPr>
                <w:rFonts w:hint="eastAsia" w:eastAsia="宋体" w:cs="Times New Roman"/>
                <w:color w:val="000000" w:themeColor="text1"/>
                <w:sz w:val="21"/>
                <w:szCs w:val="21"/>
                <w:u w:val="none" w:color="auto"/>
                <w:lang w:val="en-US" w:eastAsia="zh-CN"/>
                <w14:textFill>
                  <w14:solidFill>
                    <w14:schemeClr w14:val="tx1"/>
                  </w14:solidFill>
                </w14:textFill>
              </w:rPr>
              <w:t>中</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鼓励类</w:t>
            </w:r>
            <w:r>
              <w:rPr>
                <w:rFonts w:hint="eastAsia" w:eastAsia="宋体" w:cs="Times New Roman"/>
                <w:color w:val="000000" w:themeColor="text1"/>
                <w:sz w:val="21"/>
                <w:szCs w:val="21"/>
                <w:u w:val="none" w:color="auto"/>
                <w:lang w:val="en-US" w:eastAsia="zh-CN"/>
                <w14:textFill>
                  <w14:solidFill>
                    <w14:schemeClr w14:val="tx1"/>
                  </w14:solidFill>
                </w14:textFill>
              </w:rPr>
              <w:t>项目</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p w14:paraId="55CBF344">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本项目不属于气型污染严重项目，不使用含VOCs原辅料。</w:t>
            </w:r>
          </w:p>
        </w:tc>
        <w:tc>
          <w:tcPr>
            <w:tcW w:w="870" w:type="dxa"/>
            <w:noWrap w:val="0"/>
            <w:vAlign w:val="center"/>
          </w:tcPr>
          <w:p w14:paraId="6911EFEB">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12A876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62" w:type="pct"/>
            <w:noWrap w:val="0"/>
            <w:vAlign w:val="center"/>
          </w:tcPr>
          <w:p w14:paraId="29D3C4EF">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三、推进能源绿色低碳转型</w:t>
            </w:r>
          </w:p>
          <w:p w14:paraId="6CC1A12C">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（五）大力发展清洁低碳能源。加快推进</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宁电入湘</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和</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气化湖南</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工程，高水平建设</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一枢纽五领先</w:t>
            </w:r>
            <w:r>
              <w:rPr>
                <w:rFonts w:hint="eastAsia" w:cs="Times New Roman"/>
                <w:color w:val="000000" w:themeColor="text1"/>
                <w:sz w:val="21"/>
                <w:szCs w:val="21"/>
                <w:u w:val="none" w:color="auto"/>
                <w:lang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新型电力系统，积极开拓天然气工业消费和居民商服用户市场，推进浅层地热能建筑规模化应用。到2025年，非化石能源消费占比达到25%，电能占终端能源消费比重达到24%。</w:t>
            </w:r>
          </w:p>
          <w:p w14:paraId="5E2C7955">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六）科学合理控制煤炭消费总量。全省原则上不再新增自备燃煤机组，推进自备燃煤机组实施清洁能源替代。引导重点行业减煤降碳、节能增效，削减非电力用煤。对支撑电力稳定供应、电网安全运行、清洁能源大规模并网消纳的煤电项目及其用煤量予以合理保障。建设全省重点行业煤炭消费监测系统。到2025年，煤炭消费占一次能源消费比重下降至51%左右，电煤消费占比达到55%以上。</w:t>
            </w:r>
          </w:p>
          <w:p w14:paraId="7219D4C2">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七）推进燃煤锅炉关停整合和散煤替代。县级及以上城市建成区原则上不再新建35蒸吨/小时及以下燃煤锅炉，加快重点城市35蒸吨/小时及以下燃煤锅炉淘汰，加大民用及农业散煤替代力度，高污染燃料禁燃区散煤动态清零。到2025年，全省基本淘汰燃煤热风炉、固定炉排燃煤锅炉和10蒸吨/小时及以下燃煤锅炉；完成燃煤烤烟房清洁能源替代12500座。发挥热电联产电厂供热能力，开展管网覆盖范围内燃煤锅炉、落后燃煤小热电机组（含自备电厂）和生物质锅炉关停或整合。</w:t>
            </w:r>
          </w:p>
          <w:p w14:paraId="7BC6F773">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八）实施工业炉窑清洁能源替代。以使用高污染燃料的工业炉窑为重点，大力推进电能、天然气替代。新改扩建加热炉、热处理炉、干燥炉、熔化炉原则上采用清洁低碳能源。全省原则上不再新增燃料类煤气发生炉，逐步淘汰固定床间歇式煤气发生炉。</w:t>
            </w:r>
          </w:p>
        </w:tc>
        <w:tc>
          <w:tcPr>
            <w:tcW w:w="1219" w:type="pct"/>
            <w:noWrap w:val="0"/>
            <w:vAlign w:val="center"/>
          </w:tcPr>
          <w:p w14:paraId="48B5978C">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本项目使用能源主要为电能和</w:t>
            </w:r>
            <w:r>
              <w:rPr>
                <w:rFonts w:hint="eastAsia" w:eastAsia="宋体" w:cs="Times New Roman"/>
                <w:color w:val="000000" w:themeColor="text1"/>
                <w:sz w:val="21"/>
                <w:szCs w:val="21"/>
                <w:u w:val="none" w:color="auto"/>
                <w:lang w:val="en-US" w:eastAsia="zh-CN"/>
                <w14:textFill>
                  <w14:solidFill>
                    <w14:schemeClr w14:val="tx1"/>
                  </w14:solidFill>
                </w14:textFill>
              </w:rPr>
              <w:t>热能（蒸汽）</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，不</w:t>
            </w:r>
            <w:r>
              <w:rPr>
                <w:rFonts w:hint="eastAsia" w:cs="Times New Roman"/>
                <w:color w:val="000000" w:themeColor="text1"/>
                <w:sz w:val="21"/>
                <w:szCs w:val="21"/>
                <w:u w:val="none" w:color="auto"/>
                <w:lang w:val="en-US" w:eastAsia="zh-CN"/>
                <w14:textFill>
                  <w14:solidFill>
                    <w14:schemeClr w14:val="tx1"/>
                  </w14:solidFill>
                </w14:textFill>
              </w:rPr>
              <w:t>使</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用煤炭能源。</w:t>
            </w:r>
          </w:p>
        </w:tc>
        <w:tc>
          <w:tcPr>
            <w:tcW w:w="870" w:type="dxa"/>
            <w:noWrap w:val="0"/>
            <w:vAlign w:val="center"/>
          </w:tcPr>
          <w:p w14:paraId="54C1E7C8">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558379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62" w:type="pct"/>
            <w:noWrap w:val="0"/>
            <w:vAlign w:val="center"/>
          </w:tcPr>
          <w:p w14:paraId="1E86DAF0">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五、强化面源污染治理和精细化管理</w:t>
            </w:r>
          </w:p>
          <w:p w14:paraId="26354A23">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十三）深化扬尘污染综合治理。大力推行绿色施工，将防治扬尘污染费用纳入工程造价，推动长距离线性工程实行分段施工。推进装配式建筑发展，完善装配式建筑项目库。到2025年，全省城镇新开工装配式建筑面积占新建建筑面积的比例达到52%；地级城市建成区道路机械化清扫率保持90%以上，县级城市保持80%以上。运用综合手段排查建立城市裸露地块清单，采取绿化、遮盖等措施及时整治扬尘。</w:t>
            </w:r>
          </w:p>
          <w:p w14:paraId="00EB61C5">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十四）推进矿山生态环境综合整治。新建矿山原则上要同步建设铁路专用线或采用其他清洁运输方式。持续开展露天矿山修复治理。对限期整改仍不达标的矿山，根据安全生产、水土保持、生态环境等要求依法关闭。到2025年，全省大、中型生产矿山基本建成绿色矿山。</w:t>
            </w:r>
          </w:p>
          <w:p w14:paraId="55FF9FE8">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十五）加强秸秆综合利用和禁烧。健全秸秆综合利用服务体系，落实中央秸秆综合利用试点政策，提高秸秆还田质量和离田效能。到2025年，全省秸秆综合利用率稳定在86%以上。各地要科学划定禁烧区域，完善网格化监管体系；综合运用卫星遥感、铁塔视频监控等手段，提高秸秆焚烧火点监测精准度，健全火点闭环处置机制，开展重点时段专项巡查。加强森林防火区内秸秆焚烧监管。（省生态环境厅、省农业农村厅、省发展改革委、省林业局、省财政厅等按职责分工负责）严格落实中心城区烟花爆竹禁限放相关政策。</w:t>
            </w:r>
          </w:p>
        </w:tc>
        <w:tc>
          <w:tcPr>
            <w:tcW w:w="1219" w:type="pct"/>
            <w:noWrap w:val="0"/>
            <w:vAlign w:val="center"/>
          </w:tcPr>
          <w:p w14:paraId="7EBD468C">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本项目属于</w:t>
            </w:r>
            <w:r>
              <w:rPr>
                <w:rFonts w:hint="eastAsia"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C4220 非金属废料和碎屑加工</w:t>
            </w:r>
            <w:r>
              <w:rPr>
                <w:rFonts w:hint="eastAsia"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中</w:t>
            </w:r>
            <w:r>
              <w:rPr>
                <w:rFonts w:hint="eastAsia"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利用废物（油）炼油加工</w:t>
            </w:r>
            <w:r>
              <w:rPr>
                <w:rFonts w:hint="eastAsia" w:eastAsia="宋体" w:cs="Times New Roman"/>
                <w:color w:val="000000" w:themeColor="text1"/>
                <w:sz w:val="21"/>
                <w:szCs w:val="2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，不属于建筑行业，不属于矿山项目；</w:t>
            </w:r>
            <w:r>
              <w:rPr>
                <w:rFonts w:hint="eastAsia" w:cs="Times New Roman"/>
                <w:color w:val="000000" w:themeColor="text1"/>
                <w:sz w:val="21"/>
                <w:szCs w:val="21"/>
                <w:u w:val="none" w:color="auto"/>
                <w:lang w:val="en-US" w:eastAsia="zh-CN"/>
                <w14:textFill>
                  <w14:solidFill>
                    <w14:schemeClr w14:val="tx1"/>
                  </w14:solidFill>
                </w14:textFill>
              </w:rPr>
              <w:t>项目不使用燃料，不焚烧秸秆</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870" w:type="dxa"/>
            <w:noWrap w:val="0"/>
            <w:vAlign w:val="center"/>
          </w:tcPr>
          <w:p w14:paraId="476C3577">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r w14:paraId="3DF47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62" w:type="pct"/>
            <w:noWrap w:val="0"/>
            <w:vAlign w:val="center"/>
          </w:tcPr>
          <w:p w14:paraId="391A22EE">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六、推动重点领域和行业多污染物减排</w:t>
            </w:r>
          </w:p>
          <w:p w14:paraId="4B35069E">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十六）深化VOCs全流程综合治理。全面开展VOCs收集治理设施排查整治，加快淘汰不合规定、低效失效、无法稳定达标的治理设施。落实非正常工况作业产生的VOCs废气、污水处理场所高浓度有机废气、含VOCs有机废水储罐和装置区集水井（池）有机废气收集处理要求。规范开展泄漏检测与修复，2025年年底前省级及以上石化、化工园区建立统一的泄漏检测与修复信息管理平台。</w:t>
            </w:r>
          </w:p>
          <w:p w14:paraId="0DBF1DBF">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（十七）推进重点行业污染深度治理。新改扩建钢铁冶炼、石化化工、电解铝、水泥、陶瓷、平板玻璃项目须达到环保绩效A级水平。</w:t>
            </w:r>
            <w:r>
              <w:rPr>
                <w:rFonts w:hint="eastAsia" w:ascii="Times New Roman" w:hAnsi="Times New Roman" w:eastAsia="宋体" w:cs="Times New Roman"/>
                <w:color w:val="000000" w:themeColor="text1"/>
                <w:sz w:val="21"/>
                <w:szCs w:val="21"/>
                <w:highlight w:val="yellow"/>
                <w:u w:val="none" w:color="auto"/>
                <w:lang w:eastAsia="zh-CN"/>
                <w14:textFill>
                  <w14:solidFill>
                    <w14:schemeClr w14:val="tx1"/>
                  </w14:solidFill>
                </w14:textFill>
              </w:rPr>
              <w:t>2025年年底前全面完成4家钢铁企业、65蒸吨/小时及以上燃煤锅炉、重点城市30条水泥熟料线以及湖南煤化新能源超低排放改造。</w:t>
            </w: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全面开展锅炉窑简易低效污染治理设施排查和分类处置，确保工业企业全面稳定达标排放，大力推进砖瓦、陶瓷、玻璃、有色等行业深度治理。开展燃气锅炉低氮燃烧改造，新建燃气锅炉全部采用低氮燃烧器。严格工业源烟气脱硫脱硝氨逃逸防控，加强烟气和含VOCs废气旁路管理。</w:t>
            </w:r>
          </w:p>
          <w:p w14:paraId="679DF7D4">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t>（十八）开展重点领域污染专项治理。严格居民楼附近餐饮服务单位布局管理，完善部门协调联动的闭环管理体系，依法督促餐饮单位规范安装、运行和维护油烟净化设施。加强恶臭异味扰民问题排查整治，投诉集中的工业园区、重点企业要安装运行在线监测系统。推进化肥减量增效，持续开展绿色种养循环农业试点和畜禽标准化养殖。</w:t>
            </w:r>
          </w:p>
        </w:tc>
        <w:tc>
          <w:tcPr>
            <w:tcW w:w="1219" w:type="pct"/>
            <w:noWrap w:val="0"/>
            <w:vAlign w:val="center"/>
          </w:tcPr>
          <w:p w14:paraId="46C8A865">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本项目不属于重点行业和领域</w:t>
            </w:r>
            <w:r>
              <w:rPr>
                <w:rFonts w:hint="eastAsia" w:eastAsia="宋体" w:cs="Times New Roman"/>
                <w:color w:val="000000" w:themeColor="text1"/>
                <w:sz w:val="21"/>
                <w:szCs w:val="21"/>
                <w:u w:val="none" w:color="auto"/>
                <w:lang w:val="en-US" w:eastAsia="zh-CN"/>
                <w14:textFill>
                  <w14:solidFill>
                    <w14:schemeClr w14:val="tx1"/>
                  </w14:solidFill>
                </w14:textFill>
              </w:rPr>
              <w:t>。项目生产产生的少量恶臭及挥发性有机气体经水喷淋+过滤+二级活性炭处理后能满足达标排放，且项目下风向为工业园，没有集中居民区，对周边环境影响较小。</w:t>
            </w:r>
          </w:p>
        </w:tc>
        <w:tc>
          <w:tcPr>
            <w:tcW w:w="870" w:type="dxa"/>
            <w:noWrap w:val="0"/>
            <w:vAlign w:val="center"/>
          </w:tcPr>
          <w:p w14:paraId="0A777F16">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符合</w:t>
            </w:r>
          </w:p>
        </w:tc>
      </w:tr>
    </w:tbl>
    <w:p w14:paraId="5191DCFB">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highlight w:val="none"/>
          <w:u w:val="none" w:color="auto"/>
          <w14:textFill>
            <w14:solidFill>
              <w14:schemeClr w14:val="tx1"/>
            </w14:solidFill>
          </w14:textFill>
        </w:rPr>
        <w:t>由上表可知，本项目满足</w:t>
      </w: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《湖南省空气质量持续改善行动计划实施方案》（湘政办发〔2024〕33号）的</w:t>
      </w:r>
      <w:r>
        <w:rPr>
          <w:rFonts w:hint="default" w:ascii="Times New Roman" w:hAnsi="Times New Roman" w:eastAsia="宋体" w:cs="Times New Roman"/>
          <w:color w:val="000000" w:themeColor="text1"/>
          <w:highlight w:val="none"/>
          <w:u w:val="none" w:color="auto"/>
          <w14:textFill>
            <w14:solidFill>
              <w14:schemeClr w14:val="tx1"/>
            </w14:solidFill>
          </w14:textFill>
        </w:rPr>
        <w:t>相关要求。</w:t>
      </w:r>
    </w:p>
    <w:p w14:paraId="1F9B12C7">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1.3.4.9 与《湖南省大气污染防治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守护蓝天</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攻坚行动计划（2023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2025年）》的</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相符</w:t>
      </w:r>
      <w:r>
        <w:rPr>
          <w:rFonts w:hint="default" w:ascii="Times New Roman" w:hAnsi="Times New Roman" w:eastAsia="宋体" w:cs="Times New Roman"/>
          <w:color w:val="000000" w:themeColor="text1"/>
          <w:u w:val="none" w:color="auto"/>
          <w14:textFill>
            <w14:solidFill>
              <w14:schemeClr w14:val="tx1"/>
            </w14:solidFill>
          </w14:textFill>
        </w:rPr>
        <w:t>性分析</w:t>
      </w:r>
    </w:p>
    <w:p w14:paraId="0995CE7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2023年8月23日，湖南省人民政府办公厅关于印发《湖南省大气污染防治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守护蓝天</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攻坚行动计划（2023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2025年）》的通知（湘政办发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34号）</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w:t>
      </w:r>
      <w:r>
        <w:rPr>
          <w:rFonts w:hint="default" w:ascii="Times New Roman" w:hAnsi="Times New Roman" w:eastAsia="宋体" w:cs="Times New Roman"/>
          <w:color w:val="000000" w:themeColor="text1"/>
          <w:u w:val="none" w:color="auto"/>
          <w14:textFill>
            <w14:solidFill>
              <w14:schemeClr w14:val="tx1"/>
            </w14:solidFill>
          </w14:textFill>
        </w:rPr>
        <w:t>与上述文件的符合性详见下表。</w:t>
      </w:r>
    </w:p>
    <w:p w14:paraId="531F790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表1.3-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 xml:space="preserve">  与《湖南省大气污染防治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守护蓝天</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攻坚行动计划（2023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2025年）》的符合性</w:t>
      </w:r>
    </w:p>
    <w:tbl>
      <w:tblPr>
        <w:tblStyle w:val="37"/>
        <w:tblW w:w="5000" w:type="pct"/>
        <w:tblInd w:w="-12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797"/>
        <w:gridCol w:w="2815"/>
        <w:gridCol w:w="916"/>
      </w:tblGrid>
      <w:tr w14:paraId="6CBF49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blHeader/>
        </w:trPr>
        <w:tc>
          <w:tcPr>
            <w:tcW w:w="2812" w:type="pct"/>
            <w:vAlign w:val="center"/>
          </w:tcPr>
          <w:p w14:paraId="797330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主要内容</w:t>
            </w:r>
          </w:p>
        </w:tc>
        <w:tc>
          <w:tcPr>
            <w:tcW w:w="1650" w:type="pct"/>
            <w:vAlign w:val="center"/>
          </w:tcPr>
          <w:p w14:paraId="530A1E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本项目情况</w:t>
            </w:r>
          </w:p>
        </w:tc>
        <w:tc>
          <w:tcPr>
            <w:tcW w:w="537" w:type="pct"/>
            <w:vAlign w:val="center"/>
          </w:tcPr>
          <w:p w14:paraId="462DF9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符合性分析</w:t>
            </w:r>
          </w:p>
        </w:tc>
      </w:tr>
      <w:tr w14:paraId="79FD1A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2812" w:type="pct"/>
            <w:vAlign w:val="center"/>
          </w:tcPr>
          <w:p w14:paraId="017BBFEF">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推动能源绿色低碳转型。严格落实煤炭等量、减量替代，提高电煤消费占比</w:t>
            </w:r>
          </w:p>
        </w:tc>
        <w:tc>
          <w:tcPr>
            <w:tcW w:w="1650" w:type="pct"/>
            <w:vMerge w:val="restart"/>
            <w:vAlign w:val="center"/>
          </w:tcPr>
          <w:p w14:paraId="037EEE33">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本项目能源主要</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为电能和热能，热能依托园区供热系统</w:t>
            </w:r>
            <w:r>
              <w:rPr>
                <w:rFonts w:hint="default" w:ascii="Times New Roman" w:hAnsi="Times New Roman" w:eastAsia="宋体" w:cs="Times New Roman"/>
                <w:color w:val="000000" w:themeColor="text1"/>
                <w:u w:val="none" w:color="auto"/>
                <w14:textFill>
                  <w14:solidFill>
                    <w14:schemeClr w14:val="tx1"/>
                  </w14:solidFill>
                </w14:textFill>
              </w:rPr>
              <w:t>，不使用煤炭</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537" w:type="pct"/>
            <w:vAlign w:val="center"/>
          </w:tcPr>
          <w:p w14:paraId="3784BA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103ADF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2812" w:type="pct"/>
            <w:vAlign w:val="center"/>
          </w:tcPr>
          <w:p w14:paraId="7DF8C8EF">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强化禁燃区管控，推进散煤替代。</w:t>
            </w:r>
          </w:p>
        </w:tc>
        <w:tc>
          <w:tcPr>
            <w:tcW w:w="1650" w:type="pct"/>
            <w:vMerge w:val="continue"/>
            <w:vAlign w:val="center"/>
          </w:tcPr>
          <w:p w14:paraId="4C4183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37" w:type="pct"/>
            <w:vAlign w:val="center"/>
          </w:tcPr>
          <w:p w14:paraId="0853C1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709CE1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2812" w:type="pct"/>
            <w:vAlign w:val="center"/>
          </w:tcPr>
          <w:p w14:paraId="3D981634">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提升重点行业能效水平。开展重点行业节能降碳改造，</w:t>
            </w:r>
          </w:p>
        </w:tc>
        <w:tc>
          <w:tcPr>
            <w:tcW w:w="1650" w:type="pct"/>
            <w:vMerge w:val="continue"/>
            <w:vAlign w:val="center"/>
          </w:tcPr>
          <w:p w14:paraId="0E98A8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37" w:type="pct"/>
            <w:vAlign w:val="center"/>
          </w:tcPr>
          <w:p w14:paraId="119087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0BF112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2812" w:type="pct"/>
            <w:vAlign w:val="center"/>
          </w:tcPr>
          <w:p w14:paraId="4D90E1AD">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优化产业结构和布局。严格项目准入，遏制</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两高一低</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项目盲目发展</w:t>
            </w:r>
          </w:p>
        </w:tc>
        <w:tc>
          <w:tcPr>
            <w:tcW w:w="1650" w:type="pct"/>
            <w:vAlign w:val="center"/>
          </w:tcPr>
          <w:p w14:paraId="4A2E8B54">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本项目符合《产业结构调整指导目录》（2024年本）要求，与园区主导产业不冲突。</w:t>
            </w:r>
          </w:p>
        </w:tc>
        <w:tc>
          <w:tcPr>
            <w:tcW w:w="537" w:type="pct"/>
            <w:vAlign w:val="center"/>
          </w:tcPr>
          <w:p w14:paraId="76A3FB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6D5DC4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2812" w:type="pct"/>
            <w:vAlign w:val="center"/>
          </w:tcPr>
          <w:p w14:paraId="3A6F42CC">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加大低VOCs原辅材料替代力度，开展涉VOCs重点行业全流程整治。持续开展VOCs治理突出问题排查，清理整顿简易低效、不合规定治理设施，强化无组织和非正常工况废气排放管控。</w:t>
            </w:r>
          </w:p>
        </w:tc>
        <w:tc>
          <w:tcPr>
            <w:tcW w:w="1650" w:type="pct"/>
            <w:vAlign w:val="center"/>
          </w:tcPr>
          <w:p w14:paraId="596250E4">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本项目不涉及VOCs原辅材料的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使用</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537" w:type="pct"/>
            <w:vAlign w:val="center"/>
          </w:tcPr>
          <w:p w14:paraId="2BC631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bl>
    <w:p w14:paraId="047177F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通过上表分析，项目符合《湖南省大气污染防治</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守护蓝天</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攻坚行动计划（2023-2025年）》的相关要求。</w:t>
      </w:r>
    </w:p>
    <w:p w14:paraId="1DC4D1F0">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 xml:space="preserve"> 与《湖南省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生态环境保护规划》</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湘政办发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61号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相符性分析</w:t>
      </w:r>
    </w:p>
    <w:p w14:paraId="1BE69C3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根据湖南省人民政府办公厅2021年9月30日发布的《湖南省</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十四五</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生态环境保护规划》（湘政办发〔2021〕61号），本项目与规划符合性分析见下表。</w:t>
      </w:r>
    </w:p>
    <w:p w14:paraId="4F310CE1">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表1.3-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 xml:space="preserve">  与《湖南省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生态环境保护规划》的符合性</w:t>
      </w:r>
    </w:p>
    <w:tbl>
      <w:tblPr>
        <w:tblStyle w:val="37"/>
        <w:tblW w:w="5000" w:type="pct"/>
        <w:tblInd w:w="-12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9"/>
        <w:gridCol w:w="4973"/>
        <w:gridCol w:w="1652"/>
        <w:gridCol w:w="1264"/>
      </w:tblGrid>
      <w:tr w14:paraId="36037E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blHeader/>
        </w:trPr>
        <w:tc>
          <w:tcPr>
            <w:tcW w:w="3290" w:type="pct"/>
            <w:gridSpan w:val="2"/>
            <w:vAlign w:val="center"/>
          </w:tcPr>
          <w:p w14:paraId="44BA8C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相关要求</w:t>
            </w:r>
          </w:p>
        </w:tc>
        <w:tc>
          <w:tcPr>
            <w:tcW w:w="968" w:type="pct"/>
            <w:vAlign w:val="center"/>
          </w:tcPr>
          <w:p w14:paraId="6D95B1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本项目情况</w:t>
            </w:r>
          </w:p>
        </w:tc>
        <w:tc>
          <w:tcPr>
            <w:tcW w:w="741" w:type="pct"/>
            <w:vAlign w:val="center"/>
          </w:tcPr>
          <w:p w14:paraId="4EBBBA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符合性分析</w:t>
            </w:r>
          </w:p>
        </w:tc>
      </w:tr>
      <w:tr w14:paraId="034098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374" w:type="pct"/>
            <w:vAlign w:val="center"/>
          </w:tcPr>
          <w:p w14:paraId="06C45323">
            <w:pPr>
              <w:keepNext w:val="0"/>
              <w:keepLines w:val="0"/>
              <w:pageBreakBefore w:val="0"/>
              <w:widowControl w:val="0"/>
              <w:suppressLineNumbers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kern w:val="0"/>
                <w:sz w:val="20"/>
                <w:szCs w:val="20"/>
                <w:u w:val="none" w:color="auto"/>
                <w:lang w:val="en-US" w:eastAsia="zh-CN" w:bidi="ar"/>
                <w14:textFill>
                  <w14:solidFill>
                    <w14:schemeClr w14:val="tx1"/>
                  </w14:solidFill>
                </w14:textFill>
              </w:rPr>
              <w:t>加强长江干支流系统治理</w:t>
            </w:r>
          </w:p>
        </w:tc>
        <w:tc>
          <w:tcPr>
            <w:tcW w:w="2915" w:type="pct"/>
            <w:vAlign w:val="center"/>
          </w:tcPr>
          <w:p w14:paraId="5EBABDA6">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按照《湖南省沿江化工企业搬迁改造实施方案》要求，沿江岸线1公里范围内严禁新建、扩建化工园区、化工生产项目；严禁现有合规化工园区在沿江岸线1公里范围内靠江扩建；安全环保达标的化工生产企业因生产需要可向背江一面逐步搬迁，2025年底前完成沿江化工企业搬迁改造任务。全面加强入河排污口排查整治与监管，2023年完成长江干流湖南段、湘资沅澧干流及重要支流入河排污口排查，建立入河排污口名录，初步建成统一的流域排污口信息管理系统，2025年完成全流域排污口排查，建成流域排污口信息管理系统。完成入河排污口区域分区体系建设，明确禁止设置、限制设置区域范围，有效规范和管控入河排污口。</w:t>
            </w:r>
          </w:p>
        </w:tc>
        <w:tc>
          <w:tcPr>
            <w:tcW w:w="968" w:type="pct"/>
            <w:vAlign w:val="center"/>
          </w:tcPr>
          <w:p w14:paraId="5CE5D668">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本项目不属于化工项目，且不设入河排污口。</w:t>
            </w:r>
          </w:p>
        </w:tc>
        <w:tc>
          <w:tcPr>
            <w:tcW w:w="741" w:type="pct"/>
            <w:vAlign w:val="center"/>
          </w:tcPr>
          <w:p w14:paraId="14721C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3FB7AA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374" w:type="pct"/>
            <w:vAlign w:val="center"/>
          </w:tcPr>
          <w:p w14:paraId="29EAC60A">
            <w:pPr>
              <w:keepNext w:val="0"/>
              <w:keepLines w:val="0"/>
              <w:pageBreakBefore w:val="0"/>
              <w:widowControl w:val="0"/>
              <w:suppressLineNumbers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kern w:val="0"/>
                <w:sz w:val="20"/>
                <w:szCs w:val="20"/>
                <w:u w:val="none" w:color="auto"/>
                <w:lang w:val="en-US" w:eastAsia="zh-CN" w:bidi="ar"/>
                <w14:textFill>
                  <w14:solidFill>
                    <w14:schemeClr w14:val="tx1"/>
                  </w14:solidFill>
                </w14:textFill>
              </w:rPr>
              <w:t>强化重点行业VOCs科学治理</w:t>
            </w:r>
          </w:p>
        </w:tc>
        <w:tc>
          <w:tcPr>
            <w:tcW w:w="2915" w:type="pct"/>
            <w:vAlign w:val="center"/>
          </w:tcPr>
          <w:p w14:paraId="43630945">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以工业涂装、石化、化工、包装印刷、油品储运销等行业为重点，实施企业VOCs原料替代、排放全过程控制。按照</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分业施策、一行一策</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的原则，加大低VOCs含量原辅材料的推广使用力度，从源头减少VOCs产生。推进使用先进生产工艺设备，减少无组织排放。实行重点排放源排放浓度与去除效率双重控制。加强汽修行业VOCs综合治理，加大餐饮油烟污染治理力度，推进县级以上城市餐饮油烟治理全覆盖。</w:t>
            </w:r>
          </w:p>
        </w:tc>
        <w:tc>
          <w:tcPr>
            <w:tcW w:w="968" w:type="pct"/>
            <w:vAlign w:val="center"/>
          </w:tcPr>
          <w:p w14:paraId="53070015">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本项目油脂加工废气经</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喷淋塔+过滤棉+二级活性炭吸附</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装置处理后通过15 m排气筒排放，能够减少VOCs的排放。符合规划要求。</w:t>
            </w:r>
          </w:p>
        </w:tc>
        <w:tc>
          <w:tcPr>
            <w:tcW w:w="741" w:type="pct"/>
            <w:vAlign w:val="center"/>
          </w:tcPr>
          <w:p w14:paraId="5BE736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0509D4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374" w:type="pct"/>
            <w:vAlign w:val="center"/>
          </w:tcPr>
          <w:p w14:paraId="6423E224">
            <w:pPr>
              <w:keepNext w:val="0"/>
              <w:keepLines w:val="0"/>
              <w:pageBreakBefore w:val="0"/>
              <w:widowControl w:val="0"/>
              <w:suppressLineNumbers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kern w:val="0"/>
                <w:sz w:val="20"/>
                <w:szCs w:val="20"/>
                <w:u w:val="none" w:color="auto"/>
                <w:lang w:val="en-US" w:eastAsia="zh-CN" w:bidi="ar"/>
                <w14:textFill>
                  <w14:solidFill>
                    <w14:schemeClr w14:val="tx1"/>
                  </w14:solidFill>
                </w14:textFill>
              </w:rPr>
              <w:t>推动资源高效循环利用</w:t>
            </w:r>
          </w:p>
        </w:tc>
        <w:tc>
          <w:tcPr>
            <w:tcW w:w="2915" w:type="pct"/>
            <w:vAlign w:val="center"/>
          </w:tcPr>
          <w:p w14:paraId="1D3C0BC3">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加快健全协同处置城市废弃物的市场化收费机制，推动建立</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互联网+回收</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旧资源回收模式，充分利用和完善家电生产、流通企业逆向物流回收体系，建立健全废旧家电回收网络。加强废弃电器电子产品、报废机动车、废铅蓄电池拆解利用企业规范化管理和环境监管，高水平建设现代化</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城市矿产</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基地。提升汽车零部件、工程机械、机床等再制造水平，推动再制造产业高质量发展。开展重点用能行业、产品资源效率对标提升行动，建立统一的绿色产品标准、认证、标识等体系。</w:t>
            </w:r>
          </w:p>
        </w:tc>
        <w:tc>
          <w:tcPr>
            <w:tcW w:w="968" w:type="pct"/>
            <w:vAlign w:val="center"/>
          </w:tcPr>
          <w:p w14:paraId="3C6C8326">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本项目对废弃油脂进行回收利用，符合资源高效循环利用的要求。</w:t>
            </w:r>
          </w:p>
        </w:tc>
        <w:tc>
          <w:tcPr>
            <w:tcW w:w="741" w:type="pct"/>
            <w:vAlign w:val="center"/>
          </w:tcPr>
          <w:p w14:paraId="589A53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bl>
    <w:p w14:paraId="2385B96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根据上表分析可知，本项目与《</w:t>
      </w:r>
      <w:r>
        <w:rPr>
          <w:rFonts w:hint="default" w:ascii="Times New Roman" w:hAnsi="Times New Roman" w:eastAsia="宋体" w:cs="Times New Roman"/>
          <w:color w:val="000000" w:themeColor="text1"/>
          <w:u w:val="none" w:color="auto"/>
          <w14:textFill>
            <w14:solidFill>
              <w14:schemeClr w14:val="tx1"/>
            </w14:solidFill>
          </w14:textFill>
        </w:rPr>
        <w:t>湖南省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生态环境保护规划</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》相符。</w:t>
      </w:r>
    </w:p>
    <w:p w14:paraId="1F8B267C">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1.3.4.1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 xml:space="preserve"> </w:t>
      </w:r>
      <w:bookmarkStart w:id="29" w:name="_Toc69148633"/>
      <w:bookmarkStart w:id="30" w:name="_Toc68125620"/>
      <w:r>
        <w:rPr>
          <w:rFonts w:hint="default" w:ascii="Times New Roman" w:hAnsi="Times New Roman" w:eastAsia="宋体" w:cs="Times New Roman"/>
          <w:color w:val="000000" w:themeColor="text1"/>
          <w:u w:val="none" w:color="auto"/>
          <w14:textFill>
            <w14:solidFill>
              <w14:schemeClr w14:val="tx1"/>
            </w14:solidFill>
          </w14:textFill>
        </w:rPr>
        <w:t>与《平江县生态环境保护</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规划》</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的</w:t>
      </w:r>
      <w:r>
        <w:rPr>
          <w:rFonts w:hint="default" w:ascii="Times New Roman" w:hAnsi="Times New Roman" w:eastAsia="宋体" w:cs="Times New Roman"/>
          <w:color w:val="000000" w:themeColor="text1"/>
          <w:u w:val="none" w:color="auto"/>
          <w14:textFill>
            <w14:solidFill>
              <w14:schemeClr w14:val="tx1"/>
            </w14:solidFill>
          </w14:textFill>
        </w:rPr>
        <w:t>符合性分析</w:t>
      </w:r>
      <w:bookmarkEnd w:id="29"/>
      <w:bookmarkEnd w:id="30"/>
    </w:p>
    <w:p w14:paraId="778D758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根据岳阳市生态环境局平江分局2021年11月4日发布的《平江县生态环境保护</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十四五</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规划》，本项目与规划符合性分析见下表。</w:t>
      </w:r>
    </w:p>
    <w:p w14:paraId="6CF7179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表1.3-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 xml:space="preserve">  与《平江县生态环境保护</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规划》的符合性</w:t>
      </w:r>
    </w:p>
    <w:tbl>
      <w:tblPr>
        <w:tblStyle w:val="37"/>
        <w:tblW w:w="5000" w:type="pct"/>
        <w:tblInd w:w="-12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39"/>
        <w:gridCol w:w="4673"/>
        <w:gridCol w:w="1652"/>
        <w:gridCol w:w="1264"/>
      </w:tblGrid>
      <w:tr w14:paraId="31021C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blHeader/>
        </w:trPr>
        <w:tc>
          <w:tcPr>
            <w:tcW w:w="3290" w:type="pct"/>
            <w:gridSpan w:val="2"/>
            <w:vAlign w:val="center"/>
          </w:tcPr>
          <w:p w14:paraId="400352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相关要求</w:t>
            </w:r>
          </w:p>
        </w:tc>
        <w:tc>
          <w:tcPr>
            <w:tcW w:w="968" w:type="pct"/>
            <w:vAlign w:val="center"/>
          </w:tcPr>
          <w:p w14:paraId="484553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本项目情况</w:t>
            </w:r>
          </w:p>
        </w:tc>
        <w:tc>
          <w:tcPr>
            <w:tcW w:w="741" w:type="pct"/>
            <w:vAlign w:val="center"/>
          </w:tcPr>
          <w:p w14:paraId="50F3FE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符合性分析</w:t>
            </w:r>
          </w:p>
        </w:tc>
      </w:tr>
      <w:tr w14:paraId="40F8B7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550" w:type="pct"/>
            <w:vAlign w:val="center"/>
          </w:tcPr>
          <w:p w14:paraId="3E9CA64D">
            <w:pPr>
              <w:keepNext w:val="0"/>
              <w:keepLines w:val="0"/>
              <w:pageBreakBefore w:val="0"/>
              <w:widowControl w:val="0"/>
              <w:suppressLineNumbers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（二）水污染防治攻坚战收官与流域水环境生态环境保护</w:t>
            </w:r>
          </w:p>
        </w:tc>
        <w:tc>
          <w:tcPr>
            <w:tcW w:w="2739" w:type="pct"/>
            <w:vAlign w:val="center"/>
          </w:tcPr>
          <w:p w14:paraId="5E5E8AA8">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污染减排。严格按照产业结构调整指导名录等相关政策要求，结合我县生态环境保护需求，调整优化产业结构布局。对食品、云母等产业整合重组、升级改造、搬迁入园。补齐污水处理设施短板。对存在有污水直排口、长期超负荷运行处理设施等情况的，合理确定污水处理能力建设规模；对城镇生活污染负荷较重的，根据水生态环境质量评价结果，实施污水处理厂的提标改造。</w:t>
            </w:r>
          </w:p>
          <w:p w14:paraId="1F7C0C19">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按照</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查、测、溯、治</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工作步骤和要求，以城市建成区及重要水体为重点，摸清所有直接、间接排放的各类排污口数量、位置，了解排污口的排放状况，掌握排放的污染物种类及排放量，形成入河排污口台账。根据排污口排查工作成果，结合水生态环境状况，确定禁止设置排污区域和限制设置排污区域，优化排污口设置布局······。</w:t>
            </w:r>
          </w:p>
        </w:tc>
        <w:tc>
          <w:tcPr>
            <w:tcW w:w="968" w:type="pct"/>
            <w:vAlign w:val="center"/>
          </w:tcPr>
          <w:p w14:paraId="327D6A2B">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项目生产废水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w:t>
            </w:r>
            <w:r>
              <w:rPr>
                <w:rFonts w:hint="default" w:ascii="Times New Roman" w:hAnsi="Times New Roman" w:eastAsia="宋体" w:cs="Times New Roman"/>
                <w:color w:val="000000" w:themeColor="text1"/>
                <w:u w:val="none" w:color="auto"/>
                <w14:textFill>
                  <w14:solidFill>
                    <w14:schemeClr w14:val="tx1"/>
                  </w14:solidFill>
                </w14:textFill>
              </w:rPr>
              <w:t>生活污水依托平江高新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进行处置，不涉及重金属及持久性污染物</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排放。</w:t>
            </w:r>
          </w:p>
        </w:tc>
        <w:tc>
          <w:tcPr>
            <w:tcW w:w="741" w:type="pct"/>
            <w:vAlign w:val="center"/>
          </w:tcPr>
          <w:p w14:paraId="4E018D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69CC8A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550" w:type="pct"/>
            <w:vAlign w:val="center"/>
          </w:tcPr>
          <w:p w14:paraId="399989D0">
            <w:pPr>
              <w:keepNext w:val="0"/>
              <w:keepLines w:val="0"/>
              <w:pageBreakBefore w:val="0"/>
              <w:widowControl w:val="0"/>
              <w:suppressLineNumbers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（三）大气污染防治与应对气候变化</w:t>
            </w:r>
          </w:p>
        </w:tc>
        <w:tc>
          <w:tcPr>
            <w:tcW w:w="2739" w:type="pct"/>
            <w:vAlign w:val="center"/>
          </w:tcPr>
          <w:p w14:paraId="100159FD">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加强工业企业污染管控。杜绝高污染企业上马，严格控制工业企业大气污染物排放，所有工业企业必须持证排污，达标排放。禁止在城市建成区及其近郊建设废气高污染企业。推进生产过程中排放粉尘、硫化物和氮氧化物的企业进行处理设施的升级改造。全面落实</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一厂一策</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实施方案，提升企业环保管理水平，有效应对重污染天气，加强重污染天气重点行业应急减排措施·····。</w:t>
            </w:r>
          </w:p>
          <w:p w14:paraId="76073C35">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（5）加大VOCs与NOx减排管理力度。严格执行涂料、油墨、胶粘剂、清洗剂等产品质量标准VOCs含量限值。强化含VOCs物料全方位、全链条、全环节的无组织排放控制，提升综合去除效率·····。</w:t>
            </w:r>
          </w:p>
        </w:tc>
        <w:tc>
          <w:tcPr>
            <w:tcW w:w="968" w:type="pct"/>
            <w:vAlign w:val="center"/>
          </w:tcPr>
          <w:p w14:paraId="4C36759D">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本项目废气采取有效措施进行处置，经预测对周边环境影响可接受</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741" w:type="pct"/>
            <w:vAlign w:val="center"/>
          </w:tcPr>
          <w:p w14:paraId="292AEA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符合</w:t>
            </w:r>
          </w:p>
        </w:tc>
      </w:tr>
      <w:tr w14:paraId="2A6895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550" w:type="pct"/>
            <w:vAlign w:val="center"/>
          </w:tcPr>
          <w:p w14:paraId="4F56AB6D">
            <w:pPr>
              <w:keepNext w:val="0"/>
              <w:keepLines w:val="0"/>
              <w:pageBreakBefore w:val="0"/>
              <w:widowControl w:val="0"/>
              <w:suppressLineNumbers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（五）固体废物污染防治</w:t>
            </w:r>
          </w:p>
        </w:tc>
        <w:tc>
          <w:tcPr>
            <w:tcW w:w="2739" w:type="pct"/>
            <w:vAlign w:val="center"/>
          </w:tcPr>
          <w:p w14:paraId="184D462E">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对于工业固体废物，应化害为利，综合利用，对有毒有害工业固体废物采用安全处理的方式，对无法回收利用又不能焚烧的送到垃圾无害化处理场。各企业产生的工业固体废物，严格监管企业自行处理处置与综合利用方式。工业园区的固体废物，采取产业链的形式，实行资源化，达到零排放·····。</w:t>
            </w:r>
          </w:p>
        </w:tc>
        <w:tc>
          <w:tcPr>
            <w:tcW w:w="968" w:type="pct"/>
            <w:vAlign w:val="center"/>
          </w:tcPr>
          <w:p w14:paraId="363A7644">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项目设置一般固废暂存间，一般固废外售相关单位回收利用</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项目设置危废暂存间分类收集运营期产生的危险废物，并定期委托有资质单位处置。</w:t>
            </w:r>
          </w:p>
        </w:tc>
        <w:tc>
          <w:tcPr>
            <w:tcW w:w="741" w:type="pct"/>
            <w:vAlign w:val="center"/>
          </w:tcPr>
          <w:p w14:paraId="1C050A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符合</w:t>
            </w:r>
          </w:p>
        </w:tc>
      </w:tr>
    </w:tbl>
    <w:p w14:paraId="567512D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根据上表分析可知，本项目与《平江县生态环境保护</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十四五</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规划》相符。</w:t>
      </w:r>
    </w:p>
    <w:p w14:paraId="27887AD2">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1" w:name="_Toc4351"/>
      <w:r>
        <w:rPr>
          <w:rFonts w:hint="default" w:ascii="Times New Roman" w:hAnsi="Times New Roman" w:eastAsia="宋体" w:cs="Times New Roman"/>
          <w:color w:val="000000" w:themeColor="text1"/>
          <w:u w:val="none" w:color="auto"/>
          <w14:textFill>
            <w14:solidFill>
              <w14:schemeClr w14:val="tx1"/>
            </w14:solidFill>
          </w14:textFill>
        </w:rPr>
        <w:t>1.3.5 项目选址合理性分析</w:t>
      </w:r>
      <w:bookmarkEnd w:id="31"/>
    </w:p>
    <w:p w14:paraId="5594A39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（1）用地性质符合性分析</w:t>
      </w:r>
    </w:p>
    <w:p w14:paraId="6D88CAE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本项目位于平江高新技术产业园伍市片区范围内，用地类型属于工业用地</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伍市工业园</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产业定位为</w:t>
      </w:r>
      <w:r>
        <w:rPr>
          <w:rFonts w:hint="default" w:ascii="Times New Roman" w:hAnsi="Times New Roman" w:eastAsia="宋体" w:cs="Times New Roman"/>
          <w:color w:val="000000" w:themeColor="text1"/>
          <w:u w:val="none" w:color="auto"/>
          <w14:textFill>
            <w14:solidFill>
              <w14:schemeClr w14:val="tx1"/>
            </w14:solidFill>
          </w14:textFill>
        </w:rPr>
        <w:t>休闲食品、云母制品、石膏装饰建材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等，项目以食品企业废弃油脂为原料生产工业级混合油，解决园区食品加工企业废弃油脂处置问题，完善园区废弃资源综合利用的能力</w:t>
      </w:r>
      <w:r>
        <w:rPr>
          <w:rFonts w:hint="default" w:ascii="Times New Roman" w:hAnsi="Times New Roman" w:eastAsia="宋体" w:cs="Times New Roman"/>
          <w:color w:val="000000" w:themeColor="text1"/>
          <w:u w:val="none" w:color="auto"/>
          <w14:textFill>
            <w14:solidFill>
              <w14:schemeClr w14:val="tx1"/>
            </w14:solidFill>
          </w14:textFill>
        </w:rPr>
        <w:t>，满足《平江县国土空间总体规划（2021-2035年）》相关要求。</w:t>
      </w:r>
    </w:p>
    <w:p w14:paraId="543966A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（2）环境可行性分析</w:t>
      </w:r>
    </w:p>
    <w:p w14:paraId="5B0EDE6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根据现场勘查，</w:t>
      </w:r>
      <w:r>
        <w:rPr>
          <w:rFonts w:hint="default" w:ascii="Times New Roman" w:hAnsi="Times New Roman" w:eastAsia="宋体" w:cs="Times New Roman"/>
          <w:color w:val="000000" w:themeColor="text1"/>
          <w:u w:val="none" w:color="auto"/>
          <w:lang w:eastAsia="zh-CN"/>
          <w14:textFill>
            <w14:solidFill>
              <w14:schemeClr w14:val="tx1"/>
            </w14:solidFill>
          </w14:textFill>
        </w:rPr>
        <w:t>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西侧、西北侧130 m～500 m为公合村村民集中居住区</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公合村村民集中居住区位于项目区域常年主导风向的上风向。而且</w:t>
      </w:r>
      <w:r>
        <w:rPr>
          <w:rFonts w:hint="default" w:ascii="Times New Roman" w:hAnsi="Times New Roman" w:eastAsia="宋体" w:cs="Times New Roman"/>
          <w:color w:val="000000" w:themeColor="text1"/>
          <w:u w:val="none" w:color="auto"/>
          <w:lang w:eastAsia="zh-CN"/>
          <w14:textFill>
            <w14:solidFill>
              <w14:schemeClr w14:val="tx1"/>
            </w14:solidFill>
          </w14:textFill>
        </w:rPr>
        <w:t>本项目生产加工均位于</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密闭</w:t>
      </w:r>
      <w:r>
        <w:rPr>
          <w:rFonts w:hint="default" w:ascii="Times New Roman" w:hAnsi="Times New Roman" w:eastAsia="宋体" w:cs="Times New Roman"/>
          <w:color w:val="000000" w:themeColor="text1"/>
          <w:u w:val="none" w:color="auto"/>
          <w:lang w:eastAsia="zh-CN"/>
          <w14:textFill>
            <w14:solidFill>
              <w14:schemeClr w14:val="tx1"/>
            </w14:solidFill>
          </w14:textFill>
        </w:rPr>
        <w:t>车间内，项目产生的废气均经收集由环保设施处理后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通过15 m排气筒有组织排放</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建设单位经采取本次评价提出的各项污染防治措施后，根据营运期估算模式计算结果可知，项目产生的各污染物均能做到达标排放，对周围环境影响较小。</w:t>
      </w:r>
    </w:p>
    <w:p w14:paraId="39DC885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综上所述，从环境保护角度考虑，项目选址合理。</w:t>
      </w:r>
    </w:p>
    <w:p w14:paraId="5C66E7A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2" w:name="_Toc204350640"/>
      <w:bookmarkStart w:id="33" w:name="_Toc10974"/>
      <w:r>
        <w:rPr>
          <w:rFonts w:hint="default" w:ascii="Times New Roman" w:hAnsi="Times New Roman" w:eastAsia="宋体" w:cs="Times New Roman"/>
          <w:color w:val="000000" w:themeColor="text1"/>
          <w:u w:val="none" w:color="auto"/>
          <w14:textFill>
            <w14:solidFill>
              <w14:schemeClr w14:val="tx1"/>
            </w14:solidFill>
          </w14:textFill>
        </w:rPr>
        <w:t>1.3.6 平面布局合理性分析</w:t>
      </w:r>
      <w:bookmarkEnd w:id="32"/>
      <w:bookmarkEnd w:id="33"/>
    </w:p>
    <w:p w14:paraId="72D1525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根据生产工艺配置流程的特点，将各功能区按性质和功能相近，联系密切，</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以</w:t>
      </w:r>
      <w:r>
        <w:rPr>
          <w:rFonts w:hint="default" w:ascii="Times New Roman" w:hAnsi="Times New Roman" w:eastAsia="宋体" w:cs="Times New Roman"/>
          <w:color w:val="000000" w:themeColor="text1"/>
          <w:u w:val="none" w:color="auto"/>
          <w14:textFill>
            <w14:solidFill>
              <w14:schemeClr w14:val="tx1"/>
            </w14:solidFill>
          </w14:textFill>
        </w:rPr>
        <w:t>及运输短捷的原则进行布置。</w:t>
      </w:r>
    </w:p>
    <w:p w14:paraId="350776D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区位于生产车间北侧，其中除杂工序和三相分离工序设置在加工区西侧，紧临沉渣池，沉渣池紧临废渣装货平台；成品油储罐区位于生产车间南侧，各工序采用密闭管道连接。加工区与储罐区中间预留2.5 m宽过道，方便原料油收运专用车进出，以及成品油外运。</w:t>
      </w:r>
    </w:p>
    <w:p w14:paraId="57B3137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项目各生产单元相互联系，充分考虑了生产和运输的需要，项目总平面布置分区明确，流程通畅，管线便捷，管理方便，总平面布置较为合理。</w:t>
      </w:r>
    </w:p>
    <w:p w14:paraId="7A660D22">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4" w:name="_Toc199517436"/>
      <w:bookmarkStart w:id="35" w:name="_Toc5712"/>
      <w:bookmarkStart w:id="36" w:name="_Toc187011265"/>
      <w:bookmarkStart w:id="37" w:name="_Toc191239928"/>
      <w:bookmarkStart w:id="38" w:name="_Toc201879600"/>
      <w:r>
        <w:rPr>
          <w:rFonts w:hint="default" w:ascii="Times New Roman" w:hAnsi="Times New Roman" w:eastAsia="宋体" w:cs="Times New Roman"/>
          <w:color w:val="000000" w:themeColor="text1"/>
          <w:u w:val="none" w:color="auto"/>
          <w14:textFill>
            <w14:solidFill>
              <w14:schemeClr w14:val="tx1"/>
            </w14:solidFill>
          </w14:textFill>
        </w:rPr>
        <w:t>1.4 项目关注的主要环境问题</w:t>
      </w:r>
      <w:bookmarkEnd w:id="34"/>
      <w:bookmarkEnd w:id="35"/>
      <w:bookmarkEnd w:id="36"/>
      <w:bookmarkEnd w:id="37"/>
      <w:bookmarkEnd w:id="38"/>
    </w:p>
    <w:p w14:paraId="6253DBA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根据建设项目的生产工艺、污染物排放特征和周围环境特点，确定本次评价关注的主要环境问题及环境影响为： </w:t>
      </w:r>
    </w:p>
    <w:p w14:paraId="14F3BC9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（1）营运期重点关注项目的大气污染物、水污染物和噪声达标排放情况、固体废物是否能得到合理的处理处置，环境保护措施是否满足环保要求。 </w:t>
      </w:r>
    </w:p>
    <w:p w14:paraId="336D4A7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（2）通过工程分析确定本工程污染物及排放情况，预测工程排放的污染物对周围环境造成的影响程度及范围。 </w:t>
      </w:r>
    </w:p>
    <w:p w14:paraId="0EA219C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（3）在核实各生产废气污染源强的基础上，重点关注废油加工过程中产生的废气处理措施的可行性及有效性，减少挥发性有机物的外排量，关注废气对周围环境的影响，做到不降低周围大气环境功能。 </w:t>
      </w:r>
    </w:p>
    <w:p w14:paraId="56FB65E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（4）关注固体废物的分类收集、贮存及危险废物识别及委托处理，确保本项目各类固废不对周围环境构成影响。 </w:t>
      </w:r>
    </w:p>
    <w:p w14:paraId="217A1EE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（5）环境风险方面，重点关注油罐泄漏、火灾、爆炸等环境风险程度及范围，分析营运期发生环境风险事故对周围环境的影响程度和应急预案、风险防范措施的可行性。</w:t>
      </w:r>
    </w:p>
    <w:p w14:paraId="65016DE5">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9" w:name="_Toc201879601"/>
      <w:bookmarkStart w:id="40" w:name="_Toc3391"/>
      <w:bookmarkStart w:id="41" w:name="_Toc191239933"/>
      <w:bookmarkStart w:id="42" w:name="_Toc187011270"/>
      <w:bookmarkStart w:id="43" w:name="_Toc199517441"/>
      <w:r>
        <w:rPr>
          <w:rFonts w:hint="default" w:ascii="Times New Roman" w:hAnsi="Times New Roman" w:eastAsia="宋体" w:cs="Times New Roman"/>
          <w:color w:val="000000" w:themeColor="text1"/>
          <w:u w:val="none" w:color="auto"/>
          <w14:textFill>
            <w14:solidFill>
              <w14:schemeClr w14:val="tx1"/>
            </w14:solidFill>
          </w14:textFill>
        </w:rPr>
        <w:t>1.5 环境影响评价的主要结论</w:t>
      </w:r>
      <w:bookmarkEnd w:id="39"/>
      <w:bookmarkEnd w:id="40"/>
      <w:bookmarkEnd w:id="41"/>
      <w:bookmarkEnd w:id="42"/>
      <w:bookmarkEnd w:id="43"/>
    </w:p>
    <w:p w14:paraId="02E1D77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的建设符合国家和地方产业政策，选址可行，布局合理，采取的各项环保治理措施技术可行、设施可靠，可使各污染物实现最大程度削减，最终达标排放，对环境的影响可满足相应功能区的要求；采取风险防范及应急措施后，环境风险水平在可接受范围以内；公众参与过程中，无反对意见；项目环境风险可以接受。综上所述，建设单位在认真落实环评中提出的各项污染治理措施和建议的基础上，从环境影响评价角度，项目的建设运营是可行的。</w:t>
      </w:r>
    </w:p>
    <w:p w14:paraId="2D12B71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420680D7">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44" w:name="_Toc20374"/>
      <w:bookmarkStart w:id="45" w:name="_Toc20090"/>
      <w:bookmarkStart w:id="46" w:name="_Toc11489"/>
      <w:bookmarkStart w:id="47" w:name="_Toc27945"/>
      <w:bookmarkStart w:id="48" w:name="_Toc19770"/>
      <w:bookmarkStart w:id="49" w:name="_Toc21484"/>
      <w:bookmarkStart w:id="50" w:name="_Toc29498"/>
      <w:bookmarkStart w:id="51" w:name="_Toc3922"/>
      <w:r>
        <w:rPr>
          <w:rFonts w:hint="default" w:ascii="Times New Roman" w:hAnsi="Times New Roman" w:eastAsia="宋体" w:cs="Times New Roman"/>
          <w:color w:val="000000" w:themeColor="text1"/>
          <w:u w:val="none" w:color="auto"/>
          <w14:textFill>
            <w14:solidFill>
              <w14:schemeClr w14:val="tx1"/>
            </w14:solidFill>
          </w14:textFill>
        </w:rPr>
        <w:t>第2章 总则</w:t>
      </w:r>
      <w:bookmarkEnd w:id="44"/>
      <w:bookmarkEnd w:id="45"/>
      <w:bookmarkEnd w:id="46"/>
      <w:bookmarkEnd w:id="47"/>
      <w:bookmarkEnd w:id="48"/>
      <w:bookmarkEnd w:id="49"/>
      <w:bookmarkEnd w:id="50"/>
      <w:bookmarkEnd w:id="51"/>
    </w:p>
    <w:p w14:paraId="0E898B47">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2" w:name="_Toc23653"/>
      <w:bookmarkStart w:id="53" w:name="_Toc201879603"/>
      <w:bookmarkStart w:id="54" w:name="_Toc32689"/>
      <w:bookmarkStart w:id="55" w:name="_Toc17143"/>
      <w:bookmarkStart w:id="56" w:name="_Toc21637"/>
      <w:bookmarkStart w:id="57" w:name="_Toc16381"/>
      <w:bookmarkStart w:id="58" w:name="_Toc24988"/>
      <w:bookmarkStart w:id="59" w:name="_Toc32749"/>
      <w:bookmarkStart w:id="60" w:name="_Toc31769"/>
      <w:r>
        <w:rPr>
          <w:rFonts w:hint="default" w:ascii="Times New Roman" w:hAnsi="Times New Roman" w:eastAsia="宋体" w:cs="Times New Roman"/>
          <w:color w:val="000000" w:themeColor="text1"/>
          <w:u w:val="none" w:color="auto"/>
          <w14:textFill>
            <w14:solidFill>
              <w14:schemeClr w14:val="tx1"/>
            </w14:solidFill>
          </w14:textFill>
        </w:rPr>
        <w:t>2.1 编制依据</w:t>
      </w:r>
      <w:bookmarkEnd w:id="52"/>
      <w:bookmarkEnd w:id="53"/>
    </w:p>
    <w:p w14:paraId="4DB0EE1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1" w:name="_Toc201879604"/>
      <w:bookmarkStart w:id="62" w:name="_Toc9078"/>
      <w:r>
        <w:rPr>
          <w:rFonts w:hint="default" w:ascii="Times New Roman" w:hAnsi="Times New Roman" w:eastAsia="宋体" w:cs="Times New Roman"/>
          <w:color w:val="000000" w:themeColor="text1"/>
          <w:u w:val="none" w:color="auto"/>
          <w14:textFill>
            <w14:solidFill>
              <w14:schemeClr w14:val="tx1"/>
            </w14:solidFill>
          </w14:textFill>
        </w:rPr>
        <w:t>2.1.1 环境保护法律、行政法规</w:t>
      </w:r>
      <w:bookmarkEnd w:id="61"/>
      <w:bookmarkEnd w:id="62"/>
    </w:p>
    <w:p w14:paraId="17AAFD9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（1）《中华人民共和国环境保护法》，2015年1月1日起施行；</w:t>
      </w:r>
    </w:p>
    <w:p w14:paraId="15D0434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（2）《中华人民共和国环境影响评价法》，2018年12月29日修订并施行；</w:t>
      </w:r>
    </w:p>
    <w:p w14:paraId="71B1F36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（3）《中华人民共和国大气污染防治法》，2018年10月26日修订并施行；</w:t>
      </w:r>
    </w:p>
    <w:p w14:paraId="52D4875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（4）《中华人民共和国水污染防治法》，2018年1月1日起施行；</w:t>
      </w:r>
    </w:p>
    <w:p w14:paraId="3E5A1B3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（5）《中华人民共和国噪声污染防治法》，2022年6月5日修订并施行；</w:t>
      </w:r>
    </w:p>
    <w:p w14:paraId="21D295F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（6）《中华人民共和国土壤污染防治法》，2019年1月1日起施行；</w:t>
      </w:r>
    </w:p>
    <w:p w14:paraId="26D0438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（7）《中华人民共和国固体废物污染环境防治法》，2020年9月1日施行；</w:t>
      </w:r>
    </w:p>
    <w:p w14:paraId="1EBA81B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（8）《中华人民共和国清洁生产促进法》，2012年7月1日施行；</w:t>
      </w:r>
    </w:p>
    <w:p w14:paraId="740FC2E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（9）《中华人民共和国循环经济促进法》，2018年10月26日修订并施行；</w:t>
      </w:r>
    </w:p>
    <w:p w14:paraId="1BB57F0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（10）《中华人民共和国节约能源法》，2018年10月26日修订并施行；</w:t>
      </w:r>
    </w:p>
    <w:p w14:paraId="1CD5DD5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（11）《中华人民共和国长江保护法》，2021年3月1日起施行；</w:t>
      </w:r>
    </w:p>
    <w:p w14:paraId="539A4C1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（12）《建设项目环境保护管理条例》（国务院令</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2017</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第682号），2017年7月16日修订并施行；</w:t>
      </w:r>
    </w:p>
    <w:p w14:paraId="6166129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（13）《产业结构调整指导目录（2024年本）》，2024年2月1日起施行；</w:t>
      </w:r>
    </w:p>
    <w:p w14:paraId="23E48EA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（14）《环境影响评价公众参与办法》（生态环境部令第4号），2019年1月1日起施行；</w:t>
      </w:r>
    </w:p>
    <w:p w14:paraId="1240E44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（15）《关于进一步加强环境影响评价管理防范环境风险的通知》（环发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77号）；</w:t>
      </w:r>
    </w:p>
    <w:p w14:paraId="5E81275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（16）《关于切实加强风险防范严格环境影响评价管理的通知》（环发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98号）；</w:t>
      </w:r>
    </w:p>
    <w:p w14:paraId="1BCF285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（17）《关于进一步加强环境保护信息公开工作的通知》（环办</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134号）；</w:t>
      </w:r>
    </w:p>
    <w:p w14:paraId="754C905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（18）《国家危险废物名录（2025版）》；</w:t>
      </w:r>
    </w:p>
    <w:p w14:paraId="3ADD331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pPr>
      <w:r>
        <w:rPr>
          <w:rFonts w:hint="default" w:ascii="Times New Roman" w:hAnsi="Times New Roman" w:eastAsia="宋体" w:cs="Times New Roman"/>
          <w:color w:val="000000" w:themeColor="text1"/>
          <w:u w:val="none" w:color="auto"/>
          <w14:textFill>
            <w14:solidFill>
              <w14:schemeClr w14:val="tx1"/>
            </w14:solidFill>
          </w14:textFill>
        </w:rPr>
        <w:t>（19）《市场准入负面清单（2025年版）》</w:t>
      </w:r>
    </w:p>
    <w:p w14:paraId="599BFA0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（20）《关于发布〈危险废物污染防治技术政策〉的通知》（环发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2001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199号）；</w:t>
      </w:r>
    </w:p>
    <w:p w14:paraId="4FD4ED5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（21）《排污许可管理条例》，2021年3月1日起施行；</w:t>
      </w:r>
    </w:p>
    <w:p w14:paraId="36A0E41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（22）《建设项目环境影响评价分类管理名录》（2021版），2021年1月1日起施行；</w:t>
      </w:r>
    </w:p>
    <w:p w14:paraId="555A170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（23）《建设项目危险废物环境影响评价指南》（环境保护部公告2017年第43号）；</w:t>
      </w:r>
    </w:p>
    <w:p w14:paraId="7C32198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（24）《关于做好环境影响评价制度与排污许可制衔接相关工作的通知》（环办环评</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2017</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84号）；</w:t>
      </w:r>
    </w:p>
    <w:p w14:paraId="7B592F2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）《关于加强高耗能、高排放建设项目生态环境源头防控的指导意见》（环环评</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 xml:space="preserve">45号）； </w:t>
      </w:r>
    </w:p>
    <w:p w14:paraId="2AC6B91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26</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国家能源局关于印发&lt;生物柴油产业发展政策&gt;的通知</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国能科技〔2014〕511号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021B2B0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27</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国务院办公厅关于进一步加强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地沟油</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治理工作的意见</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国办发〔2017〕30号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6137615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）《空气质量持续改善行动计划》（国发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24号）。</w:t>
      </w:r>
    </w:p>
    <w:p w14:paraId="249DCAA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3" w:name="_Toc201879605"/>
      <w:bookmarkStart w:id="64" w:name="_Toc2771"/>
      <w:r>
        <w:rPr>
          <w:rFonts w:hint="default" w:ascii="Times New Roman" w:hAnsi="Times New Roman" w:eastAsia="宋体" w:cs="Times New Roman"/>
          <w:color w:val="000000" w:themeColor="text1"/>
          <w:u w:val="none" w:color="auto"/>
          <w14:textFill>
            <w14:solidFill>
              <w14:schemeClr w14:val="tx1"/>
            </w14:solidFill>
          </w14:textFill>
        </w:rPr>
        <w:t>2.1.2 地方法规及文件</w:t>
      </w:r>
      <w:bookmarkEnd w:id="63"/>
      <w:bookmarkEnd w:id="64"/>
    </w:p>
    <w:p w14:paraId="54743B2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（1）《湖南省大气污染防治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守护蓝天</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攻坚行动计划（2023—2025年）》（湘政办发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34号）；</w:t>
      </w:r>
    </w:p>
    <w:p w14:paraId="0A0E939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（2）《湖南省环境保护条例》2020年1月1日实施；</w:t>
      </w:r>
    </w:p>
    <w:p w14:paraId="6C4035A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（3）《湖南省生态环境分区管控总体管控要求暨省级以上产业园区生态环境准入清单（2023版）》；</w:t>
      </w:r>
    </w:p>
    <w:p w14:paraId="7657644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（4）《关于全面加强生态环境保护坚决打好污染防治攻坚战的实施意见》（湘发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2018</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20号）；</w:t>
      </w:r>
    </w:p>
    <w:p w14:paraId="11AE76D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（5）《湖南省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生态环境保护规划》（湘政办发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61号）；</w:t>
      </w:r>
    </w:p>
    <w:p w14:paraId="62BA422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lang w:eastAsia="zh-CN"/>
          <w14:textFill>
            <w14:solidFill>
              <w14:schemeClr w14:val="tx1"/>
            </w14:solidFill>
          </w14:textFill>
        </w:rPr>
        <w:t>）《湖南省长江经济带发展负面清单实施细则（试行2022年版）》；</w:t>
      </w:r>
    </w:p>
    <w:p w14:paraId="455F4B7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（7）《湖南省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固体废物环境管理规划》（湘环发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52号）；</w:t>
      </w:r>
    </w:p>
    <w:p w14:paraId="73DE980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（8）《湖南省水污染防治条例》（2024年11月29日湖南省第十四届人民代表大会常务委员会第十三次会议通过）；</w:t>
      </w:r>
    </w:p>
    <w:p w14:paraId="3D7C0EA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（9）《湖南省生态环境厅关于印发&lt;规范危险废物经营管理若干规定（试行）&gt;的通知》（湘环发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18号）；</w:t>
      </w:r>
    </w:p>
    <w:p w14:paraId="5B4BE8A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（10）《湖南省主体功能区规划》（湘政发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39号）；</w:t>
      </w:r>
    </w:p>
    <w:p w14:paraId="0A2A08E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（11）《湖南省人民政府关于印发&lt;湖南省碳达峰实施方案&gt;的通知》（湘政发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19号）；</w:t>
      </w:r>
    </w:p>
    <w:p w14:paraId="09A4F19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（12）《湖南省生态环境厅关于执行污染物特别排放限值（第一批）的公告》（2018年10月29日）；</w:t>
      </w:r>
    </w:p>
    <w:p w14:paraId="17D42B7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（13）《湖南省生态环境厅关于执行污染物特别排放限值（第二批）的公告》（2022年12月30日）；</w:t>
      </w:r>
    </w:p>
    <w:p w14:paraId="4194E56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（14）湖南省发展和改革委员会关于印发《湖南省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两高</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项目管理目录》的通知（湘发改环资</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968号）；</w:t>
      </w:r>
    </w:p>
    <w:p w14:paraId="083254F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（15）《湖南省工业领域碳达峰实施方案》（湘工信节能</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592号）；</w:t>
      </w:r>
    </w:p>
    <w:p w14:paraId="0DF2AE2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（16）《湖南省空气质量持续改善行动计划实施方案》（湘政办法</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33号）</w:t>
      </w:r>
    </w:p>
    <w:p w14:paraId="1E34AEC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（17）《湖南省主要污染物排污权有偿使用和交易实施细则）》（湘环发</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3号）；</w:t>
      </w:r>
    </w:p>
    <w:p w14:paraId="5A43E54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《湖南省湘江保护条例》（2023年5月31日修改）；</w:t>
      </w:r>
    </w:p>
    <w:p w14:paraId="662162A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19</w:t>
      </w:r>
      <w:r>
        <w:rPr>
          <w:rFonts w:hint="default" w:ascii="Times New Roman" w:hAnsi="Times New Roman" w:eastAsia="宋体" w:cs="Times New Roman"/>
          <w:color w:val="000000" w:themeColor="text1"/>
          <w:u w:val="none" w:color="auto"/>
          <w14:textFill>
            <w14:solidFill>
              <w14:schemeClr w14:val="tx1"/>
            </w14:solidFill>
          </w14:textFill>
        </w:rPr>
        <w:t>）《岳阳市城市总体规划（2008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2030）》；</w:t>
      </w:r>
    </w:p>
    <w:p w14:paraId="29D3800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）《岳阳市国土空间总体规划（2021-2035年）》；</w:t>
      </w:r>
    </w:p>
    <w:p w14:paraId="5D764D5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）《平江县生态环境保护</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规划》。</w:t>
      </w:r>
    </w:p>
    <w:p w14:paraId="1E8293CC">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5" w:name="_Toc2240"/>
      <w:bookmarkStart w:id="66" w:name="_Toc201879606"/>
      <w:r>
        <w:rPr>
          <w:rFonts w:hint="default" w:ascii="Times New Roman" w:hAnsi="Times New Roman" w:eastAsia="宋体" w:cs="Times New Roman"/>
          <w:color w:val="000000" w:themeColor="text1"/>
          <w:u w:val="none" w:color="auto"/>
          <w14:textFill>
            <w14:solidFill>
              <w14:schemeClr w14:val="tx1"/>
            </w14:solidFill>
          </w14:textFill>
        </w:rPr>
        <w:t>2.1.3 技术导则和规范</w:t>
      </w:r>
      <w:bookmarkEnd w:id="65"/>
      <w:bookmarkEnd w:id="66"/>
    </w:p>
    <w:p w14:paraId="126CB6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（1）《建设项目环境影响评价技术导则 总纲》（HJ2.1-2016）；</w:t>
      </w:r>
    </w:p>
    <w:p w14:paraId="6FA6F6D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（2）《环境影响评价技术导则 大气环境》（HJ2.2-2018）；</w:t>
      </w:r>
    </w:p>
    <w:p w14:paraId="735839F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（3）《环境影响评价技术导则 地表水环境》（HJ2.3-2018）；</w:t>
      </w:r>
    </w:p>
    <w:p w14:paraId="1AB5C5C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（4）《环境影响评价技术导则 声环境》（HJ2.4-2021）；</w:t>
      </w:r>
    </w:p>
    <w:p w14:paraId="4A712A8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（5）《环境影响评价技术导则 地下水环境》（HJ610-2016）；</w:t>
      </w:r>
    </w:p>
    <w:p w14:paraId="727A331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（6）《环境影响评价技术导则 生态影响》（HJ19-2022）；</w:t>
      </w:r>
    </w:p>
    <w:p w14:paraId="550711A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（7）《建设项目环境风险评价技术导则》（HJ169-2018）；</w:t>
      </w:r>
    </w:p>
    <w:p w14:paraId="0B3E4B0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（8）《环境影响评价技术导则 土壤环境（试行）》（HJ964-2018）；</w:t>
      </w:r>
    </w:p>
    <w:p w14:paraId="6FD221D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（11）《危险化学品重大危险源辨识》（GB18218-2018）；</w:t>
      </w:r>
    </w:p>
    <w:p w14:paraId="6B681E9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（12）《危险废物贮存污染控制标准》（GB18597-2023）；</w:t>
      </w:r>
    </w:p>
    <w:p w14:paraId="1469CA8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（13）《一般工业固体废物贮存和填埋污染控制标准》（GB18599-2020）；</w:t>
      </w:r>
    </w:p>
    <w:p w14:paraId="398BE19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（14）《污染源源强核算技术指南准则》（HJ884-2018）；</w:t>
      </w:r>
    </w:p>
    <w:p w14:paraId="4659D59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（15）《排污单位自行监测技术指南总则》（HJ819-2017）；</w:t>
      </w:r>
    </w:p>
    <w:p w14:paraId="578B3EC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（16）《危险废物收集、贮存、运输技术规范》（HJ2025-2012）；</w:t>
      </w:r>
    </w:p>
    <w:p w14:paraId="5FD5765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固体废物再生利用污染防治技术导则</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HJ 1019-2020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13F348A9">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7" w:name="_Toc30172"/>
      <w:bookmarkStart w:id="68" w:name="_Toc201879607"/>
      <w:r>
        <w:rPr>
          <w:rFonts w:hint="default" w:ascii="Times New Roman" w:hAnsi="Times New Roman" w:eastAsia="宋体" w:cs="Times New Roman"/>
          <w:color w:val="000000" w:themeColor="text1"/>
          <w:u w:val="none" w:color="auto"/>
          <w14:textFill>
            <w14:solidFill>
              <w14:schemeClr w14:val="tx1"/>
            </w14:solidFill>
          </w14:textFill>
        </w:rPr>
        <w:t>2.1.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其他文件</w:t>
      </w:r>
      <w:bookmarkEnd w:id="67"/>
      <w:bookmarkEnd w:id="68"/>
    </w:p>
    <w:p w14:paraId="7737270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（1）项目委托书；</w:t>
      </w:r>
    </w:p>
    <w:p w14:paraId="19E0204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（2）项目备案文件；</w:t>
      </w:r>
    </w:p>
    <w:p w14:paraId="46428E8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（3）建设单位提供的工艺技术参数；</w:t>
      </w:r>
    </w:p>
    <w:p w14:paraId="0262588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（4）工程建设方提供的其它资料。</w:t>
      </w:r>
    </w:p>
    <w:bookmarkEnd w:id="54"/>
    <w:bookmarkEnd w:id="55"/>
    <w:bookmarkEnd w:id="56"/>
    <w:bookmarkEnd w:id="57"/>
    <w:bookmarkEnd w:id="58"/>
    <w:bookmarkEnd w:id="59"/>
    <w:bookmarkEnd w:id="60"/>
    <w:p w14:paraId="11EB5FE8">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9" w:name="_Toc144236735"/>
      <w:bookmarkStart w:id="70" w:name="_Toc144276865"/>
      <w:bookmarkStart w:id="71" w:name="_Toc102658192"/>
      <w:bookmarkStart w:id="72" w:name="_Toc12557"/>
      <w:bookmarkStart w:id="73" w:name="_Toc164200756"/>
      <w:bookmarkStart w:id="74" w:name="_Toc187011277"/>
      <w:r>
        <w:rPr>
          <w:rFonts w:hint="default" w:ascii="Times New Roman" w:hAnsi="Times New Roman" w:eastAsia="宋体" w:cs="Times New Roman"/>
          <w:color w:val="000000" w:themeColor="text1"/>
          <w:u w:val="none" w:color="auto"/>
          <w14:textFill>
            <w14:solidFill>
              <w14:schemeClr w14:val="tx1"/>
            </w14:solidFill>
          </w14:textFill>
        </w:rPr>
        <w:t>2.2 评价目的</w:t>
      </w:r>
      <w:bookmarkEnd w:id="69"/>
      <w:bookmarkEnd w:id="70"/>
      <w:bookmarkEnd w:id="71"/>
      <w:bookmarkEnd w:id="72"/>
      <w:bookmarkEnd w:id="73"/>
      <w:bookmarkEnd w:id="74"/>
    </w:p>
    <w:p w14:paraId="0DCAFC7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（1）从国家产业政策的角度出发，结合当地相关规划要求，确定项目的建设是否符合产业政策及规划要求；</w:t>
      </w:r>
    </w:p>
    <w:p w14:paraId="3F44EA2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在对项目厂址周边自然环境状况进行调查分析的基础上，掌握评价区域内主要环境敏感目标；充分利用现有资料，并进行现场踏勘和必要的现状监测，查清评价区域环境现状，并做出现状评价；调查并明确区域内的主要污染源及环境特征；</w:t>
      </w:r>
    </w:p>
    <w:p w14:paraId="51D8A4F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全面分析工程建设内容，掌握生产设备及设施主要污染物的产生特征，通过物料衡算、类比分析等方法计算污染物产生量和排放量，根据区域环境特征和工程污染物排放特点，预测对周围环境影响的程度和范围，采用模式计算和定性分析的方式预测、分析项目投产后排放污染物的影响范围以及引起的周围环境质量变化情况，从环境保护角度分析论证建设工程的可行性；</w:t>
      </w:r>
    </w:p>
    <w:p w14:paraId="7F3DE27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（4）对项目建设所引起的环境污染和生态破坏，提出切实可行的减缓或补偿措施建议，最大限度降低或减缓项目建设对环境带来的负面影响；</w:t>
      </w:r>
    </w:p>
    <w:p w14:paraId="04269CD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（5）根据国家对企业在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达标排放、总量控制</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等方面的要求，多方面论述建设项目生产工艺、技术装备、环保设施的先进性。通过对工程环保设施的技术经济合理性、达标水平的可靠性分析，进一步提出减缓污染的对策建议，为优化环境工程设计、合理施工和工程投产后的环境管理提供科学依据和措施建议，更好地达到社会经济与环境保护协调发展的目的。</w:t>
      </w:r>
    </w:p>
    <w:p w14:paraId="585ADBC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（6）从环境影响、产业政策、法规和规划相符性、环保工程可行性等方面进行综合评价，对项目是否可行做出明确的结论，为环境保护主管部门的决策提供科学依据。</w:t>
      </w:r>
    </w:p>
    <w:p w14:paraId="30AF84E5">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75" w:name="_Toc187011278"/>
      <w:bookmarkStart w:id="76" w:name="_Toc144276866"/>
      <w:bookmarkStart w:id="77" w:name="_Toc102658193"/>
      <w:bookmarkStart w:id="78" w:name="_Toc4703"/>
      <w:bookmarkStart w:id="79" w:name="_Toc144236736"/>
      <w:bookmarkStart w:id="80" w:name="_Toc164200757"/>
      <w:r>
        <w:rPr>
          <w:rFonts w:hint="default" w:ascii="Times New Roman" w:hAnsi="Times New Roman" w:eastAsia="宋体" w:cs="Times New Roman"/>
          <w:color w:val="000000" w:themeColor="text1"/>
          <w:u w:val="none" w:color="auto"/>
          <w14:textFill>
            <w14:solidFill>
              <w14:schemeClr w14:val="tx1"/>
            </w14:solidFill>
          </w14:textFill>
        </w:rPr>
        <w:t>2.3 评价内容和重点</w:t>
      </w:r>
      <w:bookmarkEnd w:id="75"/>
      <w:bookmarkEnd w:id="76"/>
      <w:bookmarkEnd w:id="77"/>
      <w:bookmarkEnd w:id="78"/>
      <w:bookmarkEnd w:id="79"/>
      <w:bookmarkEnd w:id="80"/>
    </w:p>
    <w:p w14:paraId="5889FFDC">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81" w:name="_Toc187011279"/>
      <w:bookmarkStart w:id="82" w:name="_Toc164200758"/>
      <w:bookmarkStart w:id="83" w:name="_Toc9835"/>
      <w:bookmarkStart w:id="84" w:name="_Toc144236737"/>
      <w:bookmarkStart w:id="85" w:name="_Toc144276867"/>
      <w:r>
        <w:rPr>
          <w:rFonts w:hint="default" w:ascii="Times New Roman" w:hAnsi="Times New Roman" w:eastAsia="宋体" w:cs="Times New Roman"/>
          <w:color w:val="000000" w:themeColor="text1"/>
          <w:u w:val="none" w:color="auto"/>
          <w14:textFill>
            <w14:solidFill>
              <w14:schemeClr w14:val="tx1"/>
            </w14:solidFill>
          </w14:textFill>
        </w:rPr>
        <w:t>2.3.1 评价内容</w:t>
      </w:r>
      <w:bookmarkEnd w:id="81"/>
      <w:bookmarkEnd w:id="82"/>
      <w:bookmarkEnd w:id="83"/>
      <w:bookmarkEnd w:id="84"/>
      <w:bookmarkEnd w:id="85"/>
    </w:p>
    <w:p w14:paraId="41297D6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本次评价的主要内容是：</w:t>
      </w:r>
    </w:p>
    <w:p w14:paraId="6FBBBFA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（1）本次评价以理论计算和类比的方法进行工程分析，弄清工程污染源项，掌握污染物的产生情况；对工程配套的环保措施的可行性和有效性进行分析论证；</w:t>
      </w:r>
    </w:p>
    <w:p w14:paraId="10B3C26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（2）通过收集资料和现场监测，评价工程影响区域的环境质量状况；</w:t>
      </w:r>
    </w:p>
    <w:p w14:paraId="5B35E2B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（3）分析项目技术资料，对本项目进行分析和评价，预测项目污染物排放情况，明确污染源及各污染物排放总量；</w:t>
      </w:r>
    </w:p>
    <w:p w14:paraId="3D47D65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（4）结合项目所在区域的环境特点，预测与分析项目建设期、营运期对地表水、地下水、环境空气、声环境、土壤、生态等方面的影响；</w:t>
      </w:r>
    </w:p>
    <w:p w14:paraId="07F64FC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（5）根据项目影响区域环境质量控制目标、环境管理要求及识别的潜在污染因素，提出减缓不利影响的污染防治措施和投资估算；</w:t>
      </w:r>
    </w:p>
    <w:p w14:paraId="0F5F310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（6）分析项目建设及运行过程中存在的环境风险，提出有关对策措施；</w:t>
      </w:r>
    </w:p>
    <w:p w14:paraId="51E99C8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（7）拟定环境管理、监测计划；</w:t>
      </w:r>
    </w:p>
    <w:p w14:paraId="0A27F5D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（8）从环保角度分析项目建设的环境可行性，并作出总体结论。</w:t>
      </w:r>
    </w:p>
    <w:p w14:paraId="3A0DFA90">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86" w:name="_Toc144276868"/>
      <w:bookmarkStart w:id="87" w:name="_Toc12335"/>
      <w:bookmarkStart w:id="88" w:name="_Toc164200759"/>
      <w:bookmarkStart w:id="89" w:name="_Toc144236738"/>
      <w:bookmarkStart w:id="90" w:name="_Toc187011280"/>
      <w:r>
        <w:rPr>
          <w:rFonts w:hint="default" w:ascii="Times New Roman" w:hAnsi="Times New Roman" w:eastAsia="宋体" w:cs="Times New Roman"/>
          <w:color w:val="000000" w:themeColor="text1"/>
          <w:u w:val="none" w:color="auto"/>
          <w14:textFill>
            <w14:solidFill>
              <w14:schemeClr w14:val="tx1"/>
            </w14:solidFill>
          </w14:textFill>
        </w:rPr>
        <w:t>2.3.2 评价重点</w:t>
      </w:r>
      <w:bookmarkEnd w:id="86"/>
      <w:bookmarkEnd w:id="87"/>
      <w:bookmarkEnd w:id="88"/>
      <w:bookmarkEnd w:id="89"/>
      <w:bookmarkEnd w:id="90"/>
    </w:p>
    <w:p w14:paraId="4552438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（1）分析本项目建设的合理性和可行性，并提出相关的环保要求和建议；</w:t>
      </w:r>
    </w:p>
    <w:p w14:paraId="7FF5440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（2）计算项目污染物排放量，分析本项目建成后的经济效益和环境效益；</w:t>
      </w:r>
    </w:p>
    <w:p w14:paraId="7F3F539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（3）分析工程建设和运行过程潜在的不利环境影响，突出项目建设对大气、地表水、地下水、土壤及生态影响分析，并提出减缓影响、降低环境风险的对策措施；</w:t>
      </w:r>
    </w:p>
    <w:p w14:paraId="3B760DA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（4）分析环保措施的稳定达标排放可行性和可靠性。</w:t>
      </w:r>
    </w:p>
    <w:p w14:paraId="3AF5FAF6">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91" w:name="_Toc187011281"/>
      <w:bookmarkStart w:id="92" w:name="_Toc144276869"/>
      <w:bookmarkStart w:id="93" w:name="_Toc102658194"/>
      <w:bookmarkStart w:id="94" w:name="_Toc14171"/>
      <w:bookmarkStart w:id="95" w:name="_Toc144236739"/>
      <w:bookmarkStart w:id="96" w:name="_Toc164200760"/>
      <w:r>
        <w:rPr>
          <w:rFonts w:hint="default" w:ascii="Times New Roman" w:hAnsi="Times New Roman" w:eastAsia="宋体" w:cs="Times New Roman"/>
          <w:color w:val="000000" w:themeColor="text1"/>
          <w:u w:val="none" w:color="auto"/>
          <w14:textFill>
            <w14:solidFill>
              <w14:schemeClr w14:val="tx1"/>
            </w14:solidFill>
          </w14:textFill>
        </w:rPr>
        <w:t>2.4 环境影响识别和评价因子筛选</w:t>
      </w:r>
      <w:bookmarkEnd w:id="91"/>
      <w:bookmarkEnd w:id="92"/>
      <w:bookmarkEnd w:id="93"/>
      <w:bookmarkEnd w:id="94"/>
      <w:bookmarkEnd w:id="95"/>
      <w:bookmarkEnd w:id="96"/>
    </w:p>
    <w:p w14:paraId="09A9738E">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97" w:name="_Toc187011282"/>
      <w:bookmarkStart w:id="98" w:name="_Toc164200761"/>
      <w:bookmarkStart w:id="99" w:name="_Toc144276870"/>
      <w:bookmarkStart w:id="100" w:name="_Toc4573"/>
      <w:bookmarkStart w:id="101" w:name="_Toc144236740"/>
      <w:r>
        <w:rPr>
          <w:rFonts w:hint="default" w:ascii="Times New Roman" w:hAnsi="Times New Roman" w:eastAsia="宋体" w:cs="Times New Roman"/>
          <w:color w:val="000000" w:themeColor="text1"/>
          <w:u w:val="none" w:color="auto"/>
          <w14:textFill>
            <w14:solidFill>
              <w14:schemeClr w14:val="tx1"/>
            </w14:solidFill>
          </w14:textFill>
        </w:rPr>
        <w:t>2.4.1 环境影响识别</w:t>
      </w:r>
      <w:bookmarkEnd w:id="97"/>
      <w:bookmarkEnd w:id="98"/>
      <w:bookmarkEnd w:id="99"/>
      <w:bookmarkEnd w:id="100"/>
      <w:bookmarkEnd w:id="101"/>
    </w:p>
    <w:p w14:paraId="44C2CD4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本项目对环境的主要影响为施工期和运营期。本项目总占地面积为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3849.6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包括1#厂房和2#厂房，本项目生产车间建设在1#厂房内，</w:t>
      </w:r>
      <w:r>
        <w:rPr>
          <w:rFonts w:hint="default" w:ascii="Times New Roman" w:hAnsi="Times New Roman" w:eastAsia="宋体" w:cs="Times New Roman"/>
          <w:color w:val="000000" w:themeColor="text1"/>
          <w:u w:val="none" w:color="auto"/>
          <w14:textFill>
            <w14:solidFill>
              <w14:schemeClr w14:val="tx1"/>
            </w14:solidFill>
          </w14:textFill>
        </w:rPr>
        <w:t>施工期主要为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车间装饰、生产设备及环保设备的安装。</w:t>
      </w:r>
      <w:r>
        <w:rPr>
          <w:rFonts w:hint="default" w:ascii="Times New Roman" w:hAnsi="Times New Roman" w:eastAsia="宋体" w:cs="Times New Roman"/>
          <w:color w:val="000000" w:themeColor="text1"/>
          <w:u w:val="none" w:color="auto"/>
          <w14:textFill>
            <w14:solidFill>
              <w14:schemeClr w14:val="tx1"/>
            </w14:solidFill>
          </w14:textFill>
        </w:rPr>
        <w:t>施工期对环境的影响主要为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装修废气、焊接废气</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建筑物装修</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设备</w:t>
      </w:r>
      <w:r>
        <w:rPr>
          <w:rFonts w:hint="default" w:ascii="Times New Roman" w:hAnsi="Times New Roman" w:eastAsia="宋体" w:cs="Times New Roman"/>
          <w:color w:val="000000" w:themeColor="text1"/>
          <w:u w:val="none" w:color="auto"/>
          <w14:textFill>
            <w14:solidFill>
              <w14:schemeClr w14:val="tx1"/>
            </w14:solidFill>
          </w14:textFill>
        </w:rPr>
        <w:t>运输</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安装</w:t>
      </w:r>
      <w:r>
        <w:rPr>
          <w:rFonts w:hint="default" w:ascii="Times New Roman" w:hAnsi="Times New Roman" w:eastAsia="宋体" w:cs="Times New Roman"/>
          <w:color w:val="000000" w:themeColor="text1"/>
          <w:u w:val="none" w:color="auto"/>
          <w14:textFill>
            <w14:solidFill>
              <w14:schemeClr w14:val="tx1"/>
            </w14:solidFill>
          </w14:textFill>
        </w:rPr>
        <w:t>的噪声</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以及</w:t>
      </w:r>
      <w:r>
        <w:rPr>
          <w:rFonts w:hint="default" w:ascii="Times New Roman" w:hAnsi="Times New Roman" w:eastAsia="宋体" w:cs="Times New Roman"/>
          <w:color w:val="000000" w:themeColor="text1"/>
          <w:u w:val="none" w:color="auto"/>
          <w14:textFill>
            <w14:solidFill>
              <w14:schemeClr w14:val="tx1"/>
            </w14:solidFill>
          </w14:textFill>
        </w:rPr>
        <w:t>施工过程中产生的固体废弃物。项目建成后，对环境影响较大的施工期噪声已消失。运行期对环境的影响表现在废气、噪声、生活污水、固体废物对环境的影响。工程各阶段的环境影响因素识别见下表。</w:t>
      </w:r>
    </w:p>
    <w:p w14:paraId="004ADE1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表2.4-1  环境影响因素识别表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12"/>
        <w:gridCol w:w="1095"/>
        <w:gridCol w:w="561"/>
        <w:gridCol w:w="786"/>
        <w:gridCol w:w="562"/>
        <w:gridCol w:w="677"/>
        <w:gridCol w:w="677"/>
        <w:gridCol w:w="677"/>
        <w:gridCol w:w="622"/>
        <w:gridCol w:w="764"/>
        <w:gridCol w:w="592"/>
        <w:gridCol w:w="718"/>
      </w:tblGrid>
      <w:tr w14:paraId="05CFDD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23" w:type="pct"/>
            <w:gridSpan w:val="2"/>
            <w:vMerge w:val="restart"/>
            <w:shd w:val="clear" w:color="auto" w:fill="auto"/>
            <w:vAlign w:val="center"/>
          </w:tcPr>
          <w:p w14:paraId="5336C7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阶段</w:t>
            </w:r>
          </w:p>
          <w:p w14:paraId="777E84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环境资源</w:t>
            </w:r>
          </w:p>
        </w:tc>
        <w:tc>
          <w:tcPr>
            <w:tcW w:w="1144" w:type="pct"/>
            <w:gridSpan w:val="3"/>
            <w:shd w:val="clear" w:color="auto" w:fill="auto"/>
            <w:vAlign w:val="center"/>
          </w:tcPr>
          <w:p w14:paraId="4BA76D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施工期</w:t>
            </w:r>
          </w:p>
        </w:tc>
        <w:tc>
          <w:tcPr>
            <w:tcW w:w="2833" w:type="pct"/>
            <w:gridSpan w:val="7"/>
            <w:shd w:val="clear" w:color="auto" w:fill="auto"/>
            <w:vAlign w:val="center"/>
          </w:tcPr>
          <w:p w14:paraId="712079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营运期</w:t>
            </w:r>
          </w:p>
        </w:tc>
      </w:tr>
      <w:tr w14:paraId="1AADC4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23" w:type="pct"/>
            <w:gridSpan w:val="2"/>
            <w:vMerge w:val="continue"/>
            <w:shd w:val="clear" w:color="auto" w:fill="auto"/>
            <w:vAlign w:val="center"/>
          </w:tcPr>
          <w:p w14:paraId="127EEC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6" w:type="pct"/>
            <w:shd w:val="clear" w:color="auto" w:fill="auto"/>
            <w:vAlign w:val="center"/>
          </w:tcPr>
          <w:p w14:paraId="2A30CD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占地</w:t>
            </w:r>
          </w:p>
        </w:tc>
        <w:tc>
          <w:tcPr>
            <w:tcW w:w="471" w:type="pct"/>
            <w:shd w:val="clear" w:color="auto" w:fill="auto"/>
            <w:vAlign w:val="center"/>
          </w:tcPr>
          <w:p w14:paraId="2D3D6B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基础工程</w:t>
            </w:r>
          </w:p>
        </w:tc>
        <w:tc>
          <w:tcPr>
            <w:tcW w:w="337" w:type="pct"/>
            <w:shd w:val="clear" w:color="auto" w:fill="auto"/>
            <w:vAlign w:val="center"/>
          </w:tcPr>
          <w:p w14:paraId="28469A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运输</w:t>
            </w:r>
          </w:p>
        </w:tc>
        <w:tc>
          <w:tcPr>
            <w:tcW w:w="406" w:type="pct"/>
            <w:shd w:val="clear" w:color="auto" w:fill="auto"/>
            <w:vAlign w:val="center"/>
          </w:tcPr>
          <w:p w14:paraId="37B0A6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原料运输</w:t>
            </w:r>
          </w:p>
        </w:tc>
        <w:tc>
          <w:tcPr>
            <w:tcW w:w="406" w:type="pct"/>
            <w:shd w:val="clear" w:color="auto" w:fill="auto"/>
            <w:vAlign w:val="center"/>
          </w:tcPr>
          <w:p w14:paraId="0EF5D9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产品生产</w:t>
            </w:r>
          </w:p>
        </w:tc>
        <w:tc>
          <w:tcPr>
            <w:tcW w:w="406" w:type="pct"/>
            <w:shd w:val="clear" w:color="auto" w:fill="auto"/>
            <w:vAlign w:val="center"/>
          </w:tcPr>
          <w:p w14:paraId="08B5B4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废水排放</w:t>
            </w:r>
          </w:p>
        </w:tc>
        <w:tc>
          <w:tcPr>
            <w:tcW w:w="373" w:type="pct"/>
            <w:shd w:val="clear" w:color="auto" w:fill="auto"/>
            <w:vAlign w:val="center"/>
          </w:tcPr>
          <w:p w14:paraId="3DEA0C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废气排放</w:t>
            </w:r>
          </w:p>
        </w:tc>
        <w:tc>
          <w:tcPr>
            <w:tcW w:w="458" w:type="pct"/>
            <w:shd w:val="clear" w:color="auto" w:fill="auto"/>
            <w:vAlign w:val="center"/>
          </w:tcPr>
          <w:p w14:paraId="56E9FF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废渣堆存</w:t>
            </w:r>
          </w:p>
        </w:tc>
        <w:tc>
          <w:tcPr>
            <w:tcW w:w="354" w:type="pct"/>
            <w:shd w:val="clear" w:color="auto" w:fill="auto"/>
            <w:vAlign w:val="center"/>
          </w:tcPr>
          <w:p w14:paraId="69F0C5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事故风险</w:t>
            </w:r>
          </w:p>
        </w:tc>
        <w:tc>
          <w:tcPr>
            <w:tcW w:w="431" w:type="pct"/>
            <w:shd w:val="clear" w:color="auto" w:fill="auto"/>
            <w:vAlign w:val="center"/>
          </w:tcPr>
          <w:p w14:paraId="54CB69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产品运输</w:t>
            </w:r>
          </w:p>
        </w:tc>
      </w:tr>
      <w:tr w14:paraId="37E126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restart"/>
            <w:shd w:val="clear" w:color="auto" w:fill="auto"/>
            <w:vAlign w:val="center"/>
          </w:tcPr>
          <w:p w14:paraId="175A7D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社会发展</w:t>
            </w:r>
          </w:p>
        </w:tc>
        <w:tc>
          <w:tcPr>
            <w:tcW w:w="656" w:type="pct"/>
            <w:shd w:val="clear" w:color="auto" w:fill="auto"/>
            <w:vAlign w:val="center"/>
          </w:tcPr>
          <w:p w14:paraId="059C42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劳动就业</w:t>
            </w:r>
          </w:p>
        </w:tc>
        <w:tc>
          <w:tcPr>
            <w:tcW w:w="336" w:type="pct"/>
            <w:shd w:val="clear" w:color="auto" w:fill="auto"/>
            <w:vAlign w:val="center"/>
          </w:tcPr>
          <w:p w14:paraId="56AD75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577E3C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20D932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478438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367443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254694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1FC830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5E0513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54" w:type="pct"/>
            <w:shd w:val="clear" w:color="auto" w:fill="auto"/>
            <w:vAlign w:val="center"/>
          </w:tcPr>
          <w:p w14:paraId="03CE8A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1" w:type="pct"/>
            <w:shd w:val="clear" w:color="auto" w:fill="auto"/>
            <w:vAlign w:val="center"/>
          </w:tcPr>
          <w:p w14:paraId="25B1FA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209BDA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537BB8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4C5838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社会安定</w:t>
            </w:r>
          </w:p>
        </w:tc>
        <w:tc>
          <w:tcPr>
            <w:tcW w:w="336" w:type="pct"/>
            <w:shd w:val="clear" w:color="auto" w:fill="auto"/>
            <w:vAlign w:val="center"/>
          </w:tcPr>
          <w:p w14:paraId="6F7AA5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4F3517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42C814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10B857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0AFEE7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701589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054527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49121F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54" w:type="pct"/>
            <w:shd w:val="clear" w:color="auto" w:fill="auto"/>
            <w:vAlign w:val="center"/>
          </w:tcPr>
          <w:p w14:paraId="5758FB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31" w:type="pct"/>
            <w:shd w:val="clear" w:color="auto" w:fill="auto"/>
            <w:vAlign w:val="center"/>
          </w:tcPr>
          <w:p w14:paraId="0BB101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5D9730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161053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0B6684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土地作用</w:t>
            </w:r>
          </w:p>
        </w:tc>
        <w:tc>
          <w:tcPr>
            <w:tcW w:w="336" w:type="pct"/>
            <w:shd w:val="clear" w:color="auto" w:fill="auto"/>
            <w:vAlign w:val="center"/>
          </w:tcPr>
          <w:p w14:paraId="76E720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1BE34C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79EBF2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6BBCCC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44FD01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393F64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5003EF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421501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54" w:type="pct"/>
            <w:shd w:val="clear" w:color="auto" w:fill="auto"/>
            <w:vAlign w:val="center"/>
          </w:tcPr>
          <w:p w14:paraId="3ADE78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31" w:type="pct"/>
            <w:shd w:val="clear" w:color="auto" w:fill="auto"/>
            <w:vAlign w:val="center"/>
          </w:tcPr>
          <w:p w14:paraId="03C953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6B4E5A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restart"/>
            <w:shd w:val="clear" w:color="auto" w:fill="auto"/>
            <w:vAlign w:val="center"/>
          </w:tcPr>
          <w:p w14:paraId="0C3E97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自然资源</w:t>
            </w:r>
          </w:p>
        </w:tc>
        <w:tc>
          <w:tcPr>
            <w:tcW w:w="656" w:type="pct"/>
            <w:shd w:val="clear" w:color="auto" w:fill="auto"/>
            <w:vAlign w:val="center"/>
          </w:tcPr>
          <w:p w14:paraId="58506B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植被生态</w:t>
            </w:r>
          </w:p>
        </w:tc>
        <w:tc>
          <w:tcPr>
            <w:tcW w:w="336" w:type="pct"/>
            <w:shd w:val="clear" w:color="auto" w:fill="auto"/>
            <w:vAlign w:val="center"/>
          </w:tcPr>
          <w:p w14:paraId="203FBE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4872F8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7DA840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3AB3BA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1C0854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069B52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73" w:type="pct"/>
            <w:shd w:val="clear" w:color="auto" w:fill="auto"/>
            <w:vAlign w:val="center"/>
          </w:tcPr>
          <w:p w14:paraId="0FAF69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575FA3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54" w:type="pct"/>
            <w:shd w:val="clear" w:color="auto" w:fill="auto"/>
            <w:vAlign w:val="center"/>
          </w:tcPr>
          <w:p w14:paraId="0B14E5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31" w:type="pct"/>
            <w:shd w:val="clear" w:color="auto" w:fill="auto"/>
            <w:vAlign w:val="center"/>
          </w:tcPr>
          <w:p w14:paraId="3BC0B7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66DF2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37E105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4EAA5C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自然景观</w:t>
            </w:r>
          </w:p>
        </w:tc>
        <w:tc>
          <w:tcPr>
            <w:tcW w:w="336" w:type="pct"/>
            <w:shd w:val="clear" w:color="auto" w:fill="auto"/>
            <w:vAlign w:val="center"/>
          </w:tcPr>
          <w:p w14:paraId="78A4DE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67E87D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5D2D42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2C6BB5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3B2E95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05251C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7BBB98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66C522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54" w:type="pct"/>
            <w:shd w:val="clear" w:color="auto" w:fill="auto"/>
            <w:vAlign w:val="center"/>
          </w:tcPr>
          <w:p w14:paraId="33B687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31" w:type="pct"/>
            <w:shd w:val="clear" w:color="auto" w:fill="auto"/>
            <w:vAlign w:val="center"/>
          </w:tcPr>
          <w:p w14:paraId="7C6C00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AA332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52ED98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7FFA84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地表水体</w:t>
            </w:r>
          </w:p>
        </w:tc>
        <w:tc>
          <w:tcPr>
            <w:tcW w:w="336" w:type="pct"/>
            <w:shd w:val="clear" w:color="auto" w:fill="auto"/>
            <w:vAlign w:val="center"/>
          </w:tcPr>
          <w:p w14:paraId="48B6E0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2ADEC4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3F1CA0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4850A2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587B8D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16F6C6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73" w:type="pct"/>
            <w:shd w:val="clear" w:color="auto" w:fill="auto"/>
            <w:vAlign w:val="center"/>
          </w:tcPr>
          <w:p w14:paraId="141C37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199A92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54" w:type="pct"/>
            <w:shd w:val="clear" w:color="auto" w:fill="auto"/>
            <w:vAlign w:val="center"/>
          </w:tcPr>
          <w:p w14:paraId="59E11E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1" w:type="pct"/>
            <w:shd w:val="clear" w:color="auto" w:fill="auto"/>
            <w:vAlign w:val="center"/>
          </w:tcPr>
          <w:p w14:paraId="2C54C2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379439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restart"/>
            <w:shd w:val="clear" w:color="auto" w:fill="auto"/>
            <w:vAlign w:val="center"/>
          </w:tcPr>
          <w:p w14:paraId="71E089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居民生活质量</w:t>
            </w:r>
          </w:p>
        </w:tc>
        <w:tc>
          <w:tcPr>
            <w:tcW w:w="656" w:type="pct"/>
            <w:shd w:val="clear" w:color="auto" w:fill="auto"/>
            <w:vAlign w:val="center"/>
          </w:tcPr>
          <w:p w14:paraId="4E13B1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空气质量</w:t>
            </w:r>
          </w:p>
        </w:tc>
        <w:tc>
          <w:tcPr>
            <w:tcW w:w="336" w:type="pct"/>
            <w:shd w:val="clear" w:color="auto" w:fill="auto"/>
            <w:vAlign w:val="center"/>
          </w:tcPr>
          <w:p w14:paraId="649CAD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69B440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431B35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05D8E4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6CB483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643709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2E7FAF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58" w:type="pct"/>
            <w:shd w:val="clear" w:color="auto" w:fill="auto"/>
            <w:vAlign w:val="center"/>
          </w:tcPr>
          <w:p w14:paraId="736F2F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54" w:type="pct"/>
            <w:shd w:val="clear" w:color="auto" w:fill="auto"/>
            <w:vAlign w:val="center"/>
          </w:tcPr>
          <w:p w14:paraId="0B6CF5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31" w:type="pct"/>
            <w:shd w:val="clear" w:color="auto" w:fill="auto"/>
            <w:vAlign w:val="center"/>
          </w:tcPr>
          <w:p w14:paraId="6E0B03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1E04EF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4C5F5E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01AA0C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地表水</w:t>
            </w:r>
          </w:p>
        </w:tc>
        <w:tc>
          <w:tcPr>
            <w:tcW w:w="336" w:type="pct"/>
            <w:shd w:val="clear" w:color="auto" w:fill="auto"/>
            <w:vAlign w:val="center"/>
          </w:tcPr>
          <w:p w14:paraId="73AD4F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5AD1CD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3DB2A3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093B88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4BEB38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19EF8C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73" w:type="pct"/>
            <w:shd w:val="clear" w:color="auto" w:fill="auto"/>
            <w:vAlign w:val="center"/>
          </w:tcPr>
          <w:p w14:paraId="15E959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340847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54" w:type="pct"/>
            <w:shd w:val="clear" w:color="auto" w:fill="auto"/>
            <w:vAlign w:val="center"/>
          </w:tcPr>
          <w:p w14:paraId="3C9FF5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31" w:type="pct"/>
            <w:shd w:val="clear" w:color="auto" w:fill="auto"/>
            <w:vAlign w:val="center"/>
          </w:tcPr>
          <w:p w14:paraId="5FA37D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CC223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3E6C78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624A26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地下水</w:t>
            </w:r>
          </w:p>
        </w:tc>
        <w:tc>
          <w:tcPr>
            <w:tcW w:w="336" w:type="pct"/>
            <w:shd w:val="clear" w:color="auto" w:fill="auto"/>
            <w:vAlign w:val="center"/>
          </w:tcPr>
          <w:p w14:paraId="51B93D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4A76E6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4E645D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7B7472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3D4C95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3DFD99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44FDC9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572C22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54" w:type="pct"/>
            <w:shd w:val="clear" w:color="auto" w:fill="auto"/>
            <w:vAlign w:val="center"/>
          </w:tcPr>
          <w:p w14:paraId="534347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31" w:type="pct"/>
            <w:shd w:val="clear" w:color="auto" w:fill="auto"/>
            <w:vAlign w:val="center"/>
          </w:tcPr>
          <w:p w14:paraId="57211F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7B7C9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2EE07E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75691F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声学环境</w:t>
            </w:r>
          </w:p>
        </w:tc>
        <w:tc>
          <w:tcPr>
            <w:tcW w:w="336" w:type="pct"/>
            <w:shd w:val="clear" w:color="auto" w:fill="auto"/>
            <w:vAlign w:val="center"/>
          </w:tcPr>
          <w:p w14:paraId="5CD7F1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6346C7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2D6436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789B6B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7D8830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6CB68A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31EA81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0C7C7A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54" w:type="pct"/>
            <w:shd w:val="clear" w:color="auto" w:fill="auto"/>
            <w:vAlign w:val="center"/>
          </w:tcPr>
          <w:p w14:paraId="1E6F69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1" w:type="pct"/>
            <w:shd w:val="clear" w:color="auto" w:fill="auto"/>
            <w:vAlign w:val="center"/>
          </w:tcPr>
          <w:p w14:paraId="3339B3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1F725A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70B889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7274B2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土壤环境</w:t>
            </w:r>
          </w:p>
        </w:tc>
        <w:tc>
          <w:tcPr>
            <w:tcW w:w="336" w:type="pct"/>
            <w:shd w:val="clear" w:color="auto" w:fill="auto"/>
            <w:vAlign w:val="center"/>
          </w:tcPr>
          <w:p w14:paraId="01E49F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3ACF5B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40010B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033584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37285C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22807A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35E7C7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58" w:type="pct"/>
            <w:shd w:val="clear" w:color="auto" w:fill="auto"/>
            <w:vAlign w:val="center"/>
          </w:tcPr>
          <w:p w14:paraId="17EAEA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54" w:type="pct"/>
            <w:shd w:val="clear" w:color="auto" w:fill="auto"/>
            <w:vAlign w:val="center"/>
          </w:tcPr>
          <w:p w14:paraId="2A240D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31" w:type="pct"/>
            <w:shd w:val="clear" w:color="auto" w:fill="auto"/>
            <w:vAlign w:val="center"/>
          </w:tcPr>
          <w:p w14:paraId="44377A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D7E93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14:paraId="010089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56" w:type="pct"/>
            <w:shd w:val="clear" w:color="auto" w:fill="auto"/>
            <w:vAlign w:val="center"/>
          </w:tcPr>
          <w:p w14:paraId="0CA61C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经济收入</w:t>
            </w:r>
          </w:p>
        </w:tc>
        <w:tc>
          <w:tcPr>
            <w:tcW w:w="336" w:type="pct"/>
            <w:shd w:val="clear" w:color="auto" w:fill="auto"/>
            <w:vAlign w:val="center"/>
          </w:tcPr>
          <w:p w14:paraId="5BAADE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1" w:type="pct"/>
            <w:shd w:val="clear" w:color="auto" w:fill="auto"/>
            <w:vAlign w:val="center"/>
          </w:tcPr>
          <w:p w14:paraId="453521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7" w:type="pct"/>
            <w:shd w:val="clear" w:color="auto" w:fill="auto"/>
            <w:vAlign w:val="center"/>
          </w:tcPr>
          <w:p w14:paraId="2261CF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1D6F44C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6" w:type="pct"/>
            <w:shd w:val="clear" w:color="auto" w:fill="auto"/>
            <w:vAlign w:val="center"/>
          </w:tcPr>
          <w:p w14:paraId="50AF09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06" w:type="pct"/>
            <w:shd w:val="clear" w:color="auto" w:fill="auto"/>
            <w:vAlign w:val="center"/>
          </w:tcPr>
          <w:p w14:paraId="661985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3" w:type="pct"/>
            <w:shd w:val="clear" w:color="auto" w:fill="auto"/>
            <w:vAlign w:val="center"/>
          </w:tcPr>
          <w:p w14:paraId="7C1403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58" w:type="pct"/>
            <w:shd w:val="clear" w:color="auto" w:fill="auto"/>
            <w:vAlign w:val="center"/>
          </w:tcPr>
          <w:p w14:paraId="26E747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54" w:type="pct"/>
            <w:shd w:val="clear" w:color="auto" w:fill="auto"/>
            <w:vAlign w:val="center"/>
          </w:tcPr>
          <w:p w14:paraId="11AFFB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1" w:type="pct"/>
            <w:shd w:val="clear" w:color="auto" w:fill="auto"/>
            <w:vAlign w:val="center"/>
          </w:tcPr>
          <w:p w14:paraId="2748C3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6B31ED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000" w:type="pct"/>
            <w:gridSpan w:val="12"/>
            <w:shd w:val="clear" w:color="auto" w:fill="auto"/>
            <w:vAlign w:val="center"/>
          </w:tcPr>
          <w:p w14:paraId="6BE5D539">
            <w:pPr>
              <w:pStyle w:val="68"/>
              <w:keepNext w:val="0"/>
              <w:keepLines w:val="0"/>
              <w:pageBreakBefore w:val="0"/>
              <w:widowControl w:val="0"/>
              <w:kinsoku/>
              <w:wordWrap/>
              <w:overflowPunct/>
              <w:topLinePunct w:val="0"/>
              <w:autoSpaceDE/>
              <w:autoSpaceDN/>
              <w:bidi w:val="0"/>
              <w:adjustRightInd/>
              <w:snapToGrid/>
              <w:ind w:left="120" w:leftChars="50" w:right="120" w:rightChars="50"/>
              <w:jc w:val="left"/>
              <w:textAlignment w:val="auto"/>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备注：</w:t>
            </w:r>
            <w:r>
              <w:rPr>
                <w:rFonts w:hint="default" w:ascii="Times New Roman" w:hAnsi="Times New Roman" w:eastAsia="宋体" w:cs="Times New Roman"/>
                <w:color w:val="000000" w:themeColor="text1"/>
                <w:u w:val="none" w:color="auto"/>
                <w14:textFill>
                  <w14:solidFill>
                    <w14:schemeClr w14:val="tx1"/>
                  </w14:solidFill>
                </w14:textFill>
              </w:rPr>
              <w:t>★/☆表示长期不利/有利影响；▲/△表示短期不利/有利影响；空格表示影响不明显或没有影响</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bl>
    <w:p w14:paraId="7567D90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由上表可以看出：</w:t>
      </w:r>
    </w:p>
    <w:p w14:paraId="2BFF1DC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（1）施工期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不新增工业用地，不包含基础施工，不破坏地表植被，不占用自然自然，</w:t>
      </w:r>
      <w:r>
        <w:rPr>
          <w:rFonts w:hint="default" w:ascii="Times New Roman" w:hAnsi="Times New Roman" w:eastAsia="宋体" w:cs="Times New Roman"/>
          <w:color w:val="000000" w:themeColor="text1"/>
          <w:u w:val="none" w:color="auto"/>
          <w14:textFill>
            <w14:solidFill>
              <w14:schemeClr w14:val="tx1"/>
            </w14:solidFill>
          </w14:textFill>
        </w:rPr>
        <w:t>对生态环境产生短期影响，</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主要表现为</w:t>
      </w:r>
      <w:r>
        <w:rPr>
          <w:rFonts w:hint="default" w:ascii="Times New Roman" w:hAnsi="Times New Roman" w:eastAsia="宋体" w:cs="Times New Roman"/>
          <w:color w:val="000000" w:themeColor="text1"/>
          <w:u w:val="none" w:color="auto"/>
          <w14:textFill>
            <w14:solidFill>
              <w14:schemeClr w14:val="tx1"/>
            </w14:solidFill>
          </w14:textFill>
        </w:rPr>
        <w:t>运输过程中对大气环境、地表水环境、声环境的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短期</w:t>
      </w:r>
      <w:r>
        <w:rPr>
          <w:rFonts w:hint="default" w:ascii="Times New Roman" w:hAnsi="Times New Roman" w:eastAsia="宋体" w:cs="Times New Roman"/>
          <w:color w:val="000000" w:themeColor="text1"/>
          <w:u w:val="none" w:color="auto"/>
          <w14:textFill>
            <w14:solidFill>
              <w14:schemeClr w14:val="tx1"/>
            </w14:solidFill>
          </w14:textFill>
        </w:rPr>
        <w:t>影响。</w:t>
      </w:r>
    </w:p>
    <w:p w14:paraId="7526CCA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（2）营运期对环境的影响主要为：</w:t>
      </w:r>
    </w:p>
    <w:p w14:paraId="6C856586">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firstLine="480" w:firstLineChars="2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工程废水对水环境的影响；</w:t>
      </w:r>
    </w:p>
    <w:p w14:paraId="5494BD7D">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firstLine="480" w:firstLineChars="2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该项目建设对地下水和土壤环境的影响；</w:t>
      </w:r>
    </w:p>
    <w:p w14:paraId="69364F55">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firstLine="480" w:firstLineChars="2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工程废气对大气环境的影响；</w:t>
      </w:r>
    </w:p>
    <w:p w14:paraId="638E516F">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firstLine="480" w:firstLineChars="2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工程噪声对声环境的影响。</w:t>
      </w:r>
    </w:p>
    <w:p w14:paraId="65D6FC3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（3）工程对环境影响较大的是废气排放对大气环境的影响以及风险影响。</w:t>
      </w:r>
    </w:p>
    <w:p w14:paraId="0395E116">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02" w:name="_Toc164200762"/>
      <w:bookmarkStart w:id="103" w:name="_Toc144276871"/>
      <w:bookmarkStart w:id="104" w:name="_Toc187011283"/>
      <w:bookmarkStart w:id="105" w:name="_Toc23029"/>
      <w:bookmarkStart w:id="106" w:name="_Toc144236741"/>
      <w:r>
        <w:rPr>
          <w:rFonts w:hint="default" w:ascii="Times New Roman" w:hAnsi="Times New Roman" w:eastAsia="宋体" w:cs="Times New Roman"/>
          <w:color w:val="000000" w:themeColor="text1"/>
          <w:u w:val="none" w:color="auto"/>
          <w14:textFill>
            <w14:solidFill>
              <w14:schemeClr w14:val="tx1"/>
            </w14:solidFill>
          </w14:textFill>
        </w:rPr>
        <w:t>2.4.2 评价因子筛选</w:t>
      </w:r>
      <w:bookmarkEnd w:id="102"/>
      <w:bookmarkEnd w:id="103"/>
      <w:bookmarkEnd w:id="104"/>
      <w:bookmarkEnd w:id="105"/>
      <w:bookmarkEnd w:id="106"/>
    </w:p>
    <w:p w14:paraId="27E8B11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根据上述环境要素识别和工程性质、生产工艺与污染物排放特点，确定项目评价因子，见下表。</w:t>
      </w:r>
    </w:p>
    <w:p w14:paraId="24DE2CED">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表2.4-2  评价因子的确定</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81"/>
        <w:gridCol w:w="1578"/>
        <w:gridCol w:w="5870"/>
      </w:tblGrid>
      <w:tr w14:paraId="74AA94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blHeader/>
          <w:jc w:val="center"/>
        </w:trPr>
        <w:tc>
          <w:tcPr>
            <w:tcW w:w="1559" w:type="pct"/>
            <w:gridSpan w:val="2"/>
            <w:vAlign w:val="center"/>
          </w:tcPr>
          <w:p w14:paraId="7A6E3F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p>
        </w:tc>
        <w:tc>
          <w:tcPr>
            <w:tcW w:w="3441" w:type="pct"/>
            <w:vAlign w:val="center"/>
          </w:tcPr>
          <w:p w14:paraId="728F0B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评价因子</w:t>
            </w:r>
          </w:p>
        </w:tc>
      </w:tr>
      <w:tr w14:paraId="453D5A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14:paraId="4F12D6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大气环境</w:t>
            </w:r>
          </w:p>
        </w:tc>
        <w:tc>
          <w:tcPr>
            <w:tcW w:w="925" w:type="pct"/>
            <w:vAlign w:val="center"/>
          </w:tcPr>
          <w:p w14:paraId="20B7B8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现状评价因子</w:t>
            </w:r>
          </w:p>
        </w:tc>
        <w:tc>
          <w:tcPr>
            <w:tcW w:w="3441" w:type="pct"/>
            <w:vAlign w:val="center"/>
          </w:tcPr>
          <w:p w14:paraId="432B48B3">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基本因子：SO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、NO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、PM</w:t>
            </w:r>
            <w:r>
              <w:rPr>
                <w:rFonts w:hint="default" w:ascii="Times New Roman" w:hAnsi="Times New Roman" w:eastAsia="宋体" w:cs="Times New Roman"/>
                <w:color w:val="000000" w:themeColor="text1"/>
                <w:u w:val="none" w:color="auto"/>
                <w:vertAlign w:val="subscript"/>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、PM</w:t>
            </w:r>
            <w:r>
              <w:rPr>
                <w:rFonts w:hint="default" w:ascii="Times New Roman" w:hAnsi="Times New Roman" w:eastAsia="宋体" w:cs="Times New Roman"/>
                <w:color w:val="000000" w:themeColor="text1"/>
                <w:u w:val="none" w:color="auto"/>
                <w:vertAlign w:val="subscript"/>
                <w14:textFill>
                  <w14:solidFill>
                    <w14:schemeClr w14:val="tx1"/>
                  </w14:solidFill>
                </w14:textFill>
              </w:rPr>
              <w:t>2.5</w:t>
            </w:r>
            <w:r>
              <w:rPr>
                <w:rFonts w:hint="default" w:ascii="Times New Roman" w:hAnsi="Times New Roman" w:eastAsia="宋体" w:cs="Times New Roman"/>
                <w:color w:val="000000" w:themeColor="text1"/>
                <w:u w:val="none" w:color="auto"/>
                <w14:textFill>
                  <w14:solidFill>
                    <w14:schemeClr w14:val="tx1"/>
                  </w14:solidFill>
                </w14:textFill>
              </w:rPr>
              <w:t>、CO、O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p w14:paraId="6E90D4B7">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其他因子：NH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S、臭气浓度</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挥发性有机物（以非甲烷总烃计）</w:t>
            </w:r>
          </w:p>
        </w:tc>
      </w:tr>
      <w:tr w14:paraId="11DB88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14:paraId="5DC8C1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5" w:type="pct"/>
            <w:vAlign w:val="center"/>
          </w:tcPr>
          <w:p w14:paraId="79B033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预测评价因子</w:t>
            </w:r>
          </w:p>
        </w:tc>
        <w:tc>
          <w:tcPr>
            <w:tcW w:w="3441" w:type="pct"/>
            <w:vAlign w:val="center"/>
          </w:tcPr>
          <w:p w14:paraId="77B5BB33">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S</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挥发性有机物（以非甲烷总烃计）</w:t>
            </w:r>
          </w:p>
        </w:tc>
      </w:tr>
      <w:tr w14:paraId="2579A3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14:paraId="2E1B91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5" w:type="pct"/>
            <w:vAlign w:val="center"/>
          </w:tcPr>
          <w:p w14:paraId="72AC15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总量控制因子</w:t>
            </w:r>
          </w:p>
        </w:tc>
        <w:tc>
          <w:tcPr>
            <w:tcW w:w="3441" w:type="pct"/>
            <w:vAlign w:val="center"/>
          </w:tcPr>
          <w:p w14:paraId="4EC2E28A">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w:t>
            </w:r>
          </w:p>
        </w:tc>
      </w:tr>
      <w:tr w14:paraId="5B80EA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shd w:val="clear" w:color="auto" w:fill="auto"/>
            <w:vAlign w:val="center"/>
          </w:tcPr>
          <w:p w14:paraId="468C9C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地表水环境</w:t>
            </w:r>
          </w:p>
        </w:tc>
        <w:tc>
          <w:tcPr>
            <w:tcW w:w="925" w:type="pct"/>
            <w:shd w:val="clear" w:color="auto" w:fill="auto"/>
            <w:vAlign w:val="center"/>
          </w:tcPr>
          <w:p w14:paraId="1B4A7B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现状评价因子</w:t>
            </w:r>
          </w:p>
        </w:tc>
        <w:tc>
          <w:tcPr>
            <w:tcW w:w="3441" w:type="pct"/>
            <w:shd w:val="clear" w:color="auto" w:fill="auto"/>
            <w:vAlign w:val="center"/>
          </w:tcPr>
          <w:p w14:paraId="137A7255">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pH值</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化学需氧量</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总磷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五日生化需氧量</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氨氮</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挥发酚</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石油类</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阴离子表面活性剂</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硫化物</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粪大肠菌群</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铜</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锌</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铅</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氯化物</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氟化物</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汞</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六价铬</w:t>
            </w:r>
          </w:p>
        </w:tc>
      </w:tr>
      <w:tr w14:paraId="5F7D25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shd w:val="clear" w:color="auto" w:fill="auto"/>
            <w:vAlign w:val="center"/>
          </w:tcPr>
          <w:p w14:paraId="7BBE0A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5" w:type="pct"/>
            <w:shd w:val="clear" w:color="auto" w:fill="auto"/>
            <w:vAlign w:val="center"/>
          </w:tcPr>
          <w:p w14:paraId="449D2D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预测评价因子</w:t>
            </w:r>
          </w:p>
        </w:tc>
        <w:tc>
          <w:tcPr>
            <w:tcW w:w="3441" w:type="pct"/>
            <w:shd w:val="clear" w:color="auto" w:fill="auto"/>
            <w:vAlign w:val="center"/>
          </w:tcPr>
          <w:p w14:paraId="5CDE840F">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592F9E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shd w:val="clear" w:color="auto" w:fill="auto"/>
            <w:vAlign w:val="center"/>
          </w:tcPr>
          <w:p w14:paraId="5F02D8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5" w:type="pct"/>
            <w:shd w:val="clear" w:color="auto" w:fill="auto"/>
            <w:vAlign w:val="center"/>
          </w:tcPr>
          <w:p w14:paraId="0B3ABD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总量控制因子</w:t>
            </w:r>
          </w:p>
        </w:tc>
        <w:tc>
          <w:tcPr>
            <w:tcW w:w="3441" w:type="pct"/>
            <w:shd w:val="clear" w:color="auto" w:fill="auto"/>
            <w:vAlign w:val="center"/>
          </w:tcPr>
          <w:p w14:paraId="677D9E52">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COD、氨氮</w:t>
            </w:r>
          </w:p>
        </w:tc>
      </w:tr>
      <w:tr w14:paraId="3EA91D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14:paraId="12D073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地下水环境</w:t>
            </w:r>
          </w:p>
        </w:tc>
        <w:tc>
          <w:tcPr>
            <w:tcW w:w="925" w:type="pct"/>
            <w:vAlign w:val="center"/>
          </w:tcPr>
          <w:p w14:paraId="61F965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现状评价因子</w:t>
            </w:r>
          </w:p>
        </w:tc>
        <w:tc>
          <w:tcPr>
            <w:tcW w:w="3441" w:type="pct"/>
            <w:vAlign w:val="center"/>
          </w:tcPr>
          <w:p w14:paraId="37B53B1A">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K</w:t>
            </w:r>
            <w:r>
              <w:rPr>
                <w:rFonts w:hint="default" w:ascii="Times New Roman" w:hAnsi="Times New Roman" w:eastAsia="宋体" w:cs="Times New Roman"/>
                <w:color w:val="000000" w:themeColor="text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、Na</w:t>
            </w:r>
            <w:r>
              <w:rPr>
                <w:rFonts w:hint="default" w:ascii="Times New Roman" w:hAnsi="Times New Roman" w:eastAsia="宋体" w:cs="Times New Roman"/>
                <w:color w:val="000000" w:themeColor="text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、Ca</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、Mg</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、CO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、HCO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、Cl</w:t>
            </w:r>
            <w:r>
              <w:rPr>
                <w:rFonts w:hint="default" w:ascii="Times New Roman" w:hAnsi="Times New Roman" w:eastAsia="宋体" w:cs="Times New Roman"/>
                <w:color w:val="000000" w:themeColor="text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、SO</w:t>
            </w:r>
            <w:r>
              <w:rPr>
                <w:rFonts w:hint="default" w:ascii="Times New Roman" w:hAnsi="Times New Roman" w:eastAsia="宋体" w:cs="Times New Roman"/>
                <w:color w:val="000000" w:themeColor="text1"/>
                <w:u w:val="none" w:color="auto"/>
                <w:vertAlign w:val="subscript"/>
                <w14:textFill>
                  <w14:solidFill>
                    <w14:schemeClr w14:val="tx1"/>
                  </w14:solidFill>
                </w14:textFill>
              </w:rPr>
              <w:t>4</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、pH值、氨氮、硝酸盐、亚硝酸盐、挥发性酚类、砷、汞、铬</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六价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、总硬度、铅、镉、溶解性总固体、高锰酸盐指数、总大肠菌群、细菌总数</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石油类、水位</w:t>
            </w:r>
          </w:p>
        </w:tc>
      </w:tr>
      <w:tr w14:paraId="741FF9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14:paraId="78EBF4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5" w:type="pct"/>
            <w:vAlign w:val="center"/>
          </w:tcPr>
          <w:p w14:paraId="0F1033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预测评价因子</w:t>
            </w:r>
          </w:p>
        </w:tc>
        <w:tc>
          <w:tcPr>
            <w:tcW w:w="3441" w:type="pct"/>
            <w:vAlign w:val="center"/>
          </w:tcPr>
          <w:p w14:paraId="7B868EC4">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高锰酸盐指数</w:t>
            </w:r>
          </w:p>
        </w:tc>
      </w:tr>
      <w:tr w14:paraId="321272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14:paraId="09A902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w:t>
            </w:r>
          </w:p>
        </w:tc>
        <w:tc>
          <w:tcPr>
            <w:tcW w:w="925" w:type="pct"/>
            <w:vAlign w:val="center"/>
          </w:tcPr>
          <w:p w14:paraId="33BEDB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现状评价因子</w:t>
            </w:r>
          </w:p>
        </w:tc>
        <w:tc>
          <w:tcPr>
            <w:tcW w:w="3441" w:type="pct"/>
            <w:vMerge w:val="restart"/>
            <w:vAlign w:val="center"/>
          </w:tcPr>
          <w:p w14:paraId="3C01F4A0">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等效连续A声级</w:t>
            </w:r>
          </w:p>
        </w:tc>
      </w:tr>
      <w:tr w14:paraId="4211BC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14:paraId="08C7D9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FF0000"/>
                <w:u w:val="none" w:color="auto"/>
              </w:rPr>
            </w:pPr>
          </w:p>
        </w:tc>
        <w:tc>
          <w:tcPr>
            <w:tcW w:w="925" w:type="pct"/>
            <w:vAlign w:val="center"/>
          </w:tcPr>
          <w:p w14:paraId="75EE24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预测评价因子</w:t>
            </w:r>
          </w:p>
        </w:tc>
        <w:tc>
          <w:tcPr>
            <w:tcW w:w="3441" w:type="pct"/>
            <w:vMerge w:val="continue"/>
            <w:vAlign w:val="center"/>
          </w:tcPr>
          <w:p w14:paraId="4BF99D3B">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p>
        </w:tc>
      </w:tr>
      <w:tr w14:paraId="029A77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14:paraId="3D7FDC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土壤</w:t>
            </w:r>
          </w:p>
        </w:tc>
        <w:tc>
          <w:tcPr>
            <w:tcW w:w="925" w:type="pct"/>
            <w:vAlign w:val="center"/>
          </w:tcPr>
          <w:p w14:paraId="6D4CB8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现状评价因子</w:t>
            </w:r>
          </w:p>
        </w:tc>
        <w:tc>
          <w:tcPr>
            <w:tcW w:w="3441" w:type="pct"/>
            <w:vAlign w:val="center"/>
          </w:tcPr>
          <w:p w14:paraId="33489575">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建设用地：pH</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值</w:t>
            </w:r>
            <w:r>
              <w:rPr>
                <w:rFonts w:hint="default" w:ascii="Times New Roman" w:hAnsi="Times New Roman" w:eastAsia="宋体" w:cs="Times New Roman"/>
                <w:color w:val="000000" w:themeColor="text1"/>
                <w:u w:val="none" w:color="auto"/>
                <w14:textFill>
                  <w14:solidFill>
                    <w14:schemeClr w14:val="tx1"/>
                  </w14:solidFill>
                </w14:textFill>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p w14:paraId="68330702">
            <w:pPr>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其他因子：石油烃</w:t>
            </w:r>
          </w:p>
        </w:tc>
      </w:tr>
      <w:tr w14:paraId="3BC12C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14:paraId="7AED2C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5" w:type="pct"/>
            <w:vAlign w:val="center"/>
          </w:tcPr>
          <w:p w14:paraId="77DD1E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预测评价因子</w:t>
            </w:r>
          </w:p>
        </w:tc>
        <w:tc>
          <w:tcPr>
            <w:tcW w:w="3441" w:type="pct"/>
            <w:vAlign w:val="center"/>
          </w:tcPr>
          <w:p w14:paraId="78D5C3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459AB9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14:paraId="7CCF44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固体废物</w:t>
            </w:r>
          </w:p>
        </w:tc>
        <w:tc>
          <w:tcPr>
            <w:tcW w:w="925" w:type="pct"/>
            <w:vAlign w:val="center"/>
          </w:tcPr>
          <w:p w14:paraId="3681BB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产生因子</w:t>
            </w:r>
          </w:p>
        </w:tc>
        <w:tc>
          <w:tcPr>
            <w:tcW w:w="3441" w:type="pct"/>
            <w:vAlign w:val="center"/>
          </w:tcPr>
          <w:p w14:paraId="2A0CBC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一般工业固废、危险废物、生活垃圾</w:t>
            </w:r>
          </w:p>
        </w:tc>
      </w:tr>
      <w:tr w14:paraId="3833C1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14:paraId="5BDA79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5" w:type="pct"/>
            <w:vAlign w:val="center"/>
          </w:tcPr>
          <w:p w14:paraId="678577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评价因子</w:t>
            </w:r>
          </w:p>
        </w:tc>
        <w:tc>
          <w:tcPr>
            <w:tcW w:w="3441" w:type="pct"/>
            <w:vAlign w:val="center"/>
          </w:tcPr>
          <w:p w14:paraId="0652F9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一般工业固废、危险废物、生活垃圾</w:t>
            </w:r>
          </w:p>
        </w:tc>
      </w:tr>
      <w:tr w14:paraId="05AC3D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14:paraId="34A302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环境风险</w:t>
            </w:r>
          </w:p>
        </w:tc>
        <w:tc>
          <w:tcPr>
            <w:tcW w:w="925" w:type="pct"/>
            <w:vAlign w:val="center"/>
          </w:tcPr>
          <w:p w14:paraId="6CB32A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风险物质</w:t>
            </w:r>
          </w:p>
        </w:tc>
        <w:tc>
          <w:tcPr>
            <w:tcW w:w="3441" w:type="pct"/>
            <w:vAlign w:val="center"/>
          </w:tcPr>
          <w:p w14:paraId="30609E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油脂</w:t>
            </w:r>
            <w:r>
              <w:rPr>
                <w:rFonts w:hint="default" w:ascii="Times New Roman" w:hAnsi="Times New Roman" w:eastAsia="宋体" w:cs="Times New Roman"/>
                <w:color w:val="000000" w:themeColor="text1"/>
                <w:u w:val="none" w:color="auto"/>
                <w14:textFill>
                  <w14:solidFill>
                    <w14:schemeClr w14:val="tx1"/>
                  </w14:solidFill>
                </w14:textFill>
              </w:rPr>
              <w:t>、危险废物等</w:t>
            </w:r>
          </w:p>
        </w:tc>
      </w:tr>
      <w:tr w14:paraId="54D20B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14:paraId="3BC15F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FF0000"/>
                <w:u w:val="none" w:color="auto"/>
              </w:rPr>
            </w:pPr>
          </w:p>
        </w:tc>
        <w:tc>
          <w:tcPr>
            <w:tcW w:w="925" w:type="pct"/>
            <w:vAlign w:val="center"/>
          </w:tcPr>
          <w:p w14:paraId="0474BE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风险类型</w:t>
            </w:r>
          </w:p>
        </w:tc>
        <w:tc>
          <w:tcPr>
            <w:tcW w:w="3441" w:type="pct"/>
            <w:vAlign w:val="center"/>
          </w:tcPr>
          <w:p w14:paraId="0DCEE2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泄漏、火灾、爆炸引发伴生/次生污染物排放</w:t>
            </w:r>
          </w:p>
        </w:tc>
      </w:tr>
    </w:tbl>
    <w:p w14:paraId="1915D026">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07" w:name="_Toc187011284"/>
      <w:bookmarkStart w:id="108" w:name="_Toc144236742"/>
      <w:bookmarkStart w:id="109" w:name="_Toc102658195"/>
      <w:bookmarkStart w:id="110" w:name="_Toc17349"/>
      <w:bookmarkStart w:id="111" w:name="_Toc144276872"/>
      <w:bookmarkStart w:id="112" w:name="_Toc164200763"/>
      <w:r>
        <w:rPr>
          <w:rFonts w:hint="default" w:ascii="Times New Roman" w:hAnsi="Times New Roman" w:eastAsia="宋体" w:cs="Times New Roman"/>
          <w:color w:val="000000" w:themeColor="text1"/>
          <w:u w:val="none" w:color="auto"/>
          <w14:textFill>
            <w14:solidFill>
              <w14:schemeClr w14:val="tx1"/>
            </w14:solidFill>
          </w14:textFill>
        </w:rPr>
        <w:t>2.5 评价标准</w:t>
      </w:r>
      <w:bookmarkEnd w:id="107"/>
      <w:bookmarkEnd w:id="108"/>
      <w:bookmarkEnd w:id="109"/>
      <w:bookmarkEnd w:id="110"/>
      <w:bookmarkEnd w:id="111"/>
      <w:bookmarkEnd w:id="112"/>
    </w:p>
    <w:p w14:paraId="74DF0A6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13" w:name="_Toc9533"/>
      <w:bookmarkStart w:id="114" w:name="_Toc144236743"/>
      <w:bookmarkStart w:id="115" w:name="_Toc144276873"/>
      <w:bookmarkStart w:id="116" w:name="_Toc164200764"/>
      <w:bookmarkStart w:id="117" w:name="_Toc187011285"/>
      <w:r>
        <w:rPr>
          <w:rFonts w:hint="default" w:ascii="Times New Roman" w:hAnsi="Times New Roman" w:eastAsia="宋体" w:cs="Times New Roman"/>
          <w:color w:val="000000" w:themeColor="text1"/>
          <w:u w:val="none" w:color="auto"/>
          <w14:textFill>
            <w14:solidFill>
              <w14:schemeClr w14:val="tx1"/>
            </w14:solidFill>
          </w14:textFill>
        </w:rPr>
        <w:t>2.5.1 环境质量标准</w:t>
      </w:r>
      <w:bookmarkEnd w:id="113"/>
      <w:bookmarkEnd w:id="114"/>
      <w:bookmarkEnd w:id="115"/>
      <w:bookmarkEnd w:id="116"/>
      <w:bookmarkEnd w:id="117"/>
    </w:p>
    <w:p w14:paraId="2B9F385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项目所在区域环境空气质量中基本污染物SO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、NO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、PM</w:t>
      </w:r>
      <w:r>
        <w:rPr>
          <w:rFonts w:hint="default" w:ascii="Times New Roman" w:hAnsi="Times New Roman" w:eastAsia="宋体" w:cs="Times New Roman"/>
          <w:color w:val="000000" w:themeColor="text1"/>
          <w:u w:val="none" w:color="auto"/>
          <w:vertAlign w:val="subscript"/>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、PM</w:t>
      </w:r>
      <w:r>
        <w:rPr>
          <w:rFonts w:hint="default" w:ascii="Times New Roman" w:hAnsi="Times New Roman" w:eastAsia="宋体" w:cs="Times New Roman"/>
          <w:color w:val="000000" w:themeColor="text1"/>
          <w:u w:val="none" w:color="auto"/>
          <w:vertAlign w:val="subscript"/>
          <w14:textFill>
            <w14:solidFill>
              <w14:schemeClr w14:val="tx1"/>
            </w14:solidFill>
          </w14:textFill>
        </w:rPr>
        <w:t>2.5</w:t>
      </w:r>
      <w:r>
        <w:rPr>
          <w:rFonts w:hint="default" w:ascii="Times New Roman" w:hAnsi="Times New Roman" w:eastAsia="宋体" w:cs="Times New Roman"/>
          <w:color w:val="000000" w:themeColor="text1"/>
          <w:u w:val="none" w:color="auto"/>
          <w14:textFill>
            <w14:solidFill>
              <w14:schemeClr w14:val="tx1"/>
            </w14:solidFill>
          </w14:textFill>
        </w:rPr>
        <w:t>、CO、O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执行《环境空气质量标准》（GB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3095-20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26</w:t>
      </w:r>
      <w:r>
        <w:rPr>
          <w:rFonts w:hint="default" w:ascii="Times New Roman" w:hAnsi="Times New Roman" w:eastAsia="宋体" w:cs="Times New Roman"/>
          <w:color w:val="000000" w:themeColor="text1"/>
          <w:u w:val="none" w:color="auto"/>
          <w14:textFill>
            <w14:solidFill>
              <w14:schemeClr w14:val="tx1"/>
            </w14:solidFill>
          </w14:textFill>
        </w:rPr>
        <w:t>）中的二级标准；氨、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r>
        <w:rPr>
          <w:rFonts w:hint="default" w:ascii="Times New Roman" w:hAnsi="Times New Roman" w:eastAsia="宋体" w:cs="Times New Roman"/>
          <w:color w:val="000000" w:themeColor="text1"/>
          <w:u w:val="none" w:color="auto"/>
          <w14:textFill>
            <w14:solidFill>
              <w14:schemeClr w14:val="tx1"/>
            </w14:solidFill>
          </w14:textFill>
        </w:rPr>
        <w:t>执行《环境影响评价技术导则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大气环境》（HJ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2.2-2018）附录D</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标准限值</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r>
        <w:rPr>
          <w:rFonts w:hint="default" w:ascii="Times New Roman" w:hAnsi="Times New Roman" w:eastAsia="宋体" w:cs="Times New Roman"/>
          <w:color w:val="000000" w:themeColor="text1"/>
          <w:u w:val="none" w:color="auto"/>
          <w14:textFill>
            <w14:solidFill>
              <w14:schemeClr w14:val="tx1"/>
            </w14:solidFill>
          </w14:textFill>
        </w:rPr>
        <w:t>执行《大气污染物综合排放标准详解》</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标准限值</w:t>
      </w:r>
      <w:r>
        <w:rPr>
          <w:rFonts w:hint="default" w:ascii="Times New Roman" w:hAnsi="Times New Roman" w:eastAsia="宋体" w:cs="Times New Roman"/>
          <w:color w:val="000000" w:themeColor="text1"/>
          <w:u w:val="none" w:color="auto"/>
          <w14:textFill>
            <w14:solidFill>
              <w14:schemeClr w14:val="tx1"/>
            </w14:solidFill>
          </w14:textFill>
        </w:rPr>
        <w:t>。</w:t>
      </w:r>
    </w:p>
    <w:p w14:paraId="1641EF93">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表2.5-1  环境空气质量标准一览表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1636"/>
        <w:gridCol w:w="809"/>
        <w:gridCol w:w="1396"/>
        <w:gridCol w:w="1513"/>
        <w:gridCol w:w="1839"/>
      </w:tblGrid>
      <w:tr w14:paraId="202A07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783" w:type="pct"/>
            <w:vMerge w:val="restart"/>
            <w:vAlign w:val="center"/>
          </w:tcPr>
          <w:p w14:paraId="7A909F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污染因子</w:t>
            </w:r>
          </w:p>
        </w:tc>
        <w:tc>
          <w:tcPr>
            <w:tcW w:w="3138" w:type="pct"/>
            <w:gridSpan w:val="4"/>
            <w:vAlign w:val="center"/>
          </w:tcPr>
          <w:p w14:paraId="1937C4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标准值</w:t>
            </w:r>
          </w:p>
        </w:tc>
        <w:tc>
          <w:tcPr>
            <w:tcW w:w="1078" w:type="pct"/>
            <w:vMerge w:val="restart"/>
            <w:vAlign w:val="center"/>
          </w:tcPr>
          <w:p w14:paraId="0B7B9C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w:t>
            </w:r>
          </w:p>
        </w:tc>
      </w:tr>
      <w:tr w14:paraId="03CAF2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783" w:type="pct"/>
            <w:vMerge w:val="continue"/>
            <w:vAlign w:val="center"/>
          </w:tcPr>
          <w:p w14:paraId="07766A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14:textFill>
                  <w14:solidFill>
                    <w14:schemeClr w14:val="tx1"/>
                  </w14:solidFill>
                </w14:textFill>
              </w:rPr>
            </w:pPr>
          </w:p>
        </w:tc>
        <w:tc>
          <w:tcPr>
            <w:tcW w:w="1433" w:type="pct"/>
            <w:gridSpan w:val="2"/>
            <w:vAlign w:val="center"/>
          </w:tcPr>
          <w:p w14:paraId="64E139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单位</w:t>
            </w:r>
          </w:p>
        </w:tc>
        <w:tc>
          <w:tcPr>
            <w:tcW w:w="818" w:type="pct"/>
            <w:vAlign w:val="center"/>
          </w:tcPr>
          <w:p w14:paraId="2F76EE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过渡期限值</w:t>
            </w:r>
          </w:p>
        </w:tc>
        <w:tc>
          <w:tcPr>
            <w:tcW w:w="886" w:type="pct"/>
            <w:vAlign w:val="center"/>
          </w:tcPr>
          <w:p w14:paraId="1851D8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过渡期后限值</w:t>
            </w:r>
          </w:p>
        </w:tc>
        <w:tc>
          <w:tcPr>
            <w:tcW w:w="1078" w:type="pct"/>
            <w:vMerge w:val="continue"/>
            <w:vAlign w:val="center"/>
          </w:tcPr>
          <w:p w14:paraId="79EA5E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3D8EA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restart"/>
            <w:vAlign w:val="center"/>
          </w:tcPr>
          <w:p w14:paraId="1BC16249">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SO</w:t>
            </w:r>
            <w:r>
              <w:rPr>
                <w:rFonts w:hint="default" w:ascii="Times New Roman" w:hAnsi="Times New Roman" w:eastAsia="宋体" w:cs="Times New Roman"/>
                <w:bCs/>
                <w:color w:val="000000" w:themeColor="text1"/>
                <w:u w:val="none" w:color="auto"/>
                <w:vertAlign w:val="subscript"/>
                <w14:textFill>
                  <w14:solidFill>
                    <w14:schemeClr w14:val="tx1"/>
                  </w14:solidFill>
                </w14:textFill>
              </w:rPr>
              <w:t>2</w:t>
            </w:r>
          </w:p>
        </w:tc>
        <w:tc>
          <w:tcPr>
            <w:tcW w:w="959" w:type="pct"/>
            <w:vAlign w:val="center"/>
          </w:tcPr>
          <w:p w14:paraId="64E450D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1小时平均</w:t>
            </w:r>
          </w:p>
        </w:tc>
        <w:tc>
          <w:tcPr>
            <w:tcW w:w="474" w:type="pct"/>
            <w:vMerge w:val="restart"/>
            <w:vAlign w:val="center"/>
          </w:tcPr>
          <w:p w14:paraId="25FDF2C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μg/m</w:t>
            </w:r>
            <w:r>
              <w:rPr>
                <w:rFonts w:hint="default" w:ascii="Times New Roman" w:hAnsi="Times New Roman" w:eastAsia="宋体" w:cs="Times New Roman"/>
                <w:bCs/>
                <w:color w:val="000000" w:themeColor="text1"/>
                <w:u w:val="none" w:color="auto"/>
                <w:vertAlign w:val="superscript"/>
                <w14:textFill>
                  <w14:solidFill>
                    <w14:schemeClr w14:val="tx1"/>
                  </w14:solidFill>
                </w14:textFill>
              </w:rPr>
              <w:t>3</w:t>
            </w:r>
          </w:p>
        </w:tc>
        <w:tc>
          <w:tcPr>
            <w:tcW w:w="818" w:type="pct"/>
            <w:vAlign w:val="center"/>
          </w:tcPr>
          <w:p w14:paraId="1A5793F6">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500</w:t>
            </w:r>
          </w:p>
        </w:tc>
        <w:tc>
          <w:tcPr>
            <w:tcW w:w="886" w:type="pct"/>
            <w:vAlign w:val="center"/>
          </w:tcPr>
          <w:p w14:paraId="757A4FB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150</w:t>
            </w:r>
          </w:p>
        </w:tc>
        <w:tc>
          <w:tcPr>
            <w:tcW w:w="1078" w:type="pct"/>
            <w:vMerge w:val="restart"/>
            <w:vAlign w:val="center"/>
          </w:tcPr>
          <w:p w14:paraId="5DD488B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《环境空气质量标准》（GB</w:t>
            </w: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u w:val="none" w:color="auto"/>
                <w14:textFill>
                  <w14:solidFill>
                    <w14:schemeClr w14:val="tx1"/>
                  </w14:solidFill>
                </w14:textFill>
              </w:rPr>
              <w:t>3095-20</w:t>
            </w:r>
            <w:r>
              <w:rPr>
                <w:rFonts w:hint="eastAsia" w:eastAsia="宋体" w:cs="Times New Roman"/>
                <w:bCs/>
                <w:color w:val="000000" w:themeColor="text1"/>
                <w:u w:val="none" w:color="auto"/>
                <w:lang w:val="en-US" w:eastAsia="zh-CN"/>
                <w14:textFill>
                  <w14:solidFill>
                    <w14:schemeClr w14:val="tx1"/>
                  </w14:solidFill>
                </w14:textFill>
              </w:rPr>
              <w:t>26</w:t>
            </w:r>
            <w:r>
              <w:rPr>
                <w:rFonts w:hint="default" w:ascii="Times New Roman" w:hAnsi="Times New Roman" w:eastAsia="宋体" w:cs="Times New Roman"/>
                <w:bCs/>
                <w:color w:val="000000" w:themeColor="text1"/>
                <w:u w:val="none" w:color="auto"/>
                <w14:textFill>
                  <w14:solidFill>
                    <w14:schemeClr w14:val="tx1"/>
                  </w14:solidFill>
                </w14:textFill>
              </w:rPr>
              <w:t>）表1中二级标准</w:t>
            </w:r>
          </w:p>
        </w:tc>
      </w:tr>
      <w:tr w14:paraId="1B16A9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vAlign w:val="center"/>
          </w:tcPr>
          <w:p w14:paraId="244528C2">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959" w:type="pct"/>
            <w:vAlign w:val="center"/>
          </w:tcPr>
          <w:p w14:paraId="0C39563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24小时平均</w:t>
            </w:r>
          </w:p>
        </w:tc>
        <w:tc>
          <w:tcPr>
            <w:tcW w:w="474" w:type="pct"/>
            <w:vMerge w:val="continue"/>
            <w:vAlign w:val="center"/>
          </w:tcPr>
          <w:p w14:paraId="0EAC8D1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0CAD656E">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150</w:t>
            </w:r>
          </w:p>
        </w:tc>
        <w:tc>
          <w:tcPr>
            <w:tcW w:w="886" w:type="pct"/>
            <w:vAlign w:val="center"/>
          </w:tcPr>
          <w:p w14:paraId="1E1F4E81">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50</w:t>
            </w:r>
          </w:p>
        </w:tc>
        <w:tc>
          <w:tcPr>
            <w:tcW w:w="1078" w:type="pct"/>
            <w:vMerge w:val="continue"/>
            <w:vAlign w:val="center"/>
          </w:tcPr>
          <w:p w14:paraId="3084A7CF">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1A7961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vAlign w:val="center"/>
          </w:tcPr>
          <w:p w14:paraId="4F710FAE">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959" w:type="pct"/>
            <w:vAlign w:val="center"/>
          </w:tcPr>
          <w:p w14:paraId="3F7355EF">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年平均</w:t>
            </w:r>
          </w:p>
        </w:tc>
        <w:tc>
          <w:tcPr>
            <w:tcW w:w="474" w:type="pct"/>
            <w:vMerge w:val="continue"/>
            <w:vAlign w:val="center"/>
          </w:tcPr>
          <w:p w14:paraId="46B495DA">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18E5B8D8">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60</w:t>
            </w:r>
          </w:p>
        </w:tc>
        <w:tc>
          <w:tcPr>
            <w:tcW w:w="886" w:type="pct"/>
            <w:vAlign w:val="center"/>
          </w:tcPr>
          <w:p w14:paraId="03ACFD0A">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20</w:t>
            </w:r>
          </w:p>
        </w:tc>
        <w:tc>
          <w:tcPr>
            <w:tcW w:w="1078" w:type="pct"/>
            <w:vMerge w:val="continue"/>
            <w:vAlign w:val="center"/>
          </w:tcPr>
          <w:p w14:paraId="07FB516C">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7C0C81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restart"/>
            <w:vAlign w:val="center"/>
          </w:tcPr>
          <w:p w14:paraId="3D9E24AC">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NO</w:t>
            </w:r>
            <w:r>
              <w:rPr>
                <w:rFonts w:hint="default" w:ascii="Times New Roman" w:hAnsi="Times New Roman" w:eastAsia="宋体" w:cs="Times New Roman"/>
                <w:bCs/>
                <w:color w:val="000000" w:themeColor="text1"/>
                <w:u w:val="none" w:color="auto"/>
                <w:vertAlign w:val="subscript"/>
                <w14:textFill>
                  <w14:solidFill>
                    <w14:schemeClr w14:val="tx1"/>
                  </w14:solidFill>
                </w14:textFill>
              </w:rPr>
              <w:t>2</w:t>
            </w:r>
          </w:p>
        </w:tc>
        <w:tc>
          <w:tcPr>
            <w:tcW w:w="959" w:type="pct"/>
            <w:vAlign w:val="center"/>
          </w:tcPr>
          <w:p w14:paraId="76F1A4A9">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1小时平均</w:t>
            </w:r>
          </w:p>
        </w:tc>
        <w:tc>
          <w:tcPr>
            <w:tcW w:w="474" w:type="pct"/>
            <w:vMerge w:val="continue"/>
            <w:vAlign w:val="center"/>
          </w:tcPr>
          <w:p w14:paraId="2F46E0DB">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4D2CF5F8">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200</w:t>
            </w:r>
          </w:p>
        </w:tc>
        <w:tc>
          <w:tcPr>
            <w:tcW w:w="886" w:type="pct"/>
            <w:vAlign w:val="center"/>
          </w:tcPr>
          <w:p w14:paraId="3A96C34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200</w:t>
            </w:r>
          </w:p>
        </w:tc>
        <w:tc>
          <w:tcPr>
            <w:tcW w:w="1078" w:type="pct"/>
            <w:vMerge w:val="continue"/>
            <w:vAlign w:val="center"/>
          </w:tcPr>
          <w:p w14:paraId="3FE8251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1EEBF4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vAlign w:val="center"/>
          </w:tcPr>
          <w:p w14:paraId="06C68A9B">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959" w:type="pct"/>
            <w:vAlign w:val="center"/>
          </w:tcPr>
          <w:p w14:paraId="09C00B98">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24小时平均</w:t>
            </w:r>
          </w:p>
        </w:tc>
        <w:tc>
          <w:tcPr>
            <w:tcW w:w="474" w:type="pct"/>
            <w:vMerge w:val="continue"/>
            <w:vAlign w:val="center"/>
          </w:tcPr>
          <w:p w14:paraId="27896AEF">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5DD82CD0">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80</w:t>
            </w:r>
          </w:p>
        </w:tc>
        <w:tc>
          <w:tcPr>
            <w:tcW w:w="886" w:type="pct"/>
            <w:vAlign w:val="center"/>
          </w:tcPr>
          <w:p w14:paraId="6D314772">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50</w:t>
            </w:r>
          </w:p>
        </w:tc>
        <w:tc>
          <w:tcPr>
            <w:tcW w:w="1078" w:type="pct"/>
            <w:vMerge w:val="continue"/>
            <w:vAlign w:val="center"/>
          </w:tcPr>
          <w:p w14:paraId="41EB641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268216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vAlign w:val="center"/>
          </w:tcPr>
          <w:p w14:paraId="5D018B5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959" w:type="pct"/>
            <w:vAlign w:val="center"/>
          </w:tcPr>
          <w:p w14:paraId="1F4ADA3A">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年平均</w:t>
            </w:r>
          </w:p>
        </w:tc>
        <w:tc>
          <w:tcPr>
            <w:tcW w:w="474" w:type="pct"/>
            <w:vMerge w:val="continue"/>
            <w:vAlign w:val="center"/>
          </w:tcPr>
          <w:p w14:paraId="15A2AC34">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1CB50529">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40</w:t>
            </w:r>
          </w:p>
        </w:tc>
        <w:tc>
          <w:tcPr>
            <w:tcW w:w="886" w:type="pct"/>
            <w:vAlign w:val="center"/>
          </w:tcPr>
          <w:p w14:paraId="700F9AE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30</w:t>
            </w:r>
          </w:p>
        </w:tc>
        <w:tc>
          <w:tcPr>
            <w:tcW w:w="1078" w:type="pct"/>
            <w:vMerge w:val="continue"/>
            <w:vAlign w:val="center"/>
          </w:tcPr>
          <w:p w14:paraId="5115EFE6">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565945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restart"/>
            <w:vAlign w:val="center"/>
          </w:tcPr>
          <w:p w14:paraId="30990C00">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PM</w:t>
            </w:r>
            <w:r>
              <w:rPr>
                <w:rFonts w:hint="default" w:ascii="Times New Roman" w:hAnsi="Times New Roman" w:eastAsia="宋体" w:cs="Times New Roman"/>
                <w:bCs/>
                <w:color w:val="000000" w:themeColor="text1"/>
                <w:u w:val="none" w:color="auto"/>
                <w:vertAlign w:val="subscript"/>
                <w14:textFill>
                  <w14:solidFill>
                    <w14:schemeClr w14:val="tx1"/>
                  </w14:solidFill>
                </w14:textFill>
              </w:rPr>
              <w:t>10</w:t>
            </w:r>
          </w:p>
        </w:tc>
        <w:tc>
          <w:tcPr>
            <w:tcW w:w="959" w:type="pct"/>
            <w:vAlign w:val="center"/>
          </w:tcPr>
          <w:p w14:paraId="7A6E193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24小时平均</w:t>
            </w:r>
          </w:p>
        </w:tc>
        <w:tc>
          <w:tcPr>
            <w:tcW w:w="474" w:type="pct"/>
            <w:vMerge w:val="continue"/>
            <w:vAlign w:val="center"/>
          </w:tcPr>
          <w:p w14:paraId="6CCA3C2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25738B7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w:t>
            </w:r>
            <w:r>
              <w:rPr>
                <w:rFonts w:hint="eastAsia" w:eastAsia="宋体" w:cs="Times New Roman"/>
                <w:bCs/>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bCs/>
                <w:color w:val="000000" w:themeColor="text1"/>
                <w:u w:val="none" w:color="auto"/>
                <w14:textFill>
                  <w14:solidFill>
                    <w14:schemeClr w14:val="tx1"/>
                  </w14:solidFill>
                </w14:textFill>
              </w:rPr>
              <w:t>0</w:t>
            </w:r>
          </w:p>
        </w:tc>
        <w:tc>
          <w:tcPr>
            <w:tcW w:w="886" w:type="pct"/>
            <w:vAlign w:val="center"/>
          </w:tcPr>
          <w:p w14:paraId="2F6A60CC">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100</w:t>
            </w:r>
          </w:p>
        </w:tc>
        <w:tc>
          <w:tcPr>
            <w:tcW w:w="1078" w:type="pct"/>
            <w:vMerge w:val="continue"/>
            <w:vAlign w:val="center"/>
          </w:tcPr>
          <w:p w14:paraId="18E8F3B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260B51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vAlign w:val="center"/>
          </w:tcPr>
          <w:p w14:paraId="39BE44AE">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959" w:type="pct"/>
            <w:vAlign w:val="center"/>
          </w:tcPr>
          <w:p w14:paraId="535D8F71">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年平均</w:t>
            </w:r>
          </w:p>
        </w:tc>
        <w:tc>
          <w:tcPr>
            <w:tcW w:w="474" w:type="pct"/>
            <w:vMerge w:val="continue"/>
            <w:vAlign w:val="center"/>
          </w:tcPr>
          <w:p w14:paraId="4754BFC9">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194E64C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bCs/>
                <w:color w:val="000000" w:themeColor="text1"/>
                <w:u w:val="none" w:color="auto"/>
                <w14:textFill>
                  <w14:solidFill>
                    <w14:schemeClr w14:val="tx1"/>
                  </w14:solidFill>
                </w14:textFill>
              </w:rPr>
              <w:t>0</w:t>
            </w:r>
          </w:p>
        </w:tc>
        <w:tc>
          <w:tcPr>
            <w:tcW w:w="886" w:type="pct"/>
            <w:vAlign w:val="center"/>
          </w:tcPr>
          <w:p w14:paraId="00D8F3C4">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50</w:t>
            </w:r>
          </w:p>
        </w:tc>
        <w:tc>
          <w:tcPr>
            <w:tcW w:w="1078" w:type="pct"/>
            <w:vMerge w:val="continue"/>
            <w:vAlign w:val="center"/>
          </w:tcPr>
          <w:p w14:paraId="57CFCD74">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4AC565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restart"/>
            <w:vAlign w:val="center"/>
          </w:tcPr>
          <w:p w14:paraId="1B462F0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PM</w:t>
            </w:r>
            <w:r>
              <w:rPr>
                <w:rFonts w:hint="default" w:ascii="Times New Roman" w:hAnsi="Times New Roman" w:eastAsia="宋体" w:cs="Times New Roman"/>
                <w:bCs/>
                <w:color w:val="000000" w:themeColor="text1"/>
                <w:u w:val="none" w:color="auto"/>
                <w:vertAlign w:val="subscript"/>
                <w14:textFill>
                  <w14:solidFill>
                    <w14:schemeClr w14:val="tx1"/>
                  </w14:solidFill>
                </w14:textFill>
              </w:rPr>
              <w:t>2.5</w:t>
            </w:r>
          </w:p>
        </w:tc>
        <w:tc>
          <w:tcPr>
            <w:tcW w:w="959" w:type="pct"/>
            <w:vAlign w:val="center"/>
          </w:tcPr>
          <w:p w14:paraId="6E86EE3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24小时平均</w:t>
            </w:r>
          </w:p>
        </w:tc>
        <w:tc>
          <w:tcPr>
            <w:tcW w:w="474" w:type="pct"/>
            <w:vMerge w:val="continue"/>
            <w:vAlign w:val="center"/>
          </w:tcPr>
          <w:p w14:paraId="496DA98B">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0F0E1330">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60</w:t>
            </w:r>
          </w:p>
        </w:tc>
        <w:tc>
          <w:tcPr>
            <w:tcW w:w="886" w:type="pct"/>
            <w:vAlign w:val="center"/>
          </w:tcPr>
          <w:p w14:paraId="2766B54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50</w:t>
            </w:r>
          </w:p>
        </w:tc>
        <w:tc>
          <w:tcPr>
            <w:tcW w:w="1078" w:type="pct"/>
            <w:vMerge w:val="continue"/>
            <w:vAlign w:val="center"/>
          </w:tcPr>
          <w:p w14:paraId="68F53F20">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3861B1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vAlign w:val="center"/>
          </w:tcPr>
          <w:p w14:paraId="11D82BE1">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959" w:type="pct"/>
            <w:vAlign w:val="center"/>
          </w:tcPr>
          <w:p w14:paraId="2D18032C">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年平均</w:t>
            </w:r>
          </w:p>
        </w:tc>
        <w:tc>
          <w:tcPr>
            <w:tcW w:w="474" w:type="pct"/>
            <w:vMerge w:val="continue"/>
            <w:vAlign w:val="center"/>
          </w:tcPr>
          <w:p w14:paraId="0D3E7DD0">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316D4B56">
            <w:pPr>
              <w:pStyle w:val="68"/>
              <w:keepNext w:val="0"/>
              <w:keepLines w:val="0"/>
              <w:pageBreakBefore w:val="0"/>
              <w:widowControl w:val="0"/>
              <w:kinsoku/>
              <w:wordWrap/>
              <w:overflowPunct/>
              <w:topLinePunct w:val="0"/>
              <w:bidi w:val="0"/>
              <w:rPr>
                <w:rFonts w:hint="eastAsia" w:ascii="Times New Roman" w:hAnsi="Times New Roman" w:eastAsia="宋体" w:cs="Times New Roman"/>
                <w:bCs/>
                <w:color w:val="000000" w:themeColor="text1"/>
                <w:u w:val="none" w:color="auto"/>
                <w:lang w:eastAsia="zh-CN"/>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3</w:t>
            </w:r>
            <w:r>
              <w:rPr>
                <w:rFonts w:hint="eastAsia" w:eastAsia="宋体" w:cs="Times New Roman"/>
                <w:bCs/>
                <w:color w:val="000000" w:themeColor="text1"/>
                <w:u w:val="none" w:color="auto"/>
                <w:lang w:val="en-US" w:eastAsia="zh-CN"/>
                <w14:textFill>
                  <w14:solidFill>
                    <w14:schemeClr w14:val="tx1"/>
                  </w14:solidFill>
                </w14:textFill>
              </w:rPr>
              <w:t>0</w:t>
            </w:r>
          </w:p>
        </w:tc>
        <w:tc>
          <w:tcPr>
            <w:tcW w:w="886" w:type="pct"/>
            <w:vAlign w:val="center"/>
          </w:tcPr>
          <w:p w14:paraId="13737C1E">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25</w:t>
            </w:r>
          </w:p>
        </w:tc>
        <w:tc>
          <w:tcPr>
            <w:tcW w:w="1078" w:type="pct"/>
            <w:vMerge w:val="continue"/>
            <w:vAlign w:val="center"/>
          </w:tcPr>
          <w:p w14:paraId="57760FB2">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29FF01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restart"/>
            <w:vAlign w:val="center"/>
          </w:tcPr>
          <w:p w14:paraId="16F33CB8">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CO</w:t>
            </w:r>
          </w:p>
        </w:tc>
        <w:tc>
          <w:tcPr>
            <w:tcW w:w="959" w:type="pct"/>
            <w:vAlign w:val="center"/>
          </w:tcPr>
          <w:p w14:paraId="0C6D291A">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24h平均</w:t>
            </w:r>
          </w:p>
        </w:tc>
        <w:tc>
          <w:tcPr>
            <w:tcW w:w="474" w:type="pct"/>
            <w:vMerge w:val="restart"/>
            <w:vAlign w:val="center"/>
          </w:tcPr>
          <w:p w14:paraId="52CE7E2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mg/m</w:t>
            </w:r>
            <w:r>
              <w:rPr>
                <w:rFonts w:hint="default" w:ascii="Times New Roman" w:hAnsi="Times New Roman" w:eastAsia="宋体" w:cs="Times New Roman"/>
                <w:bCs/>
                <w:color w:val="000000" w:themeColor="text1"/>
                <w:u w:val="none" w:color="auto"/>
                <w:vertAlign w:val="superscript"/>
                <w14:textFill>
                  <w14:solidFill>
                    <w14:schemeClr w14:val="tx1"/>
                  </w14:solidFill>
                </w14:textFill>
              </w:rPr>
              <w:t>3</w:t>
            </w:r>
          </w:p>
        </w:tc>
        <w:tc>
          <w:tcPr>
            <w:tcW w:w="818" w:type="pct"/>
            <w:vAlign w:val="center"/>
          </w:tcPr>
          <w:p w14:paraId="56CA3804">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4</w:t>
            </w:r>
          </w:p>
        </w:tc>
        <w:tc>
          <w:tcPr>
            <w:tcW w:w="886" w:type="pct"/>
            <w:vAlign w:val="center"/>
          </w:tcPr>
          <w:p w14:paraId="08A08AF5">
            <w:pPr>
              <w:pStyle w:val="68"/>
              <w:keepNext w:val="0"/>
              <w:keepLines w:val="0"/>
              <w:pageBreakBefore w:val="0"/>
              <w:widowControl w:val="0"/>
              <w:kinsoku/>
              <w:wordWrap/>
              <w:overflowPunct/>
              <w:topLinePunct w:val="0"/>
              <w:bidi w:val="0"/>
              <w:rPr>
                <w:rFonts w:hint="eastAsia"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4</w:t>
            </w:r>
          </w:p>
        </w:tc>
        <w:tc>
          <w:tcPr>
            <w:tcW w:w="1078" w:type="pct"/>
            <w:vMerge w:val="continue"/>
            <w:vAlign w:val="center"/>
          </w:tcPr>
          <w:p w14:paraId="6062D78E">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097036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vAlign w:val="center"/>
          </w:tcPr>
          <w:p w14:paraId="36F5967A">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959" w:type="pct"/>
            <w:vAlign w:val="center"/>
          </w:tcPr>
          <w:p w14:paraId="069AA136">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1h平均</w:t>
            </w:r>
          </w:p>
        </w:tc>
        <w:tc>
          <w:tcPr>
            <w:tcW w:w="474" w:type="pct"/>
            <w:vMerge w:val="continue"/>
            <w:vAlign w:val="center"/>
          </w:tcPr>
          <w:p w14:paraId="752754C1">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00EB5C8A">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10</w:t>
            </w:r>
          </w:p>
        </w:tc>
        <w:tc>
          <w:tcPr>
            <w:tcW w:w="886" w:type="pct"/>
            <w:vAlign w:val="center"/>
          </w:tcPr>
          <w:p w14:paraId="6203E37B">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10</w:t>
            </w:r>
          </w:p>
        </w:tc>
        <w:tc>
          <w:tcPr>
            <w:tcW w:w="1078" w:type="pct"/>
            <w:vMerge w:val="continue"/>
            <w:vAlign w:val="center"/>
          </w:tcPr>
          <w:p w14:paraId="108C3686">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746A6E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restart"/>
            <w:vAlign w:val="center"/>
          </w:tcPr>
          <w:p w14:paraId="30DC7502">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O</w:t>
            </w:r>
            <w:r>
              <w:rPr>
                <w:rFonts w:hint="default" w:ascii="Times New Roman" w:hAnsi="Times New Roman" w:eastAsia="宋体" w:cs="Times New Roman"/>
                <w:bCs/>
                <w:color w:val="000000" w:themeColor="text1"/>
                <w:u w:val="none" w:color="auto"/>
                <w:vertAlign w:val="subscript"/>
                <w14:textFill>
                  <w14:solidFill>
                    <w14:schemeClr w14:val="tx1"/>
                  </w14:solidFill>
                </w14:textFill>
              </w:rPr>
              <w:t>3</w:t>
            </w:r>
          </w:p>
        </w:tc>
        <w:tc>
          <w:tcPr>
            <w:tcW w:w="959" w:type="pct"/>
            <w:vAlign w:val="center"/>
          </w:tcPr>
          <w:p w14:paraId="14819AD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日最大8h平均</w:t>
            </w:r>
          </w:p>
        </w:tc>
        <w:tc>
          <w:tcPr>
            <w:tcW w:w="474" w:type="pct"/>
            <w:vMerge w:val="restart"/>
            <w:vAlign w:val="center"/>
          </w:tcPr>
          <w:p w14:paraId="4B1D8D5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μg/m</w:t>
            </w:r>
            <w:r>
              <w:rPr>
                <w:rFonts w:hint="default" w:ascii="Times New Roman" w:hAnsi="Times New Roman" w:eastAsia="宋体" w:cs="Times New Roman"/>
                <w:bCs/>
                <w:color w:val="000000" w:themeColor="text1"/>
                <w:u w:val="none" w:color="auto"/>
                <w:vertAlign w:val="superscript"/>
                <w14:textFill>
                  <w14:solidFill>
                    <w14:schemeClr w14:val="tx1"/>
                  </w14:solidFill>
                </w14:textFill>
              </w:rPr>
              <w:t>3</w:t>
            </w:r>
          </w:p>
        </w:tc>
        <w:tc>
          <w:tcPr>
            <w:tcW w:w="818" w:type="pct"/>
            <w:vAlign w:val="center"/>
          </w:tcPr>
          <w:p w14:paraId="47C3D94F">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160</w:t>
            </w:r>
          </w:p>
        </w:tc>
        <w:tc>
          <w:tcPr>
            <w:tcW w:w="886" w:type="pct"/>
            <w:vAlign w:val="center"/>
          </w:tcPr>
          <w:p w14:paraId="7A98A0F4">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160</w:t>
            </w:r>
          </w:p>
        </w:tc>
        <w:tc>
          <w:tcPr>
            <w:tcW w:w="1078" w:type="pct"/>
            <w:vMerge w:val="continue"/>
            <w:vAlign w:val="center"/>
          </w:tcPr>
          <w:p w14:paraId="2A940B4A">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74DE8D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vAlign w:val="center"/>
          </w:tcPr>
          <w:p w14:paraId="32182426">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959" w:type="pct"/>
            <w:vAlign w:val="center"/>
          </w:tcPr>
          <w:p w14:paraId="632F9B2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1h平均</w:t>
            </w:r>
          </w:p>
        </w:tc>
        <w:tc>
          <w:tcPr>
            <w:tcW w:w="474" w:type="pct"/>
            <w:vMerge w:val="continue"/>
            <w:vAlign w:val="center"/>
          </w:tcPr>
          <w:p w14:paraId="345FD660">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kern w:val="0"/>
                <w:szCs w:val="21"/>
                <w:u w:val="none" w:color="auto"/>
                <w14:textFill>
                  <w14:solidFill>
                    <w14:schemeClr w14:val="tx1"/>
                  </w14:solidFill>
                </w14:textFill>
              </w:rPr>
            </w:pPr>
          </w:p>
        </w:tc>
        <w:tc>
          <w:tcPr>
            <w:tcW w:w="818" w:type="pct"/>
            <w:vAlign w:val="center"/>
          </w:tcPr>
          <w:p w14:paraId="5BAFE4FC">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200</w:t>
            </w:r>
          </w:p>
        </w:tc>
        <w:tc>
          <w:tcPr>
            <w:tcW w:w="886" w:type="pct"/>
            <w:vAlign w:val="center"/>
          </w:tcPr>
          <w:p w14:paraId="7418931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eastAsia" w:eastAsia="宋体" w:cs="Times New Roman"/>
                <w:bCs/>
                <w:color w:val="000000" w:themeColor="text1"/>
                <w:u w:val="none" w:color="auto"/>
                <w:lang w:val="en-US" w:eastAsia="zh-CN"/>
                <w14:textFill>
                  <w14:solidFill>
                    <w14:schemeClr w14:val="tx1"/>
                  </w14:solidFill>
                </w14:textFill>
              </w:rPr>
              <w:t>200</w:t>
            </w:r>
          </w:p>
        </w:tc>
        <w:tc>
          <w:tcPr>
            <w:tcW w:w="1078" w:type="pct"/>
            <w:vMerge w:val="continue"/>
            <w:vAlign w:val="center"/>
          </w:tcPr>
          <w:p w14:paraId="4AB7AB7B">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454C2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Align w:val="center"/>
          </w:tcPr>
          <w:p w14:paraId="6F159702">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氨</w:t>
            </w:r>
          </w:p>
        </w:tc>
        <w:tc>
          <w:tcPr>
            <w:tcW w:w="959" w:type="pct"/>
            <w:vAlign w:val="center"/>
          </w:tcPr>
          <w:p w14:paraId="2A4F10B4">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1小时均值</w:t>
            </w:r>
          </w:p>
        </w:tc>
        <w:tc>
          <w:tcPr>
            <w:tcW w:w="474" w:type="pct"/>
            <w:vAlign w:val="center"/>
          </w:tcPr>
          <w:p w14:paraId="36408F4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μg/m</w:t>
            </w:r>
            <w:r>
              <w:rPr>
                <w:rFonts w:hint="default" w:ascii="Times New Roman" w:hAnsi="Times New Roman" w:eastAsia="宋体" w:cs="Times New Roman"/>
                <w:bCs/>
                <w:color w:val="000000" w:themeColor="text1"/>
                <w:u w:val="none" w:color="auto"/>
                <w:vertAlign w:val="superscript"/>
                <w14:textFill>
                  <w14:solidFill>
                    <w14:schemeClr w14:val="tx1"/>
                  </w14:solidFill>
                </w14:textFill>
              </w:rPr>
              <w:t>3</w:t>
            </w:r>
          </w:p>
        </w:tc>
        <w:tc>
          <w:tcPr>
            <w:tcW w:w="1705" w:type="pct"/>
            <w:gridSpan w:val="2"/>
            <w:vAlign w:val="center"/>
          </w:tcPr>
          <w:p w14:paraId="65C64281">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200</w:t>
            </w:r>
          </w:p>
        </w:tc>
        <w:tc>
          <w:tcPr>
            <w:tcW w:w="1078" w:type="pct"/>
            <w:vMerge w:val="restart"/>
            <w:vAlign w:val="center"/>
          </w:tcPr>
          <w:p w14:paraId="01F23E49">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《环境影响评价技术导则 大气环境》（HJ</w:t>
            </w: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u w:val="none" w:color="auto"/>
                <w14:textFill>
                  <w14:solidFill>
                    <w14:schemeClr w14:val="tx1"/>
                  </w14:solidFill>
                </w14:textFill>
              </w:rPr>
              <w:t>2.2-2018）附录D相关限值</w:t>
            </w:r>
          </w:p>
        </w:tc>
      </w:tr>
      <w:tr w14:paraId="4FE4C0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Align w:val="center"/>
          </w:tcPr>
          <w:p w14:paraId="168686B8">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硫化氢</w:t>
            </w:r>
          </w:p>
        </w:tc>
        <w:tc>
          <w:tcPr>
            <w:tcW w:w="959" w:type="pct"/>
            <w:vAlign w:val="center"/>
          </w:tcPr>
          <w:p w14:paraId="41EAF884">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1小时均值</w:t>
            </w:r>
          </w:p>
        </w:tc>
        <w:tc>
          <w:tcPr>
            <w:tcW w:w="474" w:type="pct"/>
            <w:vAlign w:val="center"/>
          </w:tcPr>
          <w:p w14:paraId="6E4CB83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μg/m</w:t>
            </w:r>
            <w:r>
              <w:rPr>
                <w:rFonts w:hint="default" w:ascii="Times New Roman" w:hAnsi="Times New Roman" w:eastAsia="宋体" w:cs="Times New Roman"/>
                <w:bCs/>
                <w:color w:val="000000" w:themeColor="text1"/>
                <w:u w:val="none" w:color="auto"/>
                <w:vertAlign w:val="superscript"/>
                <w14:textFill>
                  <w14:solidFill>
                    <w14:schemeClr w14:val="tx1"/>
                  </w14:solidFill>
                </w14:textFill>
              </w:rPr>
              <w:t>3</w:t>
            </w:r>
          </w:p>
        </w:tc>
        <w:tc>
          <w:tcPr>
            <w:tcW w:w="1705" w:type="pct"/>
            <w:gridSpan w:val="2"/>
            <w:vAlign w:val="center"/>
          </w:tcPr>
          <w:p w14:paraId="1044152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10</w:t>
            </w:r>
          </w:p>
        </w:tc>
        <w:tc>
          <w:tcPr>
            <w:tcW w:w="1078" w:type="pct"/>
            <w:vMerge w:val="continue"/>
            <w:vAlign w:val="center"/>
          </w:tcPr>
          <w:p w14:paraId="1EEB9CA2">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p>
        </w:tc>
      </w:tr>
      <w:tr w14:paraId="2DC006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Align w:val="center"/>
          </w:tcPr>
          <w:p w14:paraId="6C99652F">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非甲烷总烃</w:t>
            </w:r>
          </w:p>
        </w:tc>
        <w:tc>
          <w:tcPr>
            <w:tcW w:w="959" w:type="pct"/>
            <w:vAlign w:val="center"/>
          </w:tcPr>
          <w:p w14:paraId="53CBBA54">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一次值</w:t>
            </w:r>
          </w:p>
        </w:tc>
        <w:tc>
          <w:tcPr>
            <w:tcW w:w="474" w:type="pct"/>
            <w:vAlign w:val="center"/>
          </w:tcPr>
          <w:p w14:paraId="49B804E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mg/m</w:t>
            </w:r>
            <w:r>
              <w:rPr>
                <w:rFonts w:hint="default" w:ascii="Times New Roman" w:hAnsi="Times New Roman" w:eastAsia="宋体" w:cs="Times New Roman"/>
                <w:bCs/>
                <w:color w:val="000000" w:themeColor="text1"/>
                <w:u w:val="none" w:color="auto"/>
                <w:vertAlign w:val="superscript"/>
                <w14:textFill>
                  <w14:solidFill>
                    <w14:schemeClr w14:val="tx1"/>
                  </w14:solidFill>
                </w14:textFill>
              </w:rPr>
              <w:t>3</w:t>
            </w:r>
          </w:p>
        </w:tc>
        <w:tc>
          <w:tcPr>
            <w:tcW w:w="1705" w:type="pct"/>
            <w:gridSpan w:val="2"/>
            <w:vAlign w:val="center"/>
          </w:tcPr>
          <w:p w14:paraId="33A0EA56">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2.0</w:t>
            </w:r>
          </w:p>
        </w:tc>
        <w:tc>
          <w:tcPr>
            <w:tcW w:w="1078" w:type="pct"/>
            <w:vAlign w:val="center"/>
          </w:tcPr>
          <w:p w14:paraId="3F4AA59B">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《大气污染物综合排放标准详解》</w:t>
            </w:r>
          </w:p>
        </w:tc>
      </w:tr>
    </w:tbl>
    <w:p w14:paraId="2F258BD2">
      <w:pPr>
        <w:keepNext w:val="0"/>
        <w:keepLines w:val="0"/>
        <w:pageBreakBefore w:val="0"/>
        <w:widowControl w:val="0"/>
        <w:kinsoku/>
        <w:wordWrap/>
        <w:overflowPunct/>
        <w:topLinePunct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（2）地表水：</w:t>
      </w:r>
    </w:p>
    <w:p w14:paraId="4E71D10D">
      <w:pPr>
        <w:keepNext w:val="0"/>
        <w:keepLines w:val="0"/>
        <w:pageBreakBefore w:val="0"/>
        <w:widowControl w:val="0"/>
        <w:kinsoku/>
        <w:wordWrap/>
        <w:overflowPunct/>
        <w:topLinePunct w:val="0"/>
        <w:bidi w:val="0"/>
        <w:spacing w:line="360" w:lineRule="auto"/>
        <w:ind w:firstLine="480" w:firstLineChars="200"/>
        <w:jc w:val="left"/>
        <w:rPr>
          <w:rFonts w:hint="default" w:ascii="Times New Roman" w:hAnsi="Times New Roman" w:eastAsia="宋体" w:cs="Times New Roman"/>
          <w:color w:val="000000" w:themeColor="text1"/>
          <w:kern w:val="0"/>
          <w:u w:val="none" w:color="auto"/>
          <w:lang w:bidi="ar"/>
          <w14:textFill>
            <w14:solidFill>
              <w14:schemeClr w14:val="tx1"/>
            </w14:solidFill>
          </w14:textFill>
        </w:rPr>
      </w:pPr>
      <w:r>
        <w:rPr>
          <w:rFonts w:hint="default" w:ascii="Times New Roman" w:hAnsi="Times New Roman" w:eastAsia="宋体" w:cs="Times New Roman"/>
          <w:color w:val="000000" w:themeColor="text1"/>
          <w:kern w:val="0"/>
          <w:u w:val="none" w:color="auto"/>
          <w:lang w:val="zh-CN" w:bidi="ar"/>
          <w14:textFill>
            <w14:solidFill>
              <w14:schemeClr w14:val="tx1"/>
            </w14:solidFill>
          </w14:textFill>
        </w:rPr>
        <w:t>本项目周边地表主要为</w:t>
      </w:r>
      <w:r>
        <w:rPr>
          <w:rFonts w:hint="default" w:ascii="Times New Roman" w:hAnsi="Times New Roman" w:eastAsia="宋体" w:cs="Times New Roman"/>
          <w:color w:val="000000" w:themeColor="text1"/>
          <w:u w:val="none" w:color="auto"/>
          <w14:textFill>
            <w14:solidFill>
              <w14:schemeClr w14:val="tx1"/>
            </w14:solidFill>
          </w14:textFill>
        </w:rPr>
        <w:t>汨罗江、凌公桥河，其中汨罗江属于</w:t>
      </w:r>
      <w:r>
        <w:rPr>
          <w:rFonts w:hint="default" w:ascii="Times New Roman" w:hAnsi="Times New Roman" w:eastAsia="宋体" w:cs="Times New Roman"/>
          <w:color w:val="000000" w:themeColor="text1"/>
          <w:kern w:val="0"/>
          <w:u w:val="none" w:color="auto"/>
          <w:lang w:val="zh-CN" w:bidi="ar"/>
          <w14:textFill>
            <w14:solidFill>
              <w14:schemeClr w14:val="tx1"/>
            </w14:solidFill>
          </w14:textFill>
        </w:rPr>
        <w:t>伍市镇青冲饮用水水源保护区下端至汨罗市新市自来水厂汨罗江饮用水源区上端之间河段，为渔业用水区，执行《地表水环境质量标准》（GB</w:t>
      </w:r>
      <w:r>
        <w:rPr>
          <w:rFonts w:hint="default" w:ascii="Times New Roman" w:hAnsi="Times New Roman" w:eastAsia="宋体" w:cs="Times New Roman"/>
          <w:color w:val="000000" w:themeColor="text1"/>
          <w:kern w:val="0"/>
          <w:u w:val="none" w:color="auto"/>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u w:val="none" w:color="auto"/>
          <w:lang w:val="zh-CN" w:bidi="ar"/>
          <w14:textFill>
            <w14:solidFill>
              <w14:schemeClr w14:val="tx1"/>
            </w14:solidFill>
          </w14:textFill>
        </w:rPr>
        <w:t>3838-2002）Ш类标准；</w:t>
      </w:r>
      <w:r>
        <w:rPr>
          <w:rFonts w:hint="default" w:ascii="Times New Roman" w:hAnsi="Times New Roman" w:eastAsia="宋体" w:cs="Times New Roman"/>
          <w:color w:val="000000" w:themeColor="text1"/>
          <w:u w:val="none" w:color="auto"/>
          <w14:textFill>
            <w14:solidFill>
              <w14:schemeClr w14:val="tx1"/>
            </w14:solidFill>
          </w14:textFill>
        </w:rPr>
        <w:t>凌公桥河执行《地表水环境质量标准》（GB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3838-2002）Ш类标准。</w:t>
      </w:r>
    </w:p>
    <w:p w14:paraId="7F6DD0C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表2.5-2  地表水环境质量标准（mg/L）</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6"/>
        <w:gridCol w:w="2026"/>
        <w:gridCol w:w="1423"/>
        <w:gridCol w:w="809"/>
        <w:gridCol w:w="2033"/>
        <w:gridCol w:w="1422"/>
      </w:tblGrid>
      <w:tr w14:paraId="672F3C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478" w:type="pct"/>
            <w:vAlign w:val="center"/>
          </w:tcPr>
          <w:p w14:paraId="32EFB2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187" w:type="pct"/>
            <w:vAlign w:val="center"/>
          </w:tcPr>
          <w:p w14:paraId="30AEC9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p>
        </w:tc>
        <w:tc>
          <w:tcPr>
            <w:tcW w:w="834" w:type="pct"/>
            <w:vAlign w:val="center"/>
          </w:tcPr>
          <w:p w14:paraId="3C637A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Ⅲ类标准</w:t>
            </w:r>
          </w:p>
        </w:tc>
        <w:tc>
          <w:tcPr>
            <w:tcW w:w="474" w:type="pct"/>
            <w:vAlign w:val="center"/>
          </w:tcPr>
          <w:p w14:paraId="4F5689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191" w:type="pct"/>
            <w:vAlign w:val="center"/>
          </w:tcPr>
          <w:p w14:paraId="45EB84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p>
        </w:tc>
        <w:tc>
          <w:tcPr>
            <w:tcW w:w="833" w:type="pct"/>
            <w:vAlign w:val="center"/>
          </w:tcPr>
          <w:p w14:paraId="773FD7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Ⅲ类标准</w:t>
            </w:r>
          </w:p>
        </w:tc>
      </w:tr>
      <w:tr w14:paraId="5557FE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1A2C3D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187" w:type="pct"/>
            <w:vAlign w:val="center"/>
          </w:tcPr>
          <w:p w14:paraId="2E3ECB1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pH值</w:t>
            </w:r>
          </w:p>
        </w:tc>
        <w:tc>
          <w:tcPr>
            <w:tcW w:w="834" w:type="pct"/>
            <w:vAlign w:val="center"/>
          </w:tcPr>
          <w:p w14:paraId="3A02B29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6~9</w:t>
            </w:r>
          </w:p>
        </w:tc>
        <w:tc>
          <w:tcPr>
            <w:tcW w:w="474" w:type="pct"/>
            <w:vAlign w:val="center"/>
          </w:tcPr>
          <w:p w14:paraId="1489ED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1191" w:type="pct"/>
            <w:vAlign w:val="center"/>
          </w:tcPr>
          <w:p w14:paraId="0A7950E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粪大肠菌群</w:t>
            </w:r>
          </w:p>
        </w:tc>
        <w:tc>
          <w:tcPr>
            <w:tcW w:w="833" w:type="pct"/>
            <w:vAlign w:val="center"/>
          </w:tcPr>
          <w:p w14:paraId="6B20688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10000</w:t>
            </w:r>
          </w:p>
        </w:tc>
      </w:tr>
      <w:tr w14:paraId="7D46E6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2BD8E7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1187" w:type="pct"/>
            <w:vAlign w:val="center"/>
          </w:tcPr>
          <w:p w14:paraId="3B30790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化学需氧量</w:t>
            </w:r>
          </w:p>
        </w:tc>
        <w:tc>
          <w:tcPr>
            <w:tcW w:w="834" w:type="pct"/>
            <w:vAlign w:val="center"/>
          </w:tcPr>
          <w:p w14:paraId="4DA0F69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20</w:t>
            </w:r>
          </w:p>
        </w:tc>
        <w:tc>
          <w:tcPr>
            <w:tcW w:w="474" w:type="pct"/>
            <w:vAlign w:val="center"/>
          </w:tcPr>
          <w:p w14:paraId="3321A7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11</w:t>
            </w:r>
          </w:p>
        </w:tc>
        <w:tc>
          <w:tcPr>
            <w:tcW w:w="1191" w:type="pct"/>
            <w:vAlign w:val="center"/>
          </w:tcPr>
          <w:p w14:paraId="2D20B18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铜</w:t>
            </w:r>
          </w:p>
        </w:tc>
        <w:tc>
          <w:tcPr>
            <w:tcW w:w="833" w:type="pct"/>
            <w:vAlign w:val="center"/>
          </w:tcPr>
          <w:p w14:paraId="5A4752F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r>
      <w:tr w14:paraId="75ADE7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2405F1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1187" w:type="pct"/>
            <w:vAlign w:val="center"/>
          </w:tcPr>
          <w:p w14:paraId="12FE5CD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总磷</w:t>
            </w:r>
          </w:p>
        </w:tc>
        <w:tc>
          <w:tcPr>
            <w:tcW w:w="834" w:type="pct"/>
            <w:vAlign w:val="center"/>
          </w:tcPr>
          <w:p w14:paraId="433B7B8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474" w:type="pct"/>
            <w:vAlign w:val="center"/>
          </w:tcPr>
          <w:p w14:paraId="5BFE5C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12</w:t>
            </w:r>
          </w:p>
        </w:tc>
        <w:tc>
          <w:tcPr>
            <w:tcW w:w="1191" w:type="pct"/>
            <w:vAlign w:val="center"/>
          </w:tcPr>
          <w:p w14:paraId="483478F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锌</w:t>
            </w:r>
          </w:p>
        </w:tc>
        <w:tc>
          <w:tcPr>
            <w:tcW w:w="833" w:type="pct"/>
            <w:vAlign w:val="center"/>
          </w:tcPr>
          <w:p w14:paraId="201235F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r>
      <w:tr w14:paraId="7C88BA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2B9ADD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1187" w:type="pct"/>
            <w:vAlign w:val="center"/>
          </w:tcPr>
          <w:p w14:paraId="6F39203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五日生化需氧量</w:t>
            </w:r>
          </w:p>
        </w:tc>
        <w:tc>
          <w:tcPr>
            <w:tcW w:w="834" w:type="pct"/>
            <w:vAlign w:val="center"/>
          </w:tcPr>
          <w:p w14:paraId="7D96545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4</w:t>
            </w:r>
          </w:p>
        </w:tc>
        <w:tc>
          <w:tcPr>
            <w:tcW w:w="474" w:type="pct"/>
            <w:vAlign w:val="center"/>
          </w:tcPr>
          <w:p w14:paraId="0B2E96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13</w:t>
            </w:r>
          </w:p>
        </w:tc>
        <w:tc>
          <w:tcPr>
            <w:tcW w:w="1191" w:type="pct"/>
            <w:vAlign w:val="center"/>
          </w:tcPr>
          <w:p w14:paraId="155C006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铅</w:t>
            </w:r>
          </w:p>
        </w:tc>
        <w:tc>
          <w:tcPr>
            <w:tcW w:w="833" w:type="pct"/>
            <w:vAlign w:val="center"/>
          </w:tcPr>
          <w:p w14:paraId="05893A2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r>
      <w:tr w14:paraId="532C76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2475A2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1187" w:type="pct"/>
            <w:vAlign w:val="center"/>
          </w:tcPr>
          <w:p w14:paraId="4FDB75C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834" w:type="pct"/>
            <w:vAlign w:val="center"/>
          </w:tcPr>
          <w:p w14:paraId="314266E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474" w:type="pct"/>
            <w:vAlign w:val="center"/>
          </w:tcPr>
          <w:p w14:paraId="5B727F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14</w:t>
            </w:r>
          </w:p>
        </w:tc>
        <w:tc>
          <w:tcPr>
            <w:tcW w:w="1191" w:type="pct"/>
            <w:vAlign w:val="center"/>
          </w:tcPr>
          <w:p w14:paraId="528B004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氯化物</w:t>
            </w:r>
          </w:p>
        </w:tc>
        <w:tc>
          <w:tcPr>
            <w:tcW w:w="833" w:type="pct"/>
            <w:vAlign w:val="center"/>
          </w:tcPr>
          <w:p w14:paraId="3996399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250</w:t>
            </w:r>
          </w:p>
        </w:tc>
      </w:tr>
      <w:tr w14:paraId="04D576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6BDC36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w:t>
            </w:r>
          </w:p>
        </w:tc>
        <w:tc>
          <w:tcPr>
            <w:tcW w:w="1187" w:type="pct"/>
            <w:vAlign w:val="center"/>
          </w:tcPr>
          <w:p w14:paraId="7A1DC7A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挥发酚</w:t>
            </w:r>
          </w:p>
        </w:tc>
        <w:tc>
          <w:tcPr>
            <w:tcW w:w="834" w:type="pct"/>
            <w:vAlign w:val="center"/>
          </w:tcPr>
          <w:p w14:paraId="63812AE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0.005</w:t>
            </w:r>
          </w:p>
        </w:tc>
        <w:tc>
          <w:tcPr>
            <w:tcW w:w="474" w:type="pct"/>
            <w:vAlign w:val="center"/>
          </w:tcPr>
          <w:p w14:paraId="6D57ED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191" w:type="pct"/>
            <w:vAlign w:val="center"/>
          </w:tcPr>
          <w:p w14:paraId="612C40B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氟化物</w:t>
            </w:r>
          </w:p>
        </w:tc>
        <w:tc>
          <w:tcPr>
            <w:tcW w:w="833" w:type="pct"/>
            <w:vAlign w:val="center"/>
          </w:tcPr>
          <w:p w14:paraId="79BA8D8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r>
      <w:tr w14:paraId="49CC57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0C3C48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w:t>
            </w:r>
          </w:p>
        </w:tc>
        <w:tc>
          <w:tcPr>
            <w:tcW w:w="1187" w:type="pct"/>
            <w:vAlign w:val="center"/>
          </w:tcPr>
          <w:p w14:paraId="7FB289C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石油类</w:t>
            </w:r>
          </w:p>
        </w:tc>
        <w:tc>
          <w:tcPr>
            <w:tcW w:w="834" w:type="pct"/>
            <w:vAlign w:val="center"/>
          </w:tcPr>
          <w:p w14:paraId="7F5BB85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474" w:type="pct"/>
            <w:vAlign w:val="center"/>
          </w:tcPr>
          <w:p w14:paraId="7CBC76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16</w:t>
            </w:r>
          </w:p>
        </w:tc>
        <w:tc>
          <w:tcPr>
            <w:tcW w:w="1191" w:type="pct"/>
            <w:vAlign w:val="center"/>
          </w:tcPr>
          <w:p w14:paraId="6508542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砷</w:t>
            </w:r>
          </w:p>
        </w:tc>
        <w:tc>
          <w:tcPr>
            <w:tcW w:w="833" w:type="pct"/>
            <w:vAlign w:val="center"/>
          </w:tcPr>
          <w:p w14:paraId="0B90B71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r>
      <w:tr w14:paraId="07E8CE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3F44BB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w:t>
            </w:r>
          </w:p>
        </w:tc>
        <w:tc>
          <w:tcPr>
            <w:tcW w:w="1187" w:type="pct"/>
            <w:vAlign w:val="center"/>
          </w:tcPr>
          <w:p w14:paraId="4AE0222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阴离子表面活性剂</w:t>
            </w:r>
          </w:p>
        </w:tc>
        <w:tc>
          <w:tcPr>
            <w:tcW w:w="834" w:type="pct"/>
            <w:vAlign w:val="center"/>
          </w:tcPr>
          <w:p w14:paraId="138B114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474" w:type="pct"/>
            <w:vAlign w:val="center"/>
          </w:tcPr>
          <w:p w14:paraId="5921B1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w:t>
            </w:r>
          </w:p>
        </w:tc>
        <w:tc>
          <w:tcPr>
            <w:tcW w:w="1191" w:type="pct"/>
            <w:vAlign w:val="center"/>
          </w:tcPr>
          <w:p w14:paraId="7C9D68C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汞</w:t>
            </w:r>
          </w:p>
        </w:tc>
        <w:tc>
          <w:tcPr>
            <w:tcW w:w="833" w:type="pct"/>
            <w:vAlign w:val="center"/>
          </w:tcPr>
          <w:p w14:paraId="3DC9F5D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0.0001</w:t>
            </w:r>
          </w:p>
        </w:tc>
      </w:tr>
      <w:tr w14:paraId="13D0AB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8" w:type="pct"/>
            <w:vAlign w:val="center"/>
          </w:tcPr>
          <w:p w14:paraId="093F96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p>
        </w:tc>
        <w:tc>
          <w:tcPr>
            <w:tcW w:w="1187" w:type="pct"/>
            <w:vAlign w:val="center"/>
          </w:tcPr>
          <w:p w14:paraId="676C330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硫化物</w:t>
            </w:r>
          </w:p>
        </w:tc>
        <w:tc>
          <w:tcPr>
            <w:tcW w:w="834" w:type="pct"/>
            <w:vAlign w:val="center"/>
          </w:tcPr>
          <w:p w14:paraId="3CEEB09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474" w:type="pct"/>
            <w:vAlign w:val="center"/>
          </w:tcPr>
          <w:p w14:paraId="2BF986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18</w:t>
            </w:r>
          </w:p>
        </w:tc>
        <w:tc>
          <w:tcPr>
            <w:tcW w:w="1191" w:type="pct"/>
            <w:vAlign w:val="center"/>
          </w:tcPr>
          <w:p w14:paraId="1EA0D0B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六价铬</w:t>
            </w:r>
          </w:p>
        </w:tc>
        <w:tc>
          <w:tcPr>
            <w:tcW w:w="833" w:type="pct"/>
            <w:vAlign w:val="center"/>
          </w:tcPr>
          <w:p w14:paraId="1A74F46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r>
    </w:tbl>
    <w:p w14:paraId="47579FC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（3）地下水：项目周边地下水执行《地下水质量标准》（GB/T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14848-2017）Ⅲ类标准。</w:t>
      </w:r>
    </w:p>
    <w:p w14:paraId="079AA15E">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表2.5-3  地下水质量评价标准</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386"/>
        <w:gridCol w:w="3222"/>
        <w:gridCol w:w="2921"/>
      </w:tblGrid>
      <w:tr w14:paraId="075D0C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1398" w:type="pct"/>
            <w:vAlign w:val="center"/>
          </w:tcPr>
          <w:p w14:paraId="522D4C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888" w:type="pct"/>
            <w:vAlign w:val="center"/>
          </w:tcPr>
          <w:p w14:paraId="2EDB6F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p>
        </w:tc>
        <w:tc>
          <w:tcPr>
            <w:tcW w:w="1712" w:type="pct"/>
            <w:vAlign w:val="center"/>
          </w:tcPr>
          <w:p w14:paraId="335963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标准值（Ⅲ类）</w:t>
            </w:r>
          </w:p>
        </w:tc>
      </w:tr>
      <w:tr w14:paraId="5F3908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17B6F6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888" w:type="pct"/>
            <w:vAlign w:val="center"/>
          </w:tcPr>
          <w:p w14:paraId="610C39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pH值</w:t>
            </w:r>
          </w:p>
        </w:tc>
        <w:tc>
          <w:tcPr>
            <w:tcW w:w="1712" w:type="pct"/>
            <w:vAlign w:val="center"/>
          </w:tcPr>
          <w:p w14:paraId="2D1379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6.5~8.5</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无量纲</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142B10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18CC77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1888" w:type="pct"/>
            <w:vAlign w:val="center"/>
          </w:tcPr>
          <w:p w14:paraId="7701C8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氨氮</w:t>
            </w:r>
          </w:p>
        </w:tc>
        <w:tc>
          <w:tcPr>
            <w:tcW w:w="1712" w:type="pct"/>
            <w:vAlign w:val="center"/>
          </w:tcPr>
          <w:p w14:paraId="1A6E4A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≤0.50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71DCF9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53190F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1888" w:type="pct"/>
            <w:vAlign w:val="center"/>
          </w:tcPr>
          <w:p w14:paraId="037A4A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硝酸盐</w:t>
            </w:r>
          </w:p>
        </w:tc>
        <w:tc>
          <w:tcPr>
            <w:tcW w:w="1712" w:type="pct"/>
            <w:vAlign w:val="center"/>
          </w:tcPr>
          <w:p w14:paraId="057844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297F10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4564F3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1888" w:type="pct"/>
            <w:vAlign w:val="center"/>
          </w:tcPr>
          <w:p w14:paraId="4CE1C9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亚硝酸盐</w:t>
            </w:r>
          </w:p>
        </w:tc>
        <w:tc>
          <w:tcPr>
            <w:tcW w:w="1712" w:type="pct"/>
            <w:vAlign w:val="center"/>
          </w:tcPr>
          <w:p w14:paraId="0CFB8D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4010FA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7CAC17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w:t>
            </w:r>
          </w:p>
        </w:tc>
        <w:tc>
          <w:tcPr>
            <w:tcW w:w="1888" w:type="pct"/>
            <w:vAlign w:val="center"/>
          </w:tcPr>
          <w:p w14:paraId="54EC48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sz w:val="21"/>
                <w:szCs w:val="21"/>
                <w:u w:val="none" w:color="auto"/>
              </w:rPr>
              <w:t>挥发性酚类</w:t>
            </w:r>
          </w:p>
        </w:tc>
        <w:tc>
          <w:tcPr>
            <w:tcW w:w="1712" w:type="pct"/>
            <w:vAlign w:val="center"/>
          </w:tcPr>
          <w:p w14:paraId="5C1DD2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1527A2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0A9FA9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w:t>
            </w:r>
          </w:p>
        </w:tc>
        <w:tc>
          <w:tcPr>
            <w:tcW w:w="1888" w:type="pct"/>
            <w:vAlign w:val="center"/>
          </w:tcPr>
          <w:p w14:paraId="2A298D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砷</w:t>
            </w:r>
          </w:p>
        </w:tc>
        <w:tc>
          <w:tcPr>
            <w:tcW w:w="1712" w:type="pct"/>
            <w:vAlign w:val="center"/>
          </w:tcPr>
          <w:p w14:paraId="17222D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5CA3DB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2C993F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w:t>
            </w:r>
          </w:p>
        </w:tc>
        <w:tc>
          <w:tcPr>
            <w:tcW w:w="1888" w:type="pct"/>
            <w:vAlign w:val="center"/>
          </w:tcPr>
          <w:p w14:paraId="0E1320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汞</w:t>
            </w:r>
          </w:p>
        </w:tc>
        <w:tc>
          <w:tcPr>
            <w:tcW w:w="1712" w:type="pct"/>
            <w:vAlign w:val="center"/>
          </w:tcPr>
          <w:p w14:paraId="0ECCAA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≤0.001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306DF6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1527F1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p>
        </w:tc>
        <w:tc>
          <w:tcPr>
            <w:tcW w:w="1888" w:type="pct"/>
            <w:vAlign w:val="center"/>
          </w:tcPr>
          <w:p w14:paraId="385835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铬</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六价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1712" w:type="pct"/>
            <w:vAlign w:val="center"/>
          </w:tcPr>
          <w:p w14:paraId="2AFFBF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≤0.05</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3EA75B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50A559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w:t>
            </w:r>
          </w:p>
        </w:tc>
        <w:tc>
          <w:tcPr>
            <w:tcW w:w="1888" w:type="pct"/>
            <w:vAlign w:val="center"/>
          </w:tcPr>
          <w:p w14:paraId="4CC967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总硬度</w:t>
            </w:r>
          </w:p>
        </w:tc>
        <w:tc>
          <w:tcPr>
            <w:tcW w:w="1712" w:type="pct"/>
            <w:vAlign w:val="center"/>
          </w:tcPr>
          <w:p w14:paraId="622C2F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450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16988C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05910D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w:t>
            </w:r>
          </w:p>
        </w:tc>
        <w:tc>
          <w:tcPr>
            <w:tcW w:w="1888" w:type="pct"/>
            <w:vAlign w:val="center"/>
          </w:tcPr>
          <w:p w14:paraId="28D003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铅</w:t>
            </w:r>
          </w:p>
        </w:tc>
        <w:tc>
          <w:tcPr>
            <w:tcW w:w="1712" w:type="pct"/>
            <w:vAlign w:val="center"/>
          </w:tcPr>
          <w:p w14:paraId="4F15E9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7814FC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754678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w:t>
            </w:r>
          </w:p>
        </w:tc>
        <w:tc>
          <w:tcPr>
            <w:tcW w:w="1888" w:type="pct"/>
            <w:vAlign w:val="center"/>
          </w:tcPr>
          <w:p w14:paraId="2B937F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镉</w:t>
            </w:r>
          </w:p>
        </w:tc>
        <w:tc>
          <w:tcPr>
            <w:tcW w:w="1712" w:type="pct"/>
            <w:vAlign w:val="center"/>
          </w:tcPr>
          <w:p w14:paraId="548471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≤0.005</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037601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2FEECA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13</w:t>
            </w:r>
          </w:p>
        </w:tc>
        <w:tc>
          <w:tcPr>
            <w:tcW w:w="1888" w:type="pct"/>
            <w:vAlign w:val="center"/>
          </w:tcPr>
          <w:p w14:paraId="11F2D3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溶解性总固体</w:t>
            </w:r>
          </w:p>
        </w:tc>
        <w:tc>
          <w:tcPr>
            <w:tcW w:w="1712" w:type="pct"/>
            <w:vAlign w:val="center"/>
          </w:tcPr>
          <w:p w14:paraId="3BE2D1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1000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17FB66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583235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14</w:t>
            </w:r>
          </w:p>
        </w:tc>
        <w:tc>
          <w:tcPr>
            <w:tcW w:w="1888" w:type="pct"/>
            <w:vAlign w:val="center"/>
          </w:tcPr>
          <w:p w14:paraId="193307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高锰酸盐指数</w:t>
            </w:r>
          </w:p>
        </w:tc>
        <w:tc>
          <w:tcPr>
            <w:tcW w:w="1712" w:type="pct"/>
            <w:vAlign w:val="center"/>
          </w:tcPr>
          <w:p w14:paraId="55A0E1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6F225B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229628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888" w:type="pct"/>
            <w:vAlign w:val="center"/>
          </w:tcPr>
          <w:p w14:paraId="75A1CD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总大肠菌群</w:t>
            </w:r>
          </w:p>
        </w:tc>
        <w:tc>
          <w:tcPr>
            <w:tcW w:w="1712" w:type="pct"/>
            <w:vAlign w:val="center"/>
          </w:tcPr>
          <w:p w14:paraId="5B51E0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3.0（CFU/100mL）</w:t>
            </w:r>
          </w:p>
        </w:tc>
      </w:tr>
      <w:tr w14:paraId="45BD75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011074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16</w:t>
            </w:r>
          </w:p>
        </w:tc>
        <w:tc>
          <w:tcPr>
            <w:tcW w:w="1888" w:type="pct"/>
            <w:vAlign w:val="center"/>
          </w:tcPr>
          <w:p w14:paraId="3D8080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细菌总数</w:t>
            </w:r>
          </w:p>
        </w:tc>
        <w:tc>
          <w:tcPr>
            <w:tcW w:w="1712" w:type="pct"/>
            <w:vAlign w:val="center"/>
          </w:tcPr>
          <w:p w14:paraId="4EE27E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100（CFU/mL）</w:t>
            </w:r>
          </w:p>
        </w:tc>
      </w:tr>
      <w:tr w14:paraId="7572A5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vAlign w:val="center"/>
          </w:tcPr>
          <w:p w14:paraId="26C01F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w:t>
            </w:r>
          </w:p>
        </w:tc>
        <w:tc>
          <w:tcPr>
            <w:tcW w:w="1888" w:type="pct"/>
            <w:vAlign w:val="center"/>
          </w:tcPr>
          <w:p w14:paraId="58B046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石油类</w:t>
            </w:r>
          </w:p>
        </w:tc>
        <w:tc>
          <w:tcPr>
            <w:tcW w:w="1712" w:type="pct"/>
            <w:vAlign w:val="center"/>
          </w:tcPr>
          <w:p w14:paraId="1C0C49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772145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5B9563A0">
            <w:pPr>
              <w:pStyle w:val="68"/>
              <w:rPr>
                <w:rFonts w:hint="default" w:ascii="Times New Roman" w:hAnsi="Times New Roman" w:eastAsia="宋体" w:cs="Times New Roman"/>
                <w:color w:val="000000" w:themeColor="text1"/>
                <w:kern w:val="2"/>
                <w:sz w:val="21"/>
                <w:szCs w:val="22"/>
                <w:lang w:val="en-US" w:eastAsia="zh-CN" w:bidi="ar-SA"/>
                <w14:textFill>
                  <w14:solidFill>
                    <w14:schemeClr w14:val="tx1"/>
                  </w14:solidFill>
                </w14:textFill>
              </w:rPr>
            </w:pPr>
            <w:r>
              <w:rPr>
                <w:rFonts w:hint="eastAsia" w:eastAsia="宋体"/>
                <w:color w:val="000000" w:themeColor="text1"/>
                <w:lang w:val="en-US" w:eastAsia="zh-CN"/>
                <w14:textFill>
                  <w14:solidFill>
                    <w14:schemeClr w14:val="tx1"/>
                  </w14:solidFill>
                </w14:textFill>
              </w:rPr>
              <w:t>18</w:t>
            </w:r>
          </w:p>
        </w:tc>
        <w:tc>
          <w:tcPr>
            <w:tcW w:w="1888" w:type="pct"/>
            <w:shd w:val="clear" w:color="auto" w:fill="auto"/>
            <w:vAlign w:val="center"/>
          </w:tcPr>
          <w:p w14:paraId="16EEF746">
            <w:pPr>
              <w:pStyle w:val="68"/>
              <w:rPr>
                <w:rFonts w:hint="default" w:ascii="Times New Roman" w:hAnsi="Times New Roman" w:eastAsia="宋体" w:cs="Times New Roman"/>
                <w:color w:val="000000" w:themeColor="text1"/>
                <w:kern w:val="2"/>
                <w:sz w:val="21"/>
                <w:szCs w:val="22"/>
                <w:lang w:val="en-US" w:eastAsia="zh-CN" w:bidi="ar-SA"/>
                <w14:textFill>
                  <w14:solidFill>
                    <w14:schemeClr w14:val="tx1"/>
                  </w14:solidFill>
                </w14:textFill>
              </w:rPr>
            </w:pPr>
            <w:r>
              <w:rPr>
                <w:rFonts w:hint="eastAsia" w:eastAsia="宋体"/>
                <w:color w:val="000000" w:themeColor="text1"/>
                <w:lang w:val="en-US" w:eastAsia="zh-CN"/>
                <w14:textFill>
                  <w14:solidFill>
                    <w14:schemeClr w14:val="tx1"/>
                  </w14:solidFill>
                </w14:textFill>
              </w:rPr>
              <w:t>氟化物</w:t>
            </w:r>
          </w:p>
        </w:tc>
        <w:tc>
          <w:tcPr>
            <w:tcW w:w="1712" w:type="pct"/>
            <w:shd w:val="clear" w:color="auto" w:fill="auto"/>
            <w:vAlign w:val="center"/>
          </w:tcPr>
          <w:p w14:paraId="446D75B2">
            <w:pPr>
              <w:pStyle w:val="68"/>
              <w:rPr>
                <w:rFonts w:hint="default" w:ascii="Times New Roman" w:hAnsi="Times New Roman" w:eastAsia="宋体" w:cs="Times New Roman"/>
                <w:color w:val="000000" w:themeColor="text1"/>
                <w:kern w:val="2"/>
                <w:sz w:val="21"/>
                <w:szCs w:val="22"/>
                <w:lang w:val="en-US" w:eastAsia="zh-CN" w:bidi="ar-SA"/>
                <w14:textFill>
                  <w14:solidFill>
                    <w14:schemeClr w14:val="tx1"/>
                  </w14:solidFill>
                </w14:textFill>
              </w:rPr>
            </w:pPr>
            <w:r>
              <w:rPr>
                <w:rFonts w:hint="eastAsia" w:eastAsia="宋体"/>
                <w:color w:val="000000" w:themeColor="text1"/>
                <w:lang w:val="en-US" w:eastAsia="zh-CN"/>
                <w14:textFill>
                  <w14:solidFill>
                    <w14:schemeClr w14:val="tx1"/>
                  </w14:solidFill>
                </w14:textFill>
              </w:rPr>
              <w:t>1.0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4AA0FA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2A905C2B">
            <w:pPr>
              <w:pStyle w:val="68"/>
              <w:rPr>
                <w:rFonts w:hint="default" w:ascii="Times New Roman" w:hAnsi="Times New Roman" w:eastAsia="宋体" w:cs="Times New Roman"/>
                <w:color w:val="000000" w:themeColor="text1"/>
                <w:kern w:val="2"/>
                <w:sz w:val="21"/>
                <w:szCs w:val="22"/>
                <w:lang w:val="en-US" w:eastAsia="zh-CN" w:bidi="ar-SA"/>
                <w14:textFill>
                  <w14:solidFill>
                    <w14:schemeClr w14:val="tx1"/>
                  </w14:solidFill>
                </w14:textFill>
              </w:rPr>
            </w:pPr>
            <w:r>
              <w:rPr>
                <w:rFonts w:hint="eastAsia" w:eastAsia="宋体"/>
                <w:color w:val="000000" w:themeColor="text1"/>
                <w:lang w:val="en-US" w:eastAsia="zh-CN"/>
                <w14:textFill>
                  <w14:solidFill>
                    <w14:schemeClr w14:val="tx1"/>
                  </w14:solidFill>
                </w14:textFill>
              </w:rPr>
              <w:t>19</w:t>
            </w:r>
          </w:p>
        </w:tc>
        <w:tc>
          <w:tcPr>
            <w:tcW w:w="1888" w:type="pct"/>
            <w:shd w:val="clear" w:color="auto" w:fill="auto"/>
            <w:vAlign w:val="center"/>
          </w:tcPr>
          <w:p w14:paraId="33F4A528">
            <w:pPr>
              <w:pStyle w:val="68"/>
              <w:rPr>
                <w:rFonts w:hint="default" w:ascii="Times New Roman" w:hAnsi="Times New Roman" w:eastAsia="宋体" w:cs="Times New Roman"/>
                <w:color w:val="000000" w:themeColor="text1"/>
                <w:kern w:val="2"/>
                <w:sz w:val="21"/>
                <w:szCs w:val="22"/>
                <w:lang w:val="en-US" w:eastAsia="zh-CN" w:bidi="ar-SA"/>
                <w14:textFill>
                  <w14:solidFill>
                    <w14:schemeClr w14:val="tx1"/>
                  </w14:solidFill>
                </w14:textFill>
              </w:rPr>
            </w:pPr>
            <w:r>
              <w:rPr>
                <w:rFonts w:hint="eastAsia" w:eastAsia="宋体"/>
                <w:color w:val="000000" w:themeColor="text1"/>
                <w:lang w:val="en-US" w:eastAsia="zh-CN"/>
                <w14:textFill>
                  <w14:solidFill>
                    <w14:schemeClr w14:val="tx1"/>
                  </w14:solidFill>
                </w14:textFill>
              </w:rPr>
              <w:t>铜</w:t>
            </w:r>
          </w:p>
        </w:tc>
        <w:tc>
          <w:tcPr>
            <w:tcW w:w="1712" w:type="pct"/>
            <w:shd w:val="clear" w:color="auto" w:fill="auto"/>
            <w:vAlign w:val="center"/>
          </w:tcPr>
          <w:p w14:paraId="6B124254">
            <w:pPr>
              <w:pStyle w:val="79"/>
              <w:bidi w:val="0"/>
              <w:rPr>
                <w:rFonts w:hint="default" w:ascii="Calibri" w:hAnsi="Calibri" w:eastAsia="宋体" w:cstheme="minorBidi"/>
                <w:color w:val="000000" w:themeColor="text1"/>
                <w:kern w:val="2"/>
                <w:sz w:val="21"/>
                <w:szCs w:val="24"/>
                <w:lang w:val="en-US" w:eastAsia="zh-CN" w:bidi="ar-SA"/>
                <w14:textFill>
                  <w14:solidFill>
                    <w14:schemeClr w14:val="tx1"/>
                  </w14:solidFill>
                </w14:textFill>
              </w:rPr>
            </w:pPr>
            <w:r>
              <w:rPr>
                <w:rFonts w:hint="default" w:ascii="Times New Roman" w:hAnsi="Times New Roman" w:eastAsia="宋体" w:cs="Times New Roman"/>
                <w:color w:val="auto"/>
                <w:sz w:val="21"/>
                <w:szCs w:val="21"/>
                <w:u w:val="none" w:color="auto"/>
                <w:lang w:val="en-US" w:eastAsia="zh-CN"/>
              </w:rPr>
              <w:t>1.00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r w14:paraId="0AFCD9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98" w:type="pct"/>
            <w:shd w:val="clear" w:color="auto" w:fill="auto"/>
            <w:vAlign w:val="center"/>
          </w:tcPr>
          <w:p w14:paraId="1746BF41">
            <w:pPr>
              <w:pStyle w:val="68"/>
              <w:rPr>
                <w:rFonts w:hint="default" w:ascii="Times New Roman" w:hAnsi="Times New Roman" w:eastAsia="宋体" w:cs="Times New Roman"/>
                <w:color w:val="000000" w:themeColor="text1"/>
                <w:kern w:val="2"/>
                <w:sz w:val="21"/>
                <w:szCs w:val="22"/>
                <w:lang w:val="en-US" w:eastAsia="zh-CN" w:bidi="ar-SA"/>
                <w14:textFill>
                  <w14:solidFill>
                    <w14:schemeClr w14:val="tx1"/>
                  </w14:solidFill>
                </w14:textFill>
              </w:rPr>
            </w:pPr>
            <w:r>
              <w:rPr>
                <w:rFonts w:hint="eastAsia" w:eastAsia="宋体"/>
                <w:color w:val="000000" w:themeColor="text1"/>
                <w:lang w:val="en-US" w:eastAsia="zh-CN"/>
                <w14:textFill>
                  <w14:solidFill>
                    <w14:schemeClr w14:val="tx1"/>
                  </w14:solidFill>
                </w14:textFill>
              </w:rPr>
              <w:t>20</w:t>
            </w:r>
          </w:p>
        </w:tc>
        <w:tc>
          <w:tcPr>
            <w:tcW w:w="1888" w:type="pct"/>
            <w:shd w:val="clear" w:color="auto" w:fill="auto"/>
            <w:vAlign w:val="center"/>
          </w:tcPr>
          <w:p w14:paraId="7CCF8516">
            <w:pPr>
              <w:pStyle w:val="68"/>
              <w:rPr>
                <w:rFonts w:hint="default" w:ascii="Times New Roman" w:hAnsi="Times New Roman" w:eastAsia="宋体" w:cs="Times New Roman"/>
                <w:color w:val="000000" w:themeColor="text1"/>
                <w:kern w:val="2"/>
                <w:sz w:val="21"/>
                <w:szCs w:val="22"/>
                <w:lang w:val="en-US" w:eastAsia="zh-CN" w:bidi="ar-SA"/>
                <w14:textFill>
                  <w14:solidFill>
                    <w14:schemeClr w14:val="tx1"/>
                  </w14:solidFill>
                </w14:textFill>
              </w:rPr>
            </w:pPr>
            <w:r>
              <w:rPr>
                <w:rFonts w:hint="eastAsia" w:eastAsia="宋体"/>
                <w:color w:val="000000" w:themeColor="text1"/>
                <w:lang w:val="en-US" w:eastAsia="zh-CN"/>
                <w14:textFill>
                  <w14:solidFill>
                    <w14:schemeClr w14:val="tx1"/>
                  </w14:solidFill>
                </w14:textFill>
              </w:rPr>
              <w:t>锌</w:t>
            </w:r>
          </w:p>
        </w:tc>
        <w:tc>
          <w:tcPr>
            <w:tcW w:w="1712" w:type="pct"/>
            <w:shd w:val="clear" w:color="auto" w:fill="auto"/>
            <w:vAlign w:val="center"/>
          </w:tcPr>
          <w:p w14:paraId="21D44522">
            <w:pPr>
              <w:pStyle w:val="79"/>
              <w:bidi w:val="0"/>
              <w:rPr>
                <w:rFonts w:hint="default" w:ascii="Calibri" w:hAnsi="Calibri" w:eastAsia="宋体" w:cstheme="minorBidi"/>
                <w:color w:val="000000" w:themeColor="text1"/>
                <w:kern w:val="2"/>
                <w:sz w:val="21"/>
                <w:szCs w:val="24"/>
                <w:lang w:val="en-US" w:eastAsia="zh-CN" w:bidi="ar-SA"/>
                <w14:textFill>
                  <w14:solidFill>
                    <w14:schemeClr w14:val="tx1"/>
                  </w14:solidFill>
                </w14:textFill>
              </w:rPr>
            </w:pPr>
            <w:r>
              <w:rPr>
                <w:rFonts w:hint="default" w:ascii="Times New Roman" w:hAnsi="Times New Roman" w:eastAsia="宋体" w:cs="Times New Roman"/>
                <w:color w:val="auto"/>
                <w:sz w:val="21"/>
                <w:szCs w:val="21"/>
                <w:u w:val="none" w:color="auto"/>
                <w:lang w:val="en-US" w:eastAsia="zh-CN"/>
              </w:rPr>
              <w:t>1.00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r>
    </w:tbl>
    <w:p w14:paraId="1414526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（4）声环境：</w:t>
      </w:r>
      <w:bookmarkStart w:id="118" w:name="_Hlk80010837"/>
      <w:r>
        <w:rPr>
          <w:rFonts w:hint="default" w:ascii="Times New Roman" w:hAnsi="Times New Roman" w:eastAsia="宋体" w:cs="Times New Roman"/>
          <w:color w:val="000000" w:themeColor="text1"/>
          <w:u w:val="none" w:color="auto"/>
          <w14:textFill>
            <w14:solidFill>
              <w14:schemeClr w14:val="tx1"/>
            </w14:solidFill>
          </w14:textFill>
        </w:rPr>
        <w:t>项目厂界声环境执行《声环境质量标准》（GB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3096-2008）3类标准，敏感点执行《声环境质量标准》（GB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3096-2008）2类标准。</w:t>
      </w:r>
    </w:p>
    <w:p w14:paraId="6AAA792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表2.5-4  声环境质量标准 单位：dB（A）</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92"/>
        <w:gridCol w:w="2622"/>
        <w:gridCol w:w="2915"/>
      </w:tblGrid>
      <w:tr w14:paraId="12A5B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4" w:type="pct"/>
            <w:vAlign w:val="center"/>
          </w:tcPr>
          <w:p w14:paraId="28F6EC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类别</w:t>
            </w:r>
          </w:p>
        </w:tc>
        <w:tc>
          <w:tcPr>
            <w:tcW w:w="1537" w:type="pct"/>
            <w:vAlign w:val="center"/>
          </w:tcPr>
          <w:p w14:paraId="23E5F1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1709" w:type="pct"/>
            <w:vAlign w:val="center"/>
          </w:tcPr>
          <w:p w14:paraId="475B3F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r>
      <w:tr w14:paraId="20BA3D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4" w:type="pct"/>
            <w:vAlign w:val="center"/>
          </w:tcPr>
          <w:p w14:paraId="7B13B1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2类</w:t>
            </w:r>
          </w:p>
        </w:tc>
        <w:tc>
          <w:tcPr>
            <w:tcW w:w="1537" w:type="pct"/>
            <w:vAlign w:val="center"/>
          </w:tcPr>
          <w:p w14:paraId="3D9B5B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60</w:t>
            </w:r>
          </w:p>
        </w:tc>
        <w:tc>
          <w:tcPr>
            <w:tcW w:w="1709" w:type="pct"/>
            <w:vAlign w:val="center"/>
          </w:tcPr>
          <w:p w14:paraId="0C1BC7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w:t>
            </w:r>
          </w:p>
        </w:tc>
      </w:tr>
      <w:tr w14:paraId="3CA7BA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54" w:type="pct"/>
            <w:vAlign w:val="center"/>
          </w:tcPr>
          <w:p w14:paraId="23E39C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3类</w:t>
            </w:r>
          </w:p>
        </w:tc>
        <w:tc>
          <w:tcPr>
            <w:tcW w:w="1537" w:type="pct"/>
            <w:vAlign w:val="center"/>
          </w:tcPr>
          <w:p w14:paraId="6DF1FF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65</w:t>
            </w:r>
          </w:p>
        </w:tc>
        <w:tc>
          <w:tcPr>
            <w:tcW w:w="1709" w:type="pct"/>
            <w:vAlign w:val="center"/>
          </w:tcPr>
          <w:p w14:paraId="77E238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r>
      <w:bookmarkEnd w:id="118"/>
    </w:tbl>
    <w:p w14:paraId="099757E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（5）土壤环境质量</w:t>
      </w:r>
    </w:p>
    <w:p w14:paraId="0E144B2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建设用地土壤执行《土壤环境质量建设用地土壤污染风险管控标准（试行）》（GB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36600-2018）第二类用地筛选值。</w:t>
      </w:r>
    </w:p>
    <w:p w14:paraId="27F07AEC">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建设用地土壤环境质量标准  单位：mg/kg（pH除外）</w:t>
      </w:r>
    </w:p>
    <w:tbl>
      <w:tblPr>
        <w:tblStyle w:val="37"/>
        <w:tblW w:w="501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29"/>
        <w:gridCol w:w="2038"/>
        <w:gridCol w:w="1341"/>
        <w:gridCol w:w="1042"/>
        <w:gridCol w:w="1042"/>
        <w:gridCol w:w="991"/>
        <w:gridCol w:w="1090"/>
      </w:tblGrid>
      <w:tr w14:paraId="678DB4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495" w:type="pct"/>
            <w:vMerge w:val="restart"/>
            <w:vAlign w:val="center"/>
          </w:tcPr>
          <w:p w14:paraId="4FA888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217" w:type="pct"/>
            <w:vMerge w:val="restart"/>
            <w:vAlign w:val="center"/>
          </w:tcPr>
          <w:p w14:paraId="0F81C0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污染物项目</w:t>
            </w:r>
          </w:p>
        </w:tc>
        <w:tc>
          <w:tcPr>
            <w:tcW w:w="801" w:type="pct"/>
            <w:vMerge w:val="restart"/>
            <w:vAlign w:val="center"/>
          </w:tcPr>
          <w:p w14:paraId="7FBA10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CAS编号</w:t>
            </w:r>
          </w:p>
        </w:tc>
        <w:tc>
          <w:tcPr>
            <w:tcW w:w="1244" w:type="pct"/>
            <w:gridSpan w:val="2"/>
            <w:vAlign w:val="center"/>
          </w:tcPr>
          <w:p w14:paraId="200A70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筛选值</w:t>
            </w:r>
          </w:p>
        </w:tc>
        <w:tc>
          <w:tcPr>
            <w:tcW w:w="1241" w:type="pct"/>
            <w:gridSpan w:val="2"/>
            <w:vAlign w:val="center"/>
          </w:tcPr>
          <w:p w14:paraId="4B7877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管制值</w:t>
            </w:r>
          </w:p>
        </w:tc>
      </w:tr>
      <w:tr w14:paraId="6A6052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495" w:type="pct"/>
            <w:vMerge w:val="continue"/>
            <w:vAlign w:val="center"/>
          </w:tcPr>
          <w:p w14:paraId="42548E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17" w:type="pct"/>
            <w:vMerge w:val="continue"/>
            <w:vAlign w:val="center"/>
          </w:tcPr>
          <w:p w14:paraId="40F9A7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1" w:type="pct"/>
            <w:vMerge w:val="continue"/>
            <w:vAlign w:val="center"/>
          </w:tcPr>
          <w:p w14:paraId="44ADE6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22" w:type="pct"/>
            <w:vAlign w:val="center"/>
          </w:tcPr>
          <w:p w14:paraId="5E7778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第一类</w:t>
            </w:r>
          </w:p>
          <w:p w14:paraId="284E18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用地</w:t>
            </w:r>
          </w:p>
        </w:tc>
        <w:tc>
          <w:tcPr>
            <w:tcW w:w="622" w:type="pct"/>
            <w:vAlign w:val="center"/>
          </w:tcPr>
          <w:p w14:paraId="570275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第二类</w:t>
            </w:r>
          </w:p>
          <w:p w14:paraId="145433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用地</w:t>
            </w:r>
          </w:p>
        </w:tc>
        <w:tc>
          <w:tcPr>
            <w:tcW w:w="592" w:type="pct"/>
            <w:vAlign w:val="center"/>
          </w:tcPr>
          <w:p w14:paraId="7D42DE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第一类</w:t>
            </w:r>
          </w:p>
          <w:p w14:paraId="0964C0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用地</w:t>
            </w:r>
          </w:p>
        </w:tc>
        <w:tc>
          <w:tcPr>
            <w:tcW w:w="649" w:type="pct"/>
            <w:vAlign w:val="center"/>
          </w:tcPr>
          <w:p w14:paraId="7939D6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第二类</w:t>
            </w:r>
          </w:p>
          <w:p w14:paraId="3AF52A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用地</w:t>
            </w:r>
          </w:p>
        </w:tc>
      </w:tr>
      <w:tr w14:paraId="3C5F14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7"/>
            <w:vAlign w:val="center"/>
          </w:tcPr>
          <w:p w14:paraId="0C5BE4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重金属和无机物</w:t>
            </w:r>
          </w:p>
        </w:tc>
      </w:tr>
      <w:tr w14:paraId="2DE3CE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269B05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217" w:type="pct"/>
            <w:vAlign w:val="center"/>
          </w:tcPr>
          <w:p w14:paraId="242AE6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砷</w:t>
            </w:r>
          </w:p>
        </w:tc>
        <w:tc>
          <w:tcPr>
            <w:tcW w:w="801" w:type="pct"/>
            <w:vAlign w:val="center"/>
          </w:tcPr>
          <w:p w14:paraId="1CE180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7440-38-2</w:t>
            </w:r>
          </w:p>
        </w:tc>
        <w:tc>
          <w:tcPr>
            <w:tcW w:w="622" w:type="pct"/>
            <w:vAlign w:val="center"/>
          </w:tcPr>
          <w:p w14:paraId="12104F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20①</w:t>
            </w:r>
          </w:p>
        </w:tc>
        <w:tc>
          <w:tcPr>
            <w:tcW w:w="622" w:type="pct"/>
            <w:vAlign w:val="center"/>
          </w:tcPr>
          <w:p w14:paraId="16D6C3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60①</w:t>
            </w:r>
          </w:p>
        </w:tc>
        <w:tc>
          <w:tcPr>
            <w:tcW w:w="592" w:type="pct"/>
            <w:vAlign w:val="center"/>
          </w:tcPr>
          <w:p w14:paraId="48127E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120</w:t>
            </w:r>
          </w:p>
        </w:tc>
        <w:tc>
          <w:tcPr>
            <w:tcW w:w="649" w:type="pct"/>
            <w:vAlign w:val="center"/>
          </w:tcPr>
          <w:p w14:paraId="0893EC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140</w:t>
            </w:r>
          </w:p>
        </w:tc>
      </w:tr>
      <w:tr w14:paraId="44D892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1772F7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1217" w:type="pct"/>
            <w:vAlign w:val="center"/>
          </w:tcPr>
          <w:p w14:paraId="309663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镉</w:t>
            </w:r>
          </w:p>
        </w:tc>
        <w:tc>
          <w:tcPr>
            <w:tcW w:w="801" w:type="pct"/>
            <w:vAlign w:val="center"/>
          </w:tcPr>
          <w:p w14:paraId="1461CF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7440-43-9</w:t>
            </w:r>
          </w:p>
        </w:tc>
        <w:tc>
          <w:tcPr>
            <w:tcW w:w="622" w:type="pct"/>
            <w:vAlign w:val="center"/>
          </w:tcPr>
          <w:p w14:paraId="076E81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c>
          <w:tcPr>
            <w:tcW w:w="622" w:type="pct"/>
            <w:vAlign w:val="center"/>
          </w:tcPr>
          <w:p w14:paraId="3571DA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65</w:t>
            </w:r>
          </w:p>
        </w:tc>
        <w:tc>
          <w:tcPr>
            <w:tcW w:w="592" w:type="pct"/>
            <w:vAlign w:val="center"/>
          </w:tcPr>
          <w:p w14:paraId="6BDC69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47</w:t>
            </w:r>
          </w:p>
        </w:tc>
        <w:tc>
          <w:tcPr>
            <w:tcW w:w="649" w:type="pct"/>
            <w:vAlign w:val="center"/>
          </w:tcPr>
          <w:p w14:paraId="01D433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172</w:t>
            </w:r>
          </w:p>
        </w:tc>
      </w:tr>
      <w:tr w14:paraId="35D63C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3852A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1217" w:type="pct"/>
            <w:vAlign w:val="center"/>
          </w:tcPr>
          <w:p w14:paraId="66C03C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铬（六价）</w:t>
            </w:r>
          </w:p>
        </w:tc>
        <w:tc>
          <w:tcPr>
            <w:tcW w:w="801" w:type="pct"/>
            <w:vAlign w:val="center"/>
          </w:tcPr>
          <w:p w14:paraId="77D04E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18540-29-9</w:t>
            </w:r>
          </w:p>
        </w:tc>
        <w:tc>
          <w:tcPr>
            <w:tcW w:w="622" w:type="pct"/>
            <w:vAlign w:val="center"/>
          </w:tcPr>
          <w:p w14:paraId="0D5AB6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3.0</w:t>
            </w:r>
          </w:p>
        </w:tc>
        <w:tc>
          <w:tcPr>
            <w:tcW w:w="622" w:type="pct"/>
            <w:vAlign w:val="center"/>
          </w:tcPr>
          <w:p w14:paraId="6C1DE4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5.7</w:t>
            </w:r>
          </w:p>
        </w:tc>
        <w:tc>
          <w:tcPr>
            <w:tcW w:w="592" w:type="pct"/>
            <w:vAlign w:val="center"/>
          </w:tcPr>
          <w:p w14:paraId="51C5C0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30</w:t>
            </w:r>
          </w:p>
        </w:tc>
        <w:tc>
          <w:tcPr>
            <w:tcW w:w="649" w:type="pct"/>
            <w:vAlign w:val="center"/>
          </w:tcPr>
          <w:p w14:paraId="2A73C1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78</w:t>
            </w:r>
          </w:p>
        </w:tc>
      </w:tr>
      <w:tr w14:paraId="59E3A2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76DC16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1217" w:type="pct"/>
            <w:vAlign w:val="center"/>
          </w:tcPr>
          <w:p w14:paraId="7460AC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铜</w:t>
            </w:r>
          </w:p>
        </w:tc>
        <w:tc>
          <w:tcPr>
            <w:tcW w:w="801" w:type="pct"/>
            <w:vAlign w:val="center"/>
          </w:tcPr>
          <w:p w14:paraId="3BCDFB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7440-50-8</w:t>
            </w:r>
          </w:p>
        </w:tc>
        <w:tc>
          <w:tcPr>
            <w:tcW w:w="622" w:type="pct"/>
            <w:vAlign w:val="center"/>
          </w:tcPr>
          <w:p w14:paraId="682EED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2000</w:t>
            </w:r>
          </w:p>
        </w:tc>
        <w:tc>
          <w:tcPr>
            <w:tcW w:w="622" w:type="pct"/>
            <w:vAlign w:val="center"/>
          </w:tcPr>
          <w:p w14:paraId="6B47EB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18000</w:t>
            </w:r>
          </w:p>
        </w:tc>
        <w:tc>
          <w:tcPr>
            <w:tcW w:w="592" w:type="pct"/>
            <w:vAlign w:val="center"/>
          </w:tcPr>
          <w:p w14:paraId="412366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8000</w:t>
            </w:r>
          </w:p>
        </w:tc>
        <w:tc>
          <w:tcPr>
            <w:tcW w:w="649" w:type="pct"/>
            <w:vAlign w:val="center"/>
          </w:tcPr>
          <w:p w14:paraId="0621CD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36000</w:t>
            </w:r>
          </w:p>
        </w:tc>
      </w:tr>
      <w:tr w14:paraId="798541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0CE3B4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1217" w:type="pct"/>
            <w:vAlign w:val="center"/>
          </w:tcPr>
          <w:p w14:paraId="169C68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铅</w:t>
            </w:r>
          </w:p>
        </w:tc>
        <w:tc>
          <w:tcPr>
            <w:tcW w:w="801" w:type="pct"/>
            <w:vAlign w:val="center"/>
          </w:tcPr>
          <w:p w14:paraId="096A87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7439-92-1</w:t>
            </w:r>
          </w:p>
        </w:tc>
        <w:tc>
          <w:tcPr>
            <w:tcW w:w="622" w:type="pct"/>
            <w:vAlign w:val="center"/>
          </w:tcPr>
          <w:p w14:paraId="56D3A0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400</w:t>
            </w:r>
          </w:p>
        </w:tc>
        <w:tc>
          <w:tcPr>
            <w:tcW w:w="622" w:type="pct"/>
            <w:vAlign w:val="center"/>
          </w:tcPr>
          <w:p w14:paraId="0FC9F0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800</w:t>
            </w:r>
          </w:p>
        </w:tc>
        <w:tc>
          <w:tcPr>
            <w:tcW w:w="592" w:type="pct"/>
            <w:vAlign w:val="center"/>
          </w:tcPr>
          <w:p w14:paraId="51273A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800</w:t>
            </w:r>
          </w:p>
        </w:tc>
        <w:tc>
          <w:tcPr>
            <w:tcW w:w="649" w:type="pct"/>
            <w:vAlign w:val="center"/>
          </w:tcPr>
          <w:p w14:paraId="68FAD3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2500</w:t>
            </w:r>
          </w:p>
        </w:tc>
      </w:tr>
      <w:tr w14:paraId="4F5355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083E87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w:t>
            </w:r>
          </w:p>
        </w:tc>
        <w:tc>
          <w:tcPr>
            <w:tcW w:w="1217" w:type="pct"/>
            <w:vAlign w:val="center"/>
          </w:tcPr>
          <w:p w14:paraId="61E2E2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汞</w:t>
            </w:r>
          </w:p>
        </w:tc>
        <w:tc>
          <w:tcPr>
            <w:tcW w:w="801" w:type="pct"/>
            <w:vAlign w:val="center"/>
          </w:tcPr>
          <w:p w14:paraId="5808A3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7439-97-6</w:t>
            </w:r>
          </w:p>
        </w:tc>
        <w:tc>
          <w:tcPr>
            <w:tcW w:w="622" w:type="pct"/>
            <w:vAlign w:val="center"/>
          </w:tcPr>
          <w:p w14:paraId="5E7793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w:t>
            </w:r>
          </w:p>
        </w:tc>
        <w:tc>
          <w:tcPr>
            <w:tcW w:w="622" w:type="pct"/>
            <w:vAlign w:val="center"/>
          </w:tcPr>
          <w:p w14:paraId="2C7278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38</w:t>
            </w:r>
          </w:p>
        </w:tc>
        <w:tc>
          <w:tcPr>
            <w:tcW w:w="592" w:type="pct"/>
            <w:vAlign w:val="center"/>
          </w:tcPr>
          <w:p w14:paraId="3E88E0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33</w:t>
            </w:r>
          </w:p>
        </w:tc>
        <w:tc>
          <w:tcPr>
            <w:tcW w:w="649" w:type="pct"/>
            <w:vAlign w:val="center"/>
          </w:tcPr>
          <w:p w14:paraId="241EDE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82</w:t>
            </w:r>
          </w:p>
        </w:tc>
      </w:tr>
      <w:tr w14:paraId="2D4EAB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B0A61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w:t>
            </w:r>
          </w:p>
        </w:tc>
        <w:tc>
          <w:tcPr>
            <w:tcW w:w="1217" w:type="pct"/>
            <w:vAlign w:val="center"/>
          </w:tcPr>
          <w:p w14:paraId="685035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镍</w:t>
            </w:r>
          </w:p>
        </w:tc>
        <w:tc>
          <w:tcPr>
            <w:tcW w:w="801" w:type="pct"/>
            <w:vAlign w:val="center"/>
          </w:tcPr>
          <w:p w14:paraId="682266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7440-02-0</w:t>
            </w:r>
          </w:p>
        </w:tc>
        <w:tc>
          <w:tcPr>
            <w:tcW w:w="622" w:type="pct"/>
            <w:vAlign w:val="center"/>
          </w:tcPr>
          <w:p w14:paraId="0ABB14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150</w:t>
            </w:r>
          </w:p>
        </w:tc>
        <w:tc>
          <w:tcPr>
            <w:tcW w:w="622" w:type="pct"/>
            <w:vAlign w:val="center"/>
          </w:tcPr>
          <w:p w14:paraId="460C6B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900</w:t>
            </w:r>
          </w:p>
        </w:tc>
        <w:tc>
          <w:tcPr>
            <w:tcW w:w="592" w:type="pct"/>
            <w:vAlign w:val="center"/>
          </w:tcPr>
          <w:p w14:paraId="658015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600</w:t>
            </w:r>
          </w:p>
        </w:tc>
        <w:tc>
          <w:tcPr>
            <w:tcW w:w="649" w:type="pct"/>
            <w:vAlign w:val="center"/>
          </w:tcPr>
          <w:p w14:paraId="7DC298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2000</w:t>
            </w:r>
          </w:p>
        </w:tc>
      </w:tr>
      <w:tr w14:paraId="56ADC4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7"/>
            <w:vAlign w:val="center"/>
          </w:tcPr>
          <w:p w14:paraId="3E1F6D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挥发性有机物</w:t>
            </w:r>
          </w:p>
        </w:tc>
      </w:tr>
      <w:tr w14:paraId="6D5E0A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636A77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w:t>
            </w:r>
          </w:p>
        </w:tc>
        <w:tc>
          <w:tcPr>
            <w:tcW w:w="1217" w:type="pct"/>
            <w:vAlign w:val="center"/>
          </w:tcPr>
          <w:p w14:paraId="066AB0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四氯化碳</w:t>
            </w:r>
          </w:p>
        </w:tc>
        <w:tc>
          <w:tcPr>
            <w:tcW w:w="801" w:type="pct"/>
            <w:vAlign w:val="center"/>
          </w:tcPr>
          <w:p w14:paraId="45FC06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56-23-5</w:t>
            </w:r>
          </w:p>
        </w:tc>
        <w:tc>
          <w:tcPr>
            <w:tcW w:w="622" w:type="pct"/>
            <w:vAlign w:val="center"/>
          </w:tcPr>
          <w:p w14:paraId="708876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0.9</w:t>
            </w:r>
          </w:p>
        </w:tc>
        <w:tc>
          <w:tcPr>
            <w:tcW w:w="622" w:type="pct"/>
            <w:vAlign w:val="center"/>
          </w:tcPr>
          <w:p w14:paraId="3E332D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w:t>
            </w:r>
          </w:p>
        </w:tc>
        <w:tc>
          <w:tcPr>
            <w:tcW w:w="592" w:type="pct"/>
            <w:vAlign w:val="center"/>
          </w:tcPr>
          <w:p w14:paraId="4C5BD6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p>
        </w:tc>
        <w:tc>
          <w:tcPr>
            <w:tcW w:w="649" w:type="pct"/>
            <w:vAlign w:val="center"/>
          </w:tcPr>
          <w:p w14:paraId="7A3C10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36</w:t>
            </w:r>
          </w:p>
        </w:tc>
      </w:tr>
      <w:tr w14:paraId="241AC5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BB287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p>
        </w:tc>
        <w:tc>
          <w:tcPr>
            <w:tcW w:w="1217" w:type="pct"/>
            <w:vAlign w:val="center"/>
          </w:tcPr>
          <w:p w14:paraId="1B0064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氯仿</w:t>
            </w:r>
          </w:p>
        </w:tc>
        <w:tc>
          <w:tcPr>
            <w:tcW w:w="801" w:type="pct"/>
            <w:vAlign w:val="center"/>
          </w:tcPr>
          <w:p w14:paraId="792D16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67-66-3</w:t>
            </w:r>
          </w:p>
        </w:tc>
        <w:tc>
          <w:tcPr>
            <w:tcW w:w="622" w:type="pct"/>
            <w:vAlign w:val="center"/>
          </w:tcPr>
          <w:p w14:paraId="51CD47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0.3</w:t>
            </w:r>
          </w:p>
        </w:tc>
        <w:tc>
          <w:tcPr>
            <w:tcW w:w="622" w:type="pct"/>
            <w:vAlign w:val="center"/>
          </w:tcPr>
          <w:p w14:paraId="4B4CC9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0.9</w:t>
            </w:r>
          </w:p>
        </w:tc>
        <w:tc>
          <w:tcPr>
            <w:tcW w:w="592" w:type="pct"/>
            <w:vAlign w:val="center"/>
          </w:tcPr>
          <w:p w14:paraId="5BD475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649" w:type="pct"/>
            <w:vAlign w:val="center"/>
          </w:tcPr>
          <w:p w14:paraId="00BB14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w:t>
            </w:r>
          </w:p>
        </w:tc>
      </w:tr>
      <w:tr w14:paraId="0AEA2C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3219CF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w:t>
            </w:r>
          </w:p>
        </w:tc>
        <w:tc>
          <w:tcPr>
            <w:tcW w:w="1217" w:type="pct"/>
            <w:vAlign w:val="center"/>
          </w:tcPr>
          <w:p w14:paraId="2345AA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氯甲烷</w:t>
            </w:r>
          </w:p>
        </w:tc>
        <w:tc>
          <w:tcPr>
            <w:tcW w:w="801" w:type="pct"/>
            <w:vAlign w:val="center"/>
          </w:tcPr>
          <w:p w14:paraId="429A7E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74-87-3</w:t>
            </w:r>
          </w:p>
        </w:tc>
        <w:tc>
          <w:tcPr>
            <w:tcW w:w="622" w:type="pct"/>
            <w:vAlign w:val="center"/>
          </w:tcPr>
          <w:p w14:paraId="3BFD2D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w:t>
            </w:r>
          </w:p>
        </w:tc>
        <w:tc>
          <w:tcPr>
            <w:tcW w:w="622" w:type="pct"/>
            <w:vAlign w:val="center"/>
          </w:tcPr>
          <w:p w14:paraId="7AC4B4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37</w:t>
            </w:r>
          </w:p>
        </w:tc>
        <w:tc>
          <w:tcPr>
            <w:tcW w:w="592" w:type="pct"/>
            <w:vAlign w:val="center"/>
          </w:tcPr>
          <w:p w14:paraId="674A56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w:t>
            </w:r>
          </w:p>
        </w:tc>
        <w:tc>
          <w:tcPr>
            <w:tcW w:w="649" w:type="pct"/>
            <w:vAlign w:val="center"/>
          </w:tcPr>
          <w:p w14:paraId="29E32A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120</w:t>
            </w:r>
          </w:p>
        </w:tc>
      </w:tr>
      <w:tr w14:paraId="1D43DD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54C101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w:t>
            </w:r>
          </w:p>
        </w:tc>
        <w:tc>
          <w:tcPr>
            <w:tcW w:w="1217" w:type="pct"/>
            <w:vAlign w:val="center"/>
          </w:tcPr>
          <w:p w14:paraId="0B683E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1，1-二氯乙烷</w:t>
            </w:r>
          </w:p>
        </w:tc>
        <w:tc>
          <w:tcPr>
            <w:tcW w:w="801" w:type="pct"/>
            <w:vAlign w:val="center"/>
          </w:tcPr>
          <w:p w14:paraId="3944CD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75-34-3</w:t>
            </w:r>
          </w:p>
        </w:tc>
        <w:tc>
          <w:tcPr>
            <w:tcW w:w="622" w:type="pct"/>
            <w:vAlign w:val="center"/>
          </w:tcPr>
          <w:p w14:paraId="1F81B3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622" w:type="pct"/>
            <w:vAlign w:val="center"/>
          </w:tcPr>
          <w:p w14:paraId="4DCABE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p>
        </w:tc>
        <w:tc>
          <w:tcPr>
            <w:tcW w:w="592" w:type="pct"/>
            <w:vAlign w:val="center"/>
          </w:tcPr>
          <w:p w14:paraId="75F4FB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c>
          <w:tcPr>
            <w:tcW w:w="649" w:type="pct"/>
            <w:vAlign w:val="center"/>
          </w:tcPr>
          <w:p w14:paraId="525B8D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w:t>
            </w:r>
          </w:p>
        </w:tc>
      </w:tr>
      <w:tr w14:paraId="02AE1E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F8E9B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w:t>
            </w:r>
          </w:p>
        </w:tc>
        <w:tc>
          <w:tcPr>
            <w:tcW w:w="1217" w:type="pct"/>
            <w:vAlign w:val="center"/>
          </w:tcPr>
          <w:p w14:paraId="2CE33D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1，2-二氯乙烷</w:t>
            </w:r>
          </w:p>
        </w:tc>
        <w:tc>
          <w:tcPr>
            <w:tcW w:w="801" w:type="pct"/>
            <w:vAlign w:val="center"/>
          </w:tcPr>
          <w:p w14:paraId="24C892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107-06-2</w:t>
            </w:r>
          </w:p>
        </w:tc>
        <w:tc>
          <w:tcPr>
            <w:tcW w:w="622" w:type="pct"/>
            <w:vAlign w:val="center"/>
          </w:tcPr>
          <w:p w14:paraId="3DA4B0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0.52</w:t>
            </w:r>
          </w:p>
        </w:tc>
        <w:tc>
          <w:tcPr>
            <w:tcW w:w="622" w:type="pct"/>
            <w:vAlign w:val="center"/>
          </w:tcPr>
          <w:p w14:paraId="721A35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592" w:type="pct"/>
            <w:vAlign w:val="center"/>
          </w:tcPr>
          <w:p w14:paraId="727B0E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w:t>
            </w:r>
          </w:p>
        </w:tc>
        <w:tc>
          <w:tcPr>
            <w:tcW w:w="649" w:type="pct"/>
            <w:vAlign w:val="center"/>
          </w:tcPr>
          <w:p w14:paraId="75F993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w:t>
            </w:r>
          </w:p>
        </w:tc>
      </w:tr>
      <w:tr w14:paraId="1410C5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6CE0A7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w:t>
            </w:r>
          </w:p>
        </w:tc>
        <w:tc>
          <w:tcPr>
            <w:tcW w:w="1217" w:type="pct"/>
            <w:vAlign w:val="center"/>
          </w:tcPr>
          <w:p w14:paraId="019894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1，1-二氯乙烯</w:t>
            </w:r>
          </w:p>
        </w:tc>
        <w:tc>
          <w:tcPr>
            <w:tcW w:w="801" w:type="pct"/>
            <w:vAlign w:val="center"/>
          </w:tcPr>
          <w:p w14:paraId="55853D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75-35-4</w:t>
            </w:r>
          </w:p>
        </w:tc>
        <w:tc>
          <w:tcPr>
            <w:tcW w:w="622" w:type="pct"/>
            <w:vAlign w:val="center"/>
          </w:tcPr>
          <w:p w14:paraId="738AAE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w:t>
            </w:r>
          </w:p>
        </w:tc>
        <w:tc>
          <w:tcPr>
            <w:tcW w:w="622" w:type="pct"/>
            <w:vAlign w:val="center"/>
          </w:tcPr>
          <w:p w14:paraId="2A4D38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66</w:t>
            </w:r>
          </w:p>
        </w:tc>
        <w:tc>
          <w:tcPr>
            <w:tcW w:w="592" w:type="pct"/>
            <w:vAlign w:val="center"/>
          </w:tcPr>
          <w:p w14:paraId="6F7C9A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w:t>
            </w:r>
          </w:p>
        </w:tc>
        <w:tc>
          <w:tcPr>
            <w:tcW w:w="649" w:type="pct"/>
            <w:vAlign w:val="center"/>
          </w:tcPr>
          <w:p w14:paraId="1A3591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w:t>
            </w:r>
          </w:p>
        </w:tc>
      </w:tr>
      <w:tr w14:paraId="53DD3B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62727C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14</w:t>
            </w:r>
          </w:p>
        </w:tc>
        <w:tc>
          <w:tcPr>
            <w:tcW w:w="1217" w:type="pct"/>
            <w:vAlign w:val="center"/>
          </w:tcPr>
          <w:p w14:paraId="5D2F6E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顺-1，2-二氯乙烯</w:t>
            </w:r>
          </w:p>
        </w:tc>
        <w:tc>
          <w:tcPr>
            <w:tcW w:w="801" w:type="pct"/>
            <w:vAlign w:val="center"/>
          </w:tcPr>
          <w:p w14:paraId="7FBDA5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156-59-2</w:t>
            </w:r>
          </w:p>
        </w:tc>
        <w:tc>
          <w:tcPr>
            <w:tcW w:w="622" w:type="pct"/>
            <w:vAlign w:val="center"/>
          </w:tcPr>
          <w:p w14:paraId="297C37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66</w:t>
            </w:r>
          </w:p>
        </w:tc>
        <w:tc>
          <w:tcPr>
            <w:tcW w:w="622" w:type="pct"/>
            <w:vAlign w:val="center"/>
          </w:tcPr>
          <w:p w14:paraId="1D5A7A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596</w:t>
            </w:r>
          </w:p>
        </w:tc>
        <w:tc>
          <w:tcPr>
            <w:tcW w:w="592" w:type="pct"/>
            <w:vAlign w:val="center"/>
          </w:tcPr>
          <w:p w14:paraId="3323C1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w:t>
            </w:r>
          </w:p>
        </w:tc>
        <w:tc>
          <w:tcPr>
            <w:tcW w:w="649" w:type="pct"/>
            <w:vAlign w:val="center"/>
          </w:tcPr>
          <w:p w14:paraId="7DD0F1E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2000</w:t>
            </w:r>
          </w:p>
        </w:tc>
      </w:tr>
      <w:tr w14:paraId="080780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69305A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1217" w:type="pct"/>
            <w:vAlign w:val="center"/>
          </w:tcPr>
          <w:p w14:paraId="7F0865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反-1，2-二氯乙烯</w:t>
            </w:r>
          </w:p>
        </w:tc>
        <w:tc>
          <w:tcPr>
            <w:tcW w:w="801" w:type="pct"/>
            <w:vAlign w:val="center"/>
          </w:tcPr>
          <w:p w14:paraId="003B06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156-60-5</w:t>
            </w:r>
          </w:p>
        </w:tc>
        <w:tc>
          <w:tcPr>
            <w:tcW w:w="622" w:type="pct"/>
            <w:vAlign w:val="center"/>
          </w:tcPr>
          <w:p w14:paraId="73712D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w:t>
            </w:r>
          </w:p>
        </w:tc>
        <w:tc>
          <w:tcPr>
            <w:tcW w:w="622" w:type="pct"/>
            <w:vAlign w:val="center"/>
          </w:tcPr>
          <w:p w14:paraId="57F22F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54</w:t>
            </w:r>
          </w:p>
        </w:tc>
        <w:tc>
          <w:tcPr>
            <w:tcW w:w="592" w:type="pct"/>
            <w:vAlign w:val="center"/>
          </w:tcPr>
          <w:p w14:paraId="011AC7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31</w:t>
            </w:r>
          </w:p>
        </w:tc>
        <w:tc>
          <w:tcPr>
            <w:tcW w:w="649" w:type="pct"/>
            <w:vAlign w:val="center"/>
          </w:tcPr>
          <w:p w14:paraId="7B625F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163</w:t>
            </w:r>
          </w:p>
        </w:tc>
      </w:tr>
      <w:tr w14:paraId="519894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22CF61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16</w:t>
            </w:r>
          </w:p>
        </w:tc>
        <w:tc>
          <w:tcPr>
            <w:tcW w:w="1217" w:type="pct"/>
            <w:vAlign w:val="center"/>
          </w:tcPr>
          <w:p w14:paraId="08DD48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二氯甲烷</w:t>
            </w:r>
          </w:p>
        </w:tc>
        <w:tc>
          <w:tcPr>
            <w:tcW w:w="801" w:type="pct"/>
            <w:vAlign w:val="center"/>
          </w:tcPr>
          <w:p w14:paraId="2C3F4C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75-09-2</w:t>
            </w:r>
          </w:p>
        </w:tc>
        <w:tc>
          <w:tcPr>
            <w:tcW w:w="622" w:type="pct"/>
            <w:vAlign w:val="center"/>
          </w:tcPr>
          <w:p w14:paraId="1363A4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94</w:t>
            </w:r>
          </w:p>
        </w:tc>
        <w:tc>
          <w:tcPr>
            <w:tcW w:w="622" w:type="pct"/>
            <w:vAlign w:val="center"/>
          </w:tcPr>
          <w:p w14:paraId="70AC7C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616</w:t>
            </w:r>
          </w:p>
        </w:tc>
        <w:tc>
          <w:tcPr>
            <w:tcW w:w="592" w:type="pct"/>
            <w:vAlign w:val="center"/>
          </w:tcPr>
          <w:p w14:paraId="24304A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300</w:t>
            </w:r>
          </w:p>
        </w:tc>
        <w:tc>
          <w:tcPr>
            <w:tcW w:w="649" w:type="pct"/>
            <w:vAlign w:val="center"/>
          </w:tcPr>
          <w:p w14:paraId="6BA91B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2000</w:t>
            </w:r>
          </w:p>
        </w:tc>
      </w:tr>
      <w:tr w14:paraId="0E709C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6580BB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17</w:t>
            </w:r>
          </w:p>
        </w:tc>
        <w:tc>
          <w:tcPr>
            <w:tcW w:w="1217" w:type="pct"/>
            <w:vAlign w:val="center"/>
          </w:tcPr>
          <w:p w14:paraId="1699B6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1，2-二氯丙烷</w:t>
            </w:r>
          </w:p>
        </w:tc>
        <w:tc>
          <w:tcPr>
            <w:tcW w:w="801" w:type="pct"/>
            <w:vAlign w:val="center"/>
          </w:tcPr>
          <w:p w14:paraId="21EE5D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78-87-5</w:t>
            </w:r>
          </w:p>
        </w:tc>
        <w:tc>
          <w:tcPr>
            <w:tcW w:w="622" w:type="pct"/>
            <w:vAlign w:val="center"/>
          </w:tcPr>
          <w:p w14:paraId="50737B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622" w:type="pct"/>
            <w:vAlign w:val="center"/>
          </w:tcPr>
          <w:p w14:paraId="7942CE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592" w:type="pct"/>
            <w:vAlign w:val="center"/>
          </w:tcPr>
          <w:p w14:paraId="12FF79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649" w:type="pct"/>
            <w:vAlign w:val="center"/>
          </w:tcPr>
          <w:p w14:paraId="6DDB3A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47</w:t>
            </w:r>
          </w:p>
        </w:tc>
      </w:tr>
      <w:tr w14:paraId="11AD1D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11316F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18</w:t>
            </w:r>
          </w:p>
        </w:tc>
        <w:tc>
          <w:tcPr>
            <w:tcW w:w="1217" w:type="pct"/>
            <w:vAlign w:val="center"/>
          </w:tcPr>
          <w:p w14:paraId="307E7D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1，1，1，2-四氯乙烷</w:t>
            </w:r>
          </w:p>
        </w:tc>
        <w:tc>
          <w:tcPr>
            <w:tcW w:w="801" w:type="pct"/>
            <w:vAlign w:val="center"/>
          </w:tcPr>
          <w:p w14:paraId="7F8E27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630-20-6</w:t>
            </w:r>
          </w:p>
        </w:tc>
        <w:tc>
          <w:tcPr>
            <w:tcW w:w="622" w:type="pct"/>
            <w:vAlign w:val="center"/>
          </w:tcPr>
          <w:p w14:paraId="0B9672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w:t>
            </w:r>
          </w:p>
        </w:tc>
        <w:tc>
          <w:tcPr>
            <w:tcW w:w="622" w:type="pct"/>
            <w:vAlign w:val="center"/>
          </w:tcPr>
          <w:p w14:paraId="25B706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w:t>
            </w:r>
          </w:p>
        </w:tc>
        <w:tc>
          <w:tcPr>
            <w:tcW w:w="592" w:type="pct"/>
            <w:vAlign w:val="center"/>
          </w:tcPr>
          <w:p w14:paraId="797818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w:t>
            </w:r>
          </w:p>
        </w:tc>
        <w:tc>
          <w:tcPr>
            <w:tcW w:w="649" w:type="pct"/>
            <w:vAlign w:val="center"/>
          </w:tcPr>
          <w:p w14:paraId="0F4CD5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w:t>
            </w:r>
          </w:p>
        </w:tc>
      </w:tr>
      <w:tr w14:paraId="237A0A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396467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19</w:t>
            </w:r>
          </w:p>
        </w:tc>
        <w:tc>
          <w:tcPr>
            <w:tcW w:w="1217" w:type="pct"/>
            <w:vAlign w:val="center"/>
          </w:tcPr>
          <w:p w14:paraId="5BD7E5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1，1，2，2-四氯乙烷</w:t>
            </w:r>
          </w:p>
        </w:tc>
        <w:tc>
          <w:tcPr>
            <w:tcW w:w="801" w:type="pct"/>
            <w:vAlign w:val="center"/>
          </w:tcPr>
          <w:p w14:paraId="049693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79-34-5</w:t>
            </w:r>
          </w:p>
        </w:tc>
        <w:tc>
          <w:tcPr>
            <w:tcW w:w="622" w:type="pct"/>
            <w:vAlign w:val="center"/>
          </w:tcPr>
          <w:p w14:paraId="1F9352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1.6</w:t>
            </w:r>
          </w:p>
        </w:tc>
        <w:tc>
          <w:tcPr>
            <w:tcW w:w="622" w:type="pct"/>
            <w:vAlign w:val="center"/>
          </w:tcPr>
          <w:p w14:paraId="71E130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6.8</w:t>
            </w:r>
          </w:p>
        </w:tc>
        <w:tc>
          <w:tcPr>
            <w:tcW w:w="592" w:type="pct"/>
            <w:vAlign w:val="center"/>
          </w:tcPr>
          <w:p w14:paraId="671644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14</w:t>
            </w:r>
          </w:p>
        </w:tc>
        <w:tc>
          <w:tcPr>
            <w:tcW w:w="649" w:type="pct"/>
            <w:vAlign w:val="center"/>
          </w:tcPr>
          <w:p w14:paraId="5C577D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w:t>
            </w:r>
          </w:p>
        </w:tc>
      </w:tr>
      <w:tr w14:paraId="50ED9C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1C0051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c>
          <w:tcPr>
            <w:tcW w:w="1217" w:type="pct"/>
            <w:vAlign w:val="center"/>
          </w:tcPr>
          <w:p w14:paraId="534B12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四氯乙烯</w:t>
            </w:r>
          </w:p>
        </w:tc>
        <w:tc>
          <w:tcPr>
            <w:tcW w:w="801" w:type="pct"/>
            <w:vAlign w:val="center"/>
          </w:tcPr>
          <w:p w14:paraId="020F98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127-18-4</w:t>
            </w:r>
          </w:p>
        </w:tc>
        <w:tc>
          <w:tcPr>
            <w:tcW w:w="622" w:type="pct"/>
            <w:vAlign w:val="center"/>
          </w:tcPr>
          <w:p w14:paraId="2B4BCF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w:t>
            </w:r>
          </w:p>
        </w:tc>
        <w:tc>
          <w:tcPr>
            <w:tcW w:w="622" w:type="pct"/>
            <w:vAlign w:val="center"/>
          </w:tcPr>
          <w:p w14:paraId="165128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53</w:t>
            </w:r>
          </w:p>
        </w:tc>
        <w:tc>
          <w:tcPr>
            <w:tcW w:w="592" w:type="pct"/>
            <w:vAlign w:val="center"/>
          </w:tcPr>
          <w:p w14:paraId="42998C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34</w:t>
            </w:r>
          </w:p>
        </w:tc>
        <w:tc>
          <w:tcPr>
            <w:tcW w:w="649" w:type="pct"/>
            <w:vAlign w:val="center"/>
          </w:tcPr>
          <w:p w14:paraId="17AC88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183</w:t>
            </w:r>
          </w:p>
        </w:tc>
      </w:tr>
      <w:tr w14:paraId="721F1C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6891D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w:t>
            </w:r>
          </w:p>
        </w:tc>
        <w:tc>
          <w:tcPr>
            <w:tcW w:w="1217" w:type="pct"/>
            <w:vAlign w:val="center"/>
          </w:tcPr>
          <w:p w14:paraId="153CC1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1，1，1-三氯乙烷</w:t>
            </w:r>
          </w:p>
        </w:tc>
        <w:tc>
          <w:tcPr>
            <w:tcW w:w="801" w:type="pct"/>
            <w:vAlign w:val="center"/>
          </w:tcPr>
          <w:p w14:paraId="56D1EF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71-55-6</w:t>
            </w:r>
          </w:p>
        </w:tc>
        <w:tc>
          <w:tcPr>
            <w:tcW w:w="622" w:type="pct"/>
            <w:vAlign w:val="center"/>
          </w:tcPr>
          <w:p w14:paraId="4ED5A4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701</w:t>
            </w:r>
          </w:p>
        </w:tc>
        <w:tc>
          <w:tcPr>
            <w:tcW w:w="622" w:type="pct"/>
            <w:vAlign w:val="center"/>
          </w:tcPr>
          <w:p w14:paraId="751C57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840</w:t>
            </w:r>
          </w:p>
        </w:tc>
        <w:tc>
          <w:tcPr>
            <w:tcW w:w="592" w:type="pct"/>
            <w:vAlign w:val="center"/>
          </w:tcPr>
          <w:p w14:paraId="5B528F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840</w:t>
            </w:r>
          </w:p>
        </w:tc>
        <w:tc>
          <w:tcPr>
            <w:tcW w:w="649" w:type="pct"/>
            <w:vAlign w:val="center"/>
          </w:tcPr>
          <w:p w14:paraId="0953E2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840</w:t>
            </w:r>
          </w:p>
        </w:tc>
      </w:tr>
      <w:tr w14:paraId="1F2616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2EA239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22</w:t>
            </w:r>
          </w:p>
        </w:tc>
        <w:tc>
          <w:tcPr>
            <w:tcW w:w="1217" w:type="pct"/>
            <w:vAlign w:val="center"/>
          </w:tcPr>
          <w:p w14:paraId="209405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1，1，2-三氯乙烷</w:t>
            </w:r>
          </w:p>
        </w:tc>
        <w:tc>
          <w:tcPr>
            <w:tcW w:w="801" w:type="pct"/>
            <w:vAlign w:val="center"/>
          </w:tcPr>
          <w:p w14:paraId="69A963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79-00-5</w:t>
            </w:r>
          </w:p>
        </w:tc>
        <w:tc>
          <w:tcPr>
            <w:tcW w:w="622" w:type="pct"/>
            <w:vAlign w:val="center"/>
          </w:tcPr>
          <w:p w14:paraId="226100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0.6</w:t>
            </w:r>
          </w:p>
        </w:tc>
        <w:tc>
          <w:tcPr>
            <w:tcW w:w="622" w:type="pct"/>
            <w:vAlign w:val="center"/>
          </w:tcPr>
          <w:p w14:paraId="7E5421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w:t>
            </w:r>
          </w:p>
        </w:tc>
        <w:tc>
          <w:tcPr>
            <w:tcW w:w="592" w:type="pct"/>
            <w:vAlign w:val="center"/>
          </w:tcPr>
          <w:p w14:paraId="7C97C0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649" w:type="pct"/>
            <w:vAlign w:val="center"/>
          </w:tcPr>
          <w:p w14:paraId="64BF6F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r>
      <w:tr w14:paraId="100BBD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133A67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23</w:t>
            </w:r>
          </w:p>
        </w:tc>
        <w:tc>
          <w:tcPr>
            <w:tcW w:w="1217" w:type="pct"/>
            <w:vAlign w:val="center"/>
          </w:tcPr>
          <w:p w14:paraId="4296C2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三氯乙烯</w:t>
            </w:r>
          </w:p>
        </w:tc>
        <w:tc>
          <w:tcPr>
            <w:tcW w:w="801" w:type="pct"/>
            <w:vAlign w:val="center"/>
          </w:tcPr>
          <w:p w14:paraId="2C9F96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79-01-6</w:t>
            </w:r>
          </w:p>
        </w:tc>
        <w:tc>
          <w:tcPr>
            <w:tcW w:w="622" w:type="pct"/>
            <w:vAlign w:val="center"/>
          </w:tcPr>
          <w:p w14:paraId="016969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0.7</w:t>
            </w:r>
          </w:p>
        </w:tc>
        <w:tc>
          <w:tcPr>
            <w:tcW w:w="622" w:type="pct"/>
            <w:vAlign w:val="center"/>
          </w:tcPr>
          <w:p w14:paraId="440044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w:t>
            </w:r>
          </w:p>
        </w:tc>
        <w:tc>
          <w:tcPr>
            <w:tcW w:w="592" w:type="pct"/>
            <w:vAlign w:val="center"/>
          </w:tcPr>
          <w:p w14:paraId="595DA5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w:t>
            </w:r>
          </w:p>
        </w:tc>
        <w:tc>
          <w:tcPr>
            <w:tcW w:w="649" w:type="pct"/>
            <w:vAlign w:val="center"/>
          </w:tcPr>
          <w:p w14:paraId="78A5E9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r>
      <w:tr w14:paraId="5BE9D9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2D6B1B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p>
        </w:tc>
        <w:tc>
          <w:tcPr>
            <w:tcW w:w="1217" w:type="pct"/>
            <w:vAlign w:val="center"/>
          </w:tcPr>
          <w:p w14:paraId="00FD86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1，2，3-三氯丙烷</w:t>
            </w:r>
          </w:p>
        </w:tc>
        <w:tc>
          <w:tcPr>
            <w:tcW w:w="801" w:type="pct"/>
            <w:vAlign w:val="center"/>
          </w:tcPr>
          <w:p w14:paraId="192291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96-18-4</w:t>
            </w:r>
          </w:p>
        </w:tc>
        <w:tc>
          <w:tcPr>
            <w:tcW w:w="622" w:type="pct"/>
            <w:vAlign w:val="center"/>
          </w:tcPr>
          <w:p w14:paraId="5E3C57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0.05</w:t>
            </w:r>
          </w:p>
        </w:tc>
        <w:tc>
          <w:tcPr>
            <w:tcW w:w="622" w:type="pct"/>
            <w:vAlign w:val="center"/>
          </w:tcPr>
          <w:p w14:paraId="4BEBDB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0.5</w:t>
            </w:r>
          </w:p>
        </w:tc>
        <w:tc>
          <w:tcPr>
            <w:tcW w:w="592" w:type="pct"/>
            <w:vAlign w:val="center"/>
          </w:tcPr>
          <w:p w14:paraId="324AC4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0.5</w:t>
            </w:r>
          </w:p>
        </w:tc>
        <w:tc>
          <w:tcPr>
            <w:tcW w:w="649" w:type="pct"/>
            <w:vAlign w:val="center"/>
          </w:tcPr>
          <w:p w14:paraId="795563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r>
      <w:tr w14:paraId="2952C3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353A55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25</w:t>
            </w:r>
          </w:p>
        </w:tc>
        <w:tc>
          <w:tcPr>
            <w:tcW w:w="1217" w:type="pct"/>
            <w:vAlign w:val="center"/>
          </w:tcPr>
          <w:p w14:paraId="19DD73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氯乙烯</w:t>
            </w:r>
          </w:p>
        </w:tc>
        <w:tc>
          <w:tcPr>
            <w:tcW w:w="801" w:type="pct"/>
            <w:vAlign w:val="center"/>
          </w:tcPr>
          <w:p w14:paraId="5F9EC3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75-01-4</w:t>
            </w:r>
          </w:p>
        </w:tc>
        <w:tc>
          <w:tcPr>
            <w:tcW w:w="622" w:type="pct"/>
            <w:vAlign w:val="center"/>
          </w:tcPr>
          <w:p w14:paraId="68BDBD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0.12</w:t>
            </w:r>
          </w:p>
        </w:tc>
        <w:tc>
          <w:tcPr>
            <w:tcW w:w="622" w:type="pct"/>
            <w:vAlign w:val="center"/>
          </w:tcPr>
          <w:p w14:paraId="522AB1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0.43</w:t>
            </w:r>
          </w:p>
        </w:tc>
        <w:tc>
          <w:tcPr>
            <w:tcW w:w="592" w:type="pct"/>
            <w:vAlign w:val="center"/>
          </w:tcPr>
          <w:p w14:paraId="4AF643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w:t>
            </w:r>
          </w:p>
        </w:tc>
        <w:tc>
          <w:tcPr>
            <w:tcW w:w="649" w:type="pct"/>
            <w:vAlign w:val="center"/>
          </w:tcPr>
          <w:p w14:paraId="648A51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4.3</w:t>
            </w:r>
          </w:p>
        </w:tc>
      </w:tr>
      <w:tr w14:paraId="130CB7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671B00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w:t>
            </w:r>
          </w:p>
        </w:tc>
        <w:tc>
          <w:tcPr>
            <w:tcW w:w="1217" w:type="pct"/>
            <w:vAlign w:val="center"/>
          </w:tcPr>
          <w:p w14:paraId="1200F3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苯</w:t>
            </w:r>
          </w:p>
        </w:tc>
        <w:tc>
          <w:tcPr>
            <w:tcW w:w="801" w:type="pct"/>
            <w:vAlign w:val="center"/>
          </w:tcPr>
          <w:p w14:paraId="4979F6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71-43-2</w:t>
            </w:r>
          </w:p>
        </w:tc>
        <w:tc>
          <w:tcPr>
            <w:tcW w:w="622" w:type="pct"/>
            <w:vAlign w:val="center"/>
          </w:tcPr>
          <w:p w14:paraId="66F605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622" w:type="pct"/>
            <w:vAlign w:val="center"/>
          </w:tcPr>
          <w:p w14:paraId="072F89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592" w:type="pct"/>
            <w:vAlign w:val="center"/>
          </w:tcPr>
          <w:p w14:paraId="45C063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w:t>
            </w:r>
          </w:p>
        </w:tc>
        <w:tc>
          <w:tcPr>
            <w:tcW w:w="649" w:type="pct"/>
            <w:vAlign w:val="center"/>
          </w:tcPr>
          <w:p w14:paraId="00C14F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w:t>
            </w:r>
          </w:p>
        </w:tc>
      </w:tr>
      <w:tr w14:paraId="5F696D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69F545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27</w:t>
            </w:r>
          </w:p>
        </w:tc>
        <w:tc>
          <w:tcPr>
            <w:tcW w:w="1217" w:type="pct"/>
            <w:vAlign w:val="center"/>
          </w:tcPr>
          <w:p w14:paraId="0170F8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氯苯</w:t>
            </w:r>
          </w:p>
        </w:tc>
        <w:tc>
          <w:tcPr>
            <w:tcW w:w="801" w:type="pct"/>
            <w:vAlign w:val="center"/>
          </w:tcPr>
          <w:p w14:paraId="6602AD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108-90-7</w:t>
            </w:r>
          </w:p>
        </w:tc>
        <w:tc>
          <w:tcPr>
            <w:tcW w:w="622" w:type="pct"/>
            <w:vAlign w:val="center"/>
          </w:tcPr>
          <w:p w14:paraId="0FC798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68</w:t>
            </w:r>
          </w:p>
        </w:tc>
        <w:tc>
          <w:tcPr>
            <w:tcW w:w="622" w:type="pct"/>
            <w:vAlign w:val="center"/>
          </w:tcPr>
          <w:p w14:paraId="773C67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270</w:t>
            </w:r>
          </w:p>
        </w:tc>
        <w:tc>
          <w:tcPr>
            <w:tcW w:w="592" w:type="pct"/>
            <w:vAlign w:val="center"/>
          </w:tcPr>
          <w:p w14:paraId="634E15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w:t>
            </w:r>
          </w:p>
        </w:tc>
        <w:tc>
          <w:tcPr>
            <w:tcW w:w="649" w:type="pct"/>
            <w:vAlign w:val="center"/>
          </w:tcPr>
          <w:p w14:paraId="45A4D4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1000</w:t>
            </w:r>
          </w:p>
        </w:tc>
      </w:tr>
      <w:tr w14:paraId="050413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6AA5CC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w:t>
            </w:r>
          </w:p>
        </w:tc>
        <w:tc>
          <w:tcPr>
            <w:tcW w:w="1217" w:type="pct"/>
            <w:vAlign w:val="center"/>
          </w:tcPr>
          <w:p w14:paraId="75ACD0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1，2-二氯苯</w:t>
            </w:r>
          </w:p>
        </w:tc>
        <w:tc>
          <w:tcPr>
            <w:tcW w:w="801" w:type="pct"/>
            <w:vAlign w:val="center"/>
          </w:tcPr>
          <w:p w14:paraId="01D89C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95-50-1</w:t>
            </w:r>
          </w:p>
        </w:tc>
        <w:tc>
          <w:tcPr>
            <w:tcW w:w="622" w:type="pct"/>
            <w:vAlign w:val="center"/>
          </w:tcPr>
          <w:p w14:paraId="6DFF34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560</w:t>
            </w:r>
          </w:p>
        </w:tc>
        <w:tc>
          <w:tcPr>
            <w:tcW w:w="622" w:type="pct"/>
            <w:vAlign w:val="center"/>
          </w:tcPr>
          <w:p w14:paraId="728807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560</w:t>
            </w:r>
          </w:p>
        </w:tc>
        <w:tc>
          <w:tcPr>
            <w:tcW w:w="592" w:type="pct"/>
            <w:vAlign w:val="center"/>
          </w:tcPr>
          <w:p w14:paraId="67897B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560</w:t>
            </w:r>
          </w:p>
        </w:tc>
        <w:tc>
          <w:tcPr>
            <w:tcW w:w="649" w:type="pct"/>
            <w:vAlign w:val="center"/>
          </w:tcPr>
          <w:p w14:paraId="2044A8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560</w:t>
            </w:r>
          </w:p>
        </w:tc>
      </w:tr>
      <w:tr w14:paraId="435748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086FD8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29</w:t>
            </w:r>
          </w:p>
        </w:tc>
        <w:tc>
          <w:tcPr>
            <w:tcW w:w="1217" w:type="pct"/>
            <w:vAlign w:val="center"/>
          </w:tcPr>
          <w:p w14:paraId="45C328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1，4-二氯苯</w:t>
            </w:r>
          </w:p>
        </w:tc>
        <w:tc>
          <w:tcPr>
            <w:tcW w:w="801" w:type="pct"/>
            <w:vAlign w:val="center"/>
          </w:tcPr>
          <w:p w14:paraId="6B003C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106-46-7</w:t>
            </w:r>
          </w:p>
        </w:tc>
        <w:tc>
          <w:tcPr>
            <w:tcW w:w="622" w:type="pct"/>
            <w:vAlign w:val="center"/>
          </w:tcPr>
          <w:p w14:paraId="0318FF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5.6</w:t>
            </w:r>
          </w:p>
        </w:tc>
        <w:tc>
          <w:tcPr>
            <w:tcW w:w="622" w:type="pct"/>
            <w:vAlign w:val="center"/>
          </w:tcPr>
          <w:p w14:paraId="711A15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c>
          <w:tcPr>
            <w:tcW w:w="592" w:type="pct"/>
            <w:vAlign w:val="center"/>
          </w:tcPr>
          <w:p w14:paraId="10B946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56</w:t>
            </w:r>
          </w:p>
        </w:tc>
        <w:tc>
          <w:tcPr>
            <w:tcW w:w="649" w:type="pct"/>
            <w:vAlign w:val="center"/>
          </w:tcPr>
          <w:p w14:paraId="2ED52E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w:t>
            </w:r>
          </w:p>
        </w:tc>
      </w:tr>
      <w:tr w14:paraId="749EA3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067FB6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30</w:t>
            </w:r>
          </w:p>
        </w:tc>
        <w:tc>
          <w:tcPr>
            <w:tcW w:w="1217" w:type="pct"/>
            <w:vAlign w:val="center"/>
          </w:tcPr>
          <w:p w14:paraId="6C97BE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乙苯</w:t>
            </w:r>
          </w:p>
        </w:tc>
        <w:tc>
          <w:tcPr>
            <w:tcW w:w="801" w:type="pct"/>
            <w:vAlign w:val="center"/>
          </w:tcPr>
          <w:p w14:paraId="146819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100-41-4</w:t>
            </w:r>
          </w:p>
        </w:tc>
        <w:tc>
          <w:tcPr>
            <w:tcW w:w="622" w:type="pct"/>
            <w:vAlign w:val="center"/>
          </w:tcPr>
          <w:p w14:paraId="789C54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7.2</w:t>
            </w:r>
          </w:p>
        </w:tc>
        <w:tc>
          <w:tcPr>
            <w:tcW w:w="622" w:type="pct"/>
            <w:vAlign w:val="center"/>
          </w:tcPr>
          <w:p w14:paraId="206F40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w:t>
            </w:r>
          </w:p>
        </w:tc>
        <w:tc>
          <w:tcPr>
            <w:tcW w:w="592" w:type="pct"/>
            <w:vAlign w:val="center"/>
          </w:tcPr>
          <w:p w14:paraId="6719A9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72</w:t>
            </w:r>
          </w:p>
        </w:tc>
        <w:tc>
          <w:tcPr>
            <w:tcW w:w="649" w:type="pct"/>
            <w:vAlign w:val="center"/>
          </w:tcPr>
          <w:p w14:paraId="5E8377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280</w:t>
            </w:r>
          </w:p>
        </w:tc>
      </w:tr>
      <w:tr w14:paraId="724A0E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04E73B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31</w:t>
            </w:r>
          </w:p>
        </w:tc>
        <w:tc>
          <w:tcPr>
            <w:tcW w:w="1217" w:type="pct"/>
            <w:vAlign w:val="center"/>
          </w:tcPr>
          <w:p w14:paraId="35E0DB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苯乙烯</w:t>
            </w:r>
          </w:p>
        </w:tc>
        <w:tc>
          <w:tcPr>
            <w:tcW w:w="801" w:type="pct"/>
            <w:vAlign w:val="center"/>
          </w:tcPr>
          <w:p w14:paraId="0E475D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100-42-5</w:t>
            </w:r>
          </w:p>
        </w:tc>
        <w:tc>
          <w:tcPr>
            <w:tcW w:w="622" w:type="pct"/>
            <w:vAlign w:val="center"/>
          </w:tcPr>
          <w:p w14:paraId="62DD7C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1290</w:t>
            </w:r>
          </w:p>
        </w:tc>
        <w:tc>
          <w:tcPr>
            <w:tcW w:w="622" w:type="pct"/>
            <w:vAlign w:val="center"/>
          </w:tcPr>
          <w:p w14:paraId="65FF6D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1290</w:t>
            </w:r>
          </w:p>
        </w:tc>
        <w:tc>
          <w:tcPr>
            <w:tcW w:w="592" w:type="pct"/>
            <w:vAlign w:val="center"/>
          </w:tcPr>
          <w:p w14:paraId="1308AC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1290</w:t>
            </w:r>
          </w:p>
        </w:tc>
        <w:tc>
          <w:tcPr>
            <w:tcW w:w="649" w:type="pct"/>
            <w:vAlign w:val="center"/>
          </w:tcPr>
          <w:p w14:paraId="4EC4E3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1290</w:t>
            </w:r>
          </w:p>
        </w:tc>
      </w:tr>
      <w:tr w14:paraId="133C27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1E10AB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32</w:t>
            </w:r>
          </w:p>
        </w:tc>
        <w:tc>
          <w:tcPr>
            <w:tcW w:w="1217" w:type="pct"/>
            <w:vAlign w:val="center"/>
          </w:tcPr>
          <w:p w14:paraId="008F2A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甲苯</w:t>
            </w:r>
          </w:p>
        </w:tc>
        <w:tc>
          <w:tcPr>
            <w:tcW w:w="801" w:type="pct"/>
            <w:vAlign w:val="center"/>
          </w:tcPr>
          <w:p w14:paraId="0F4E3B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108-88-3</w:t>
            </w:r>
          </w:p>
        </w:tc>
        <w:tc>
          <w:tcPr>
            <w:tcW w:w="622" w:type="pct"/>
            <w:vAlign w:val="center"/>
          </w:tcPr>
          <w:p w14:paraId="474994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1200</w:t>
            </w:r>
          </w:p>
        </w:tc>
        <w:tc>
          <w:tcPr>
            <w:tcW w:w="622" w:type="pct"/>
            <w:vAlign w:val="center"/>
          </w:tcPr>
          <w:p w14:paraId="6CDC16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1200</w:t>
            </w:r>
          </w:p>
        </w:tc>
        <w:tc>
          <w:tcPr>
            <w:tcW w:w="592" w:type="pct"/>
            <w:vAlign w:val="center"/>
          </w:tcPr>
          <w:p w14:paraId="52561E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1200</w:t>
            </w:r>
          </w:p>
        </w:tc>
        <w:tc>
          <w:tcPr>
            <w:tcW w:w="649" w:type="pct"/>
            <w:vAlign w:val="center"/>
          </w:tcPr>
          <w:p w14:paraId="4CE1F3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1200</w:t>
            </w:r>
          </w:p>
        </w:tc>
      </w:tr>
      <w:tr w14:paraId="24EFF7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05C7EF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33</w:t>
            </w:r>
          </w:p>
        </w:tc>
        <w:tc>
          <w:tcPr>
            <w:tcW w:w="1217" w:type="pct"/>
            <w:vAlign w:val="center"/>
          </w:tcPr>
          <w:p w14:paraId="623330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间二甲苯+对二甲苯</w:t>
            </w:r>
          </w:p>
        </w:tc>
        <w:tc>
          <w:tcPr>
            <w:tcW w:w="801" w:type="pct"/>
            <w:vAlign w:val="center"/>
          </w:tcPr>
          <w:p w14:paraId="60D240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108-38-3，</w:t>
            </w:r>
          </w:p>
          <w:p w14:paraId="7CF82F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106-42-3</w:t>
            </w:r>
          </w:p>
        </w:tc>
        <w:tc>
          <w:tcPr>
            <w:tcW w:w="622" w:type="pct"/>
            <w:vAlign w:val="center"/>
          </w:tcPr>
          <w:p w14:paraId="583757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163</w:t>
            </w:r>
          </w:p>
        </w:tc>
        <w:tc>
          <w:tcPr>
            <w:tcW w:w="622" w:type="pct"/>
            <w:vAlign w:val="center"/>
          </w:tcPr>
          <w:p w14:paraId="5E1FB8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570</w:t>
            </w:r>
          </w:p>
        </w:tc>
        <w:tc>
          <w:tcPr>
            <w:tcW w:w="592" w:type="pct"/>
            <w:vAlign w:val="center"/>
          </w:tcPr>
          <w:p w14:paraId="0208CE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500</w:t>
            </w:r>
          </w:p>
        </w:tc>
        <w:tc>
          <w:tcPr>
            <w:tcW w:w="649" w:type="pct"/>
            <w:vAlign w:val="center"/>
          </w:tcPr>
          <w:p w14:paraId="26DA6F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570</w:t>
            </w:r>
          </w:p>
        </w:tc>
      </w:tr>
      <w:tr w14:paraId="29CBC9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24E535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34</w:t>
            </w:r>
          </w:p>
        </w:tc>
        <w:tc>
          <w:tcPr>
            <w:tcW w:w="1217" w:type="pct"/>
            <w:vAlign w:val="center"/>
          </w:tcPr>
          <w:p w14:paraId="084E5E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邻二甲苯</w:t>
            </w:r>
          </w:p>
        </w:tc>
        <w:tc>
          <w:tcPr>
            <w:tcW w:w="801" w:type="pct"/>
            <w:vAlign w:val="center"/>
          </w:tcPr>
          <w:p w14:paraId="417C06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95-47-6</w:t>
            </w:r>
          </w:p>
        </w:tc>
        <w:tc>
          <w:tcPr>
            <w:tcW w:w="622" w:type="pct"/>
            <w:vAlign w:val="center"/>
          </w:tcPr>
          <w:p w14:paraId="4E0794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222</w:t>
            </w:r>
          </w:p>
        </w:tc>
        <w:tc>
          <w:tcPr>
            <w:tcW w:w="622" w:type="pct"/>
            <w:vAlign w:val="center"/>
          </w:tcPr>
          <w:p w14:paraId="13CD13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640</w:t>
            </w:r>
          </w:p>
        </w:tc>
        <w:tc>
          <w:tcPr>
            <w:tcW w:w="592" w:type="pct"/>
            <w:vAlign w:val="center"/>
          </w:tcPr>
          <w:p w14:paraId="3D7912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640</w:t>
            </w:r>
          </w:p>
        </w:tc>
        <w:tc>
          <w:tcPr>
            <w:tcW w:w="649" w:type="pct"/>
            <w:vAlign w:val="center"/>
          </w:tcPr>
          <w:p w14:paraId="68C35C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640</w:t>
            </w:r>
          </w:p>
        </w:tc>
      </w:tr>
      <w:tr w14:paraId="38269B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7"/>
            <w:vAlign w:val="center"/>
          </w:tcPr>
          <w:p w14:paraId="09EF30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半挥发性有机物</w:t>
            </w:r>
          </w:p>
        </w:tc>
      </w:tr>
      <w:tr w14:paraId="1ACBAF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3C2143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35</w:t>
            </w:r>
          </w:p>
        </w:tc>
        <w:tc>
          <w:tcPr>
            <w:tcW w:w="1217" w:type="pct"/>
            <w:vAlign w:val="center"/>
          </w:tcPr>
          <w:p w14:paraId="631BCE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硝基苯</w:t>
            </w:r>
          </w:p>
        </w:tc>
        <w:tc>
          <w:tcPr>
            <w:tcW w:w="801" w:type="pct"/>
            <w:vAlign w:val="center"/>
          </w:tcPr>
          <w:p w14:paraId="3CBB95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98-95-3</w:t>
            </w:r>
          </w:p>
        </w:tc>
        <w:tc>
          <w:tcPr>
            <w:tcW w:w="622" w:type="pct"/>
            <w:vAlign w:val="center"/>
          </w:tcPr>
          <w:p w14:paraId="0362F0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34</w:t>
            </w:r>
          </w:p>
        </w:tc>
        <w:tc>
          <w:tcPr>
            <w:tcW w:w="622" w:type="pct"/>
            <w:vAlign w:val="center"/>
          </w:tcPr>
          <w:p w14:paraId="05AD22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76</w:t>
            </w:r>
          </w:p>
        </w:tc>
        <w:tc>
          <w:tcPr>
            <w:tcW w:w="592" w:type="pct"/>
            <w:vAlign w:val="center"/>
          </w:tcPr>
          <w:p w14:paraId="5E13E0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190</w:t>
            </w:r>
          </w:p>
        </w:tc>
        <w:tc>
          <w:tcPr>
            <w:tcW w:w="649" w:type="pct"/>
            <w:vAlign w:val="center"/>
          </w:tcPr>
          <w:p w14:paraId="3B8FE8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760</w:t>
            </w:r>
          </w:p>
        </w:tc>
      </w:tr>
      <w:tr w14:paraId="43C7AC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13107D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36</w:t>
            </w:r>
          </w:p>
        </w:tc>
        <w:tc>
          <w:tcPr>
            <w:tcW w:w="1217" w:type="pct"/>
            <w:vAlign w:val="center"/>
          </w:tcPr>
          <w:p w14:paraId="7AB14C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苯胺</w:t>
            </w:r>
          </w:p>
        </w:tc>
        <w:tc>
          <w:tcPr>
            <w:tcW w:w="801" w:type="pct"/>
            <w:vAlign w:val="center"/>
          </w:tcPr>
          <w:p w14:paraId="7ECB0C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62-53-3</w:t>
            </w:r>
          </w:p>
        </w:tc>
        <w:tc>
          <w:tcPr>
            <w:tcW w:w="622" w:type="pct"/>
            <w:vAlign w:val="center"/>
          </w:tcPr>
          <w:p w14:paraId="4EBDF5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92</w:t>
            </w:r>
          </w:p>
        </w:tc>
        <w:tc>
          <w:tcPr>
            <w:tcW w:w="622" w:type="pct"/>
            <w:vAlign w:val="center"/>
          </w:tcPr>
          <w:p w14:paraId="688B22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260</w:t>
            </w:r>
          </w:p>
        </w:tc>
        <w:tc>
          <w:tcPr>
            <w:tcW w:w="592" w:type="pct"/>
            <w:vAlign w:val="center"/>
          </w:tcPr>
          <w:p w14:paraId="3CC777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211</w:t>
            </w:r>
          </w:p>
        </w:tc>
        <w:tc>
          <w:tcPr>
            <w:tcW w:w="649" w:type="pct"/>
            <w:vAlign w:val="center"/>
          </w:tcPr>
          <w:p w14:paraId="4B48D2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663</w:t>
            </w:r>
          </w:p>
        </w:tc>
      </w:tr>
      <w:tr w14:paraId="69C196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5E1ED5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37</w:t>
            </w:r>
          </w:p>
        </w:tc>
        <w:tc>
          <w:tcPr>
            <w:tcW w:w="1217" w:type="pct"/>
            <w:vAlign w:val="center"/>
          </w:tcPr>
          <w:p w14:paraId="5FF20E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2-氯酚</w:t>
            </w:r>
          </w:p>
        </w:tc>
        <w:tc>
          <w:tcPr>
            <w:tcW w:w="801" w:type="pct"/>
            <w:vAlign w:val="center"/>
          </w:tcPr>
          <w:p w14:paraId="641F83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95-57-8</w:t>
            </w:r>
          </w:p>
        </w:tc>
        <w:tc>
          <w:tcPr>
            <w:tcW w:w="622" w:type="pct"/>
            <w:vAlign w:val="center"/>
          </w:tcPr>
          <w:p w14:paraId="27FFBA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250</w:t>
            </w:r>
          </w:p>
        </w:tc>
        <w:tc>
          <w:tcPr>
            <w:tcW w:w="622" w:type="pct"/>
            <w:vAlign w:val="center"/>
          </w:tcPr>
          <w:p w14:paraId="189B70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2256</w:t>
            </w:r>
          </w:p>
        </w:tc>
        <w:tc>
          <w:tcPr>
            <w:tcW w:w="592" w:type="pct"/>
            <w:vAlign w:val="center"/>
          </w:tcPr>
          <w:p w14:paraId="1E4AA9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500</w:t>
            </w:r>
          </w:p>
        </w:tc>
        <w:tc>
          <w:tcPr>
            <w:tcW w:w="649" w:type="pct"/>
            <w:vAlign w:val="center"/>
          </w:tcPr>
          <w:p w14:paraId="315A21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4500</w:t>
            </w:r>
          </w:p>
        </w:tc>
      </w:tr>
      <w:tr w14:paraId="768969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2A4C0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38</w:t>
            </w:r>
          </w:p>
        </w:tc>
        <w:tc>
          <w:tcPr>
            <w:tcW w:w="1217" w:type="pct"/>
            <w:vAlign w:val="center"/>
          </w:tcPr>
          <w:p w14:paraId="456BF0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苯并[a]蒽</w:t>
            </w:r>
          </w:p>
        </w:tc>
        <w:tc>
          <w:tcPr>
            <w:tcW w:w="801" w:type="pct"/>
            <w:vAlign w:val="center"/>
          </w:tcPr>
          <w:p w14:paraId="590007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56-55-3</w:t>
            </w:r>
          </w:p>
        </w:tc>
        <w:tc>
          <w:tcPr>
            <w:tcW w:w="622" w:type="pct"/>
            <w:vAlign w:val="center"/>
          </w:tcPr>
          <w:p w14:paraId="712C05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22" w:type="pct"/>
            <w:vAlign w:val="center"/>
          </w:tcPr>
          <w:p w14:paraId="40CA97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592" w:type="pct"/>
            <w:vAlign w:val="center"/>
          </w:tcPr>
          <w:p w14:paraId="3730F8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49" w:type="pct"/>
            <w:vAlign w:val="center"/>
          </w:tcPr>
          <w:p w14:paraId="6CC903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151</w:t>
            </w:r>
          </w:p>
        </w:tc>
      </w:tr>
      <w:tr w14:paraId="064FCB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10B041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39</w:t>
            </w:r>
          </w:p>
        </w:tc>
        <w:tc>
          <w:tcPr>
            <w:tcW w:w="1217" w:type="pct"/>
            <w:vAlign w:val="center"/>
          </w:tcPr>
          <w:p w14:paraId="54CD6D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苯并[a]芘</w:t>
            </w:r>
          </w:p>
        </w:tc>
        <w:tc>
          <w:tcPr>
            <w:tcW w:w="801" w:type="pct"/>
            <w:vAlign w:val="center"/>
          </w:tcPr>
          <w:p w14:paraId="67F7EC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50-32-8</w:t>
            </w:r>
          </w:p>
        </w:tc>
        <w:tc>
          <w:tcPr>
            <w:tcW w:w="622" w:type="pct"/>
            <w:vAlign w:val="center"/>
          </w:tcPr>
          <w:p w14:paraId="2D2EAE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0.55</w:t>
            </w:r>
          </w:p>
        </w:tc>
        <w:tc>
          <w:tcPr>
            <w:tcW w:w="622" w:type="pct"/>
            <w:vAlign w:val="center"/>
          </w:tcPr>
          <w:p w14:paraId="72E1F7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592" w:type="pct"/>
            <w:vAlign w:val="center"/>
          </w:tcPr>
          <w:p w14:paraId="61EE0F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49" w:type="pct"/>
            <w:vAlign w:val="center"/>
          </w:tcPr>
          <w:p w14:paraId="04E5FE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r>
      <w:tr w14:paraId="7792B0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3E2BCB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w:t>
            </w:r>
          </w:p>
        </w:tc>
        <w:tc>
          <w:tcPr>
            <w:tcW w:w="1217" w:type="pct"/>
            <w:vAlign w:val="center"/>
          </w:tcPr>
          <w:p w14:paraId="312A6A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苯并[b]荧蒽</w:t>
            </w:r>
          </w:p>
        </w:tc>
        <w:tc>
          <w:tcPr>
            <w:tcW w:w="801" w:type="pct"/>
            <w:vAlign w:val="center"/>
          </w:tcPr>
          <w:p w14:paraId="433EE6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205-99-2</w:t>
            </w:r>
          </w:p>
        </w:tc>
        <w:tc>
          <w:tcPr>
            <w:tcW w:w="622" w:type="pct"/>
            <w:vAlign w:val="center"/>
          </w:tcPr>
          <w:p w14:paraId="5F27F8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22" w:type="pct"/>
            <w:vAlign w:val="center"/>
          </w:tcPr>
          <w:p w14:paraId="1B834C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592" w:type="pct"/>
            <w:vAlign w:val="center"/>
          </w:tcPr>
          <w:p w14:paraId="172104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49" w:type="pct"/>
            <w:vAlign w:val="center"/>
          </w:tcPr>
          <w:p w14:paraId="68C20D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151</w:t>
            </w:r>
          </w:p>
        </w:tc>
      </w:tr>
      <w:tr w14:paraId="0F43F0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51791A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41</w:t>
            </w:r>
          </w:p>
        </w:tc>
        <w:tc>
          <w:tcPr>
            <w:tcW w:w="1217" w:type="pct"/>
            <w:vAlign w:val="center"/>
          </w:tcPr>
          <w:p w14:paraId="2E0C8F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苯并[k]荧蒽</w:t>
            </w:r>
          </w:p>
        </w:tc>
        <w:tc>
          <w:tcPr>
            <w:tcW w:w="801" w:type="pct"/>
            <w:vAlign w:val="center"/>
          </w:tcPr>
          <w:p w14:paraId="32DAF8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207-08-9</w:t>
            </w:r>
          </w:p>
        </w:tc>
        <w:tc>
          <w:tcPr>
            <w:tcW w:w="622" w:type="pct"/>
            <w:vAlign w:val="center"/>
          </w:tcPr>
          <w:p w14:paraId="156A93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22" w:type="pct"/>
            <w:vAlign w:val="center"/>
          </w:tcPr>
          <w:p w14:paraId="34B485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151</w:t>
            </w:r>
          </w:p>
        </w:tc>
        <w:tc>
          <w:tcPr>
            <w:tcW w:w="592" w:type="pct"/>
            <w:vAlign w:val="center"/>
          </w:tcPr>
          <w:p w14:paraId="0C6E6B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550</w:t>
            </w:r>
          </w:p>
        </w:tc>
        <w:tc>
          <w:tcPr>
            <w:tcW w:w="649" w:type="pct"/>
            <w:vAlign w:val="center"/>
          </w:tcPr>
          <w:p w14:paraId="032A77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1500</w:t>
            </w:r>
          </w:p>
        </w:tc>
      </w:tr>
      <w:tr w14:paraId="612415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3C6D91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42</w:t>
            </w:r>
          </w:p>
        </w:tc>
        <w:tc>
          <w:tcPr>
            <w:tcW w:w="1217" w:type="pct"/>
            <w:vAlign w:val="center"/>
          </w:tcPr>
          <w:p w14:paraId="52674A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䓛</w:t>
            </w:r>
          </w:p>
        </w:tc>
        <w:tc>
          <w:tcPr>
            <w:tcW w:w="801" w:type="pct"/>
            <w:vAlign w:val="center"/>
          </w:tcPr>
          <w:p w14:paraId="5FADAA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218-01-9</w:t>
            </w:r>
          </w:p>
        </w:tc>
        <w:tc>
          <w:tcPr>
            <w:tcW w:w="622" w:type="pct"/>
            <w:vAlign w:val="center"/>
          </w:tcPr>
          <w:p w14:paraId="246F55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490</w:t>
            </w:r>
          </w:p>
        </w:tc>
        <w:tc>
          <w:tcPr>
            <w:tcW w:w="622" w:type="pct"/>
            <w:vAlign w:val="center"/>
          </w:tcPr>
          <w:p w14:paraId="5E2A94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1293</w:t>
            </w:r>
          </w:p>
        </w:tc>
        <w:tc>
          <w:tcPr>
            <w:tcW w:w="592" w:type="pct"/>
            <w:vAlign w:val="center"/>
          </w:tcPr>
          <w:p w14:paraId="229933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4900</w:t>
            </w:r>
          </w:p>
        </w:tc>
        <w:tc>
          <w:tcPr>
            <w:tcW w:w="649" w:type="pct"/>
            <w:vAlign w:val="center"/>
          </w:tcPr>
          <w:p w14:paraId="6A5BDC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12900</w:t>
            </w:r>
          </w:p>
        </w:tc>
      </w:tr>
      <w:tr w14:paraId="122B9B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05A53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43</w:t>
            </w:r>
          </w:p>
        </w:tc>
        <w:tc>
          <w:tcPr>
            <w:tcW w:w="1217" w:type="pct"/>
            <w:vAlign w:val="center"/>
          </w:tcPr>
          <w:p w14:paraId="64451A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二苯并[a，h]蒽</w:t>
            </w:r>
          </w:p>
        </w:tc>
        <w:tc>
          <w:tcPr>
            <w:tcW w:w="801" w:type="pct"/>
            <w:vAlign w:val="center"/>
          </w:tcPr>
          <w:p w14:paraId="4A1484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53-70-3</w:t>
            </w:r>
          </w:p>
        </w:tc>
        <w:tc>
          <w:tcPr>
            <w:tcW w:w="622" w:type="pct"/>
            <w:vAlign w:val="center"/>
          </w:tcPr>
          <w:p w14:paraId="10364E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0.55</w:t>
            </w:r>
          </w:p>
        </w:tc>
        <w:tc>
          <w:tcPr>
            <w:tcW w:w="622" w:type="pct"/>
            <w:vAlign w:val="center"/>
          </w:tcPr>
          <w:p w14:paraId="0E80F6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592" w:type="pct"/>
            <w:vAlign w:val="center"/>
          </w:tcPr>
          <w:p w14:paraId="046D69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49" w:type="pct"/>
            <w:vAlign w:val="center"/>
          </w:tcPr>
          <w:p w14:paraId="7487A0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r>
      <w:tr w14:paraId="1B98B6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2E0620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44</w:t>
            </w:r>
          </w:p>
        </w:tc>
        <w:tc>
          <w:tcPr>
            <w:tcW w:w="1217" w:type="pct"/>
            <w:vAlign w:val="center"/>
          </w:tcPr>
          <w:p w14:paraId="3C2564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茚并[1，2，3-cd]芘</w:t>
            </w:r>
          </w:p>
        </w:tc>
        <w:tc>
          <w:tcPr>
            <w:tcW w:w="801" w:type="pct"/>
            <w:vAlign w:val="center"/>
          </w:tcPr>
          <w:p w14:paraId="018542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193-39-5</w:t>
            </w:r>
          </w:p>
        </w:tc>
        <w:tc>
          <w:tcPr>
            <w:tcW w:w="622" w:type="pct"/>
            <w:vAlign w:val="center"/>
          </w:tcPr>
          <w:p w14:paraId="705402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22" w:type="pct"/>
            <w:vAlign w:val="center"/>
          </w:tcPr>
          <w:p w14:paraId="61FAAE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592" w:type="pct"/>
            <w:vAlign w:val="center"/>
          </w:tcPr>
          <w:p w14:paraId="6901C0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c>
          <w:tcPr>
            <w:tcW w:w="649" w:type="pct"/>
            <w:vAlign w:val="center"/>
          </w:tcPr>
          <w:p w14:paraId="034C27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151</w:t>
            </w:r>
          </w:p>
        </w:tc>
      </w:tr>
      <w:tr w14:paraId="066C71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C9019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45</w:t>
            </w:r>
          </w:p>
        </w:tc>
        <w:tc>
          <w:tcPr>
            <w:tcW w:w="1217" w:type="pct"/>
            <w:vAlign w:val="center"/>
          </w:tcPr>
          <w:p w14:paraId="4F2021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萘</w:t>
            </w:r>
          </w:p>
        </w:tc>
        <w:tc>
          <w:tcPr>
            <w:tcW w:w="801" w:type="pct"/>
            <w:vAlign w:val="center"/>
          </w:tcPr>
          <w:p w14:paraId="1EA221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91-20-3</w:t>
            </w:r>
          </w:p>
        </w:tc>
        <w:tc>
          <w:tcPr>
            <w:tcW w:w="622" w:type="pct"/>
            <w:vAlign w:val="center"/>
          </w:tcPr>
          <w:p w14:paraId="4CF119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25</w:t>
            </w:r>
          </w:p>
        </w:tc>
        <w:tc>
          <w:tcPr>
            <w:tcW w:w="622" w:type="pct"/>
            <w:vAlign w:val="center"/>
          </w:tcPr>
          <w:p w14:paraId="585D88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70</w:t>
            </w:r>
          </w:p>
        </w:tc>
        <w:tc>
          <w:tcPr>
            <w:tcW w:w="592" w:type="pct"/>
            <w:vAlign w:val="center"/>
          </w:tcPr>
          <w:p w14:paraId="17584E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255</w:t>
            </w:r>
          </w:p>
        </w:tc>
        <w:tc>
          <w:tcPr>
            <w:tcW w:w="649" w:type="pct"/>
            <w:vAlign w:val="center"/>
          </w:tcPr>
          <w:p w14:paraId="31C8FB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700</w:t>
            </w:r>
          </w:p>
        </w:tc>
      </w:tr>
      <w:tr w14:paraId="09436C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7"/>
            <w:vAlign w:val="center"/>
          </w:tcPr>
          <w:p w14:paraId="2E1117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石油烃类</w:t>
            </w:r>
          </w:p>
        </w:tc>
      </w:tr>
      <w:tr w14:paraId="2FD4F7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95" w:type="pct"/>
            <w:vAlign w:val="center"/>
          </w:tcPr>
          <w:p w14:paraId="44F63E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46</w:t>
            </w:r>
          </w:p>
        </w:tc>
        <w:tc>
          <w:tcPr>
            <w:tcW w:w="1217" w:type="pct"/>
            <w:vAlign w:val="center"/>
          </w:tcPr>
          <w:p w14:paraId="4C8A33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石油烃（C</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10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40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801" w:type="pct"/>
            <w:vAlign w:val="center"/>
          </w:tcPr>
          <w:p w14:paraId="4C739F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622" w:type="pct"/>
            <w:vAlign w:val="center"/>
          </w:tcPr>
          <w:p w14:paraId="2DA192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826</w:t>
            </w:r>
          </w:p>
        </w:tc>
        <w:tc>
          <w:tcPr>
            <w:tcW w:w="622" w:type="pct"/>
            <w:vAlign w:val="center"/>
          </w:tcPr>
          <w:p w14:paraId="64FC57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4500</w:t>
            </w:r>
          </w:p>
        </w:tc>
        <w:tc>
          <w:tcPr>
            <w:tcW w:w="592" w:type="pct"/>
            <w:vAlign w:val="center"/>
          </w:tcPr>
          <w:p w14:paraId="1504A9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5000</w:t>
            </w:r>
          </w:p>
        </w:tc>
        <w:tc>
          <w:tcPr>
            <w:tcW w:w="649" w:type="pct"/>
            <w:vAlign w:val="center"/>
          </w:tcPr>
          <w:p w14:paraId="624008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9000</w:t>
            </w:r>
          </w:p>
        </w:tc>
      </w:tr>
      <w:tr w14:paraId="3C81F5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7"/>
            <w:vAlign w:val="center"/>
          </w:tcPr>
          <w:p w14:paraId="09527C94">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注：①具体地块土壤中污染物检测含量超过筛选值，但等于或者低于土壤环境背景值（见3.6）水平的，不纳入污染地块管理。土壤环境背景值可参见《土壤环境质量建设用地土壤污染风险管控标准（试行）》（GB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36600-2018）附录A。</w:t>
            </w:r>
          </w:p>
        </w:tc>
      </w:tr>
    </w:tbl>
    <w:p w14:paraId="60A5079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19" w:name="_Toc144276874"/>
      <w:bookmarkStart w:id="120" w:name="_Toc187011286"/>
      <w:bookmarkStart w:id="121" w:name="_Toc13450"/>
      <w:bookmarkStart w:id="122" w:name="_Toc164200765"/>
      <w:bookmarkStart w:id="123" w:name="_Toc144236744"/>
      <w:r>
        <w:rPr>
          <w:rFonts w:hint="default" w:ascii="Times New Roman" w:hAnsi="Times New Roman" w:eastAsia="宋体" w:cs="Times New Roman"/>
          <w:color w:val="000000" w:themeColor="text1"/>
          <w:u w:val="none" w:color="auto"/>
          <w14:textFill>
            <w14:solidFill>
              <w14:schemeClr w14:val="tx1"/>
            </w14:solidFill>
          </w14:textFill>
        </w:rPr>
        <w:t>2.5.2 污染物排放标准</w:t>
      </w:r>
      <w:bookmarkEnd w:id="119"/>
      <w:bookmarkEnd w:id="120"/>
      <w:bookmarkEnd w:id="121"/>
      <w:bookmarkEnd w:id="122"/>
      <w:bookmarkEnd w:id="123"/>
    </w:p>
    <w:p w14:paraId="3622071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（1）废气</w:t>
      </w:r>
    </w:p>
    <w:p w14:paraId="5276331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运营期有组织排放的氨、硫化氢、臭气浓度</w:t>
      </w:r>
      <w:r>
        <w:rPr>
          <w:rFonts w:hint="default" w:ascii="Times New Roman" w:hAnsi="Times New Roman" w:eastAsia="宋体" w:cs="Times New Roman"/>
          <w:color w:val="000000" w:themeColor="text1"/>
          <w:u w:val="none" w:color="auto"/>
          <w14:textFill>
            <w14:solidFill>
              <w14:schemeClr w14:val="tx1"/>
            </w14:solidFill>
          </w14:textFill>
        </w:rPr>
        <w:t>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w:t>
      </w:r>
      <w:r>
        <w:rPr>
          <w:rFonts w:hint="default" w:ascii="Times New Roman" w:hAnsi="Times New Roman" w:eastAsia="宋体" w:cs="Times New Roman"/>
          <w:color w:val="000000" w:themeColor="text1"/>
          <w:u w:val="none" w:color="auto"/>
          <w14:textFill>
            <w14:solidFill>
              <w14:schemeClr w14:val="tx1"/>
            </w14:solidFill>
          </w14:textFill>
        </w:rPr>
        <w:t>排放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标准要求</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r>
        <w:rPr>
          <w:rFonts w:hint="default" w:ascii="Times New Roman" w:hAnsi="Times New Roman" w:eastAsia="宋体" w:cs="Times New Roman"/>
          <w:color w:val="000000" w:themeColor="text1"/>
          <w:u w:val="none" w:color="auto"/>
          <w14:textFill>
            <w14:solidFill>
              <w14:schemeClr w14:val="tx1"/>
            </w14:solidFill>
          </w14:textFill>
        </w:rPr>
        <w:t>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r>
        <w:rPr>
          <w:rFonts w:hint="default" w:ascii="Times New Roman" w:hAnsi="Times New Roman" w:eastAsia="宋体" w:cs="Times New Roman"/>
          <w:color w:val="000000" w:themeColor="text1"/>
          <w:u w:val="none" w:color="auto"/>
          <w14:textFill>
            <w14:solidFill>
              <w14:schemeClr w14:val="tx1"/>
            </w14:solidFill>
          </w14:textFill>
        </w:rPr>
        <w:t>。</w:t>
      </w:r>
    </w:p>
    <w:p w14:paraId="1B93461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运营期无组织排放氨、硫化氢、臭气浓度</w:t>
      </w:r>
      <w:r>
        <w:rPr>
          <w:rFonts w:hint="default" w:ascii="Times New Roman" w:hAnsi="Times New Roman" w:eastAsia="宋体" w:cs="Times New Roman"/>
          <w:color w:val="000000" w:themeColor="text1"/>
          <w:u w:val="none" w:color="auto"/>
          <w14:textFill>
            <w14:solidFill>
              <w14:schemeClr w14:val="tx1"/>
            </w14:solidFill>
          </w14:textFill>
        </w:rPr>
        <w:t>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二级新改扩建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项目的要求</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r>
        <w:rPr>
          <w:rFonts w:hint="default" w:ascii="Times New Roman" w:hAnsi="Times New Roman" w:eastAsia="宋体" w:cs="Times New Roman"/>
          <w:color w:val="000000" w:themeColor="text1"/>
          <w:u w:val="none" w:color="auto"/>
          <w14:textFill>
            <w14:solidFill>
              <w14:schemeClr w14:val="tx1"/>
            </w14:solidFill>
          </w14:textFill>
        </w:rPr>
        <w:t>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r>
        <w:rPr>
          <w:rFonts w:hint="default" w:ascii="Times New Roman" w:hAnsi="Times New Roman" w:eastAsia="宋体" w:cs="Times New Roman"/>
          <w:color w:val="000000" w:themeColor="text1"/>
          <w:u w:val="none" w:color="auto"/>
          <w14:textFill>
            <w14:solidFill>
              <w14:schemeClr w14:val="tx1"/>
            </w14:solidFill>
          </w14:textFill>
        </w:rPr>
        <w:t>。具体标准限值详见下表。</w:t>
      </w:r>
    </w:p>
    <w:p w14:paraId="7BF39093">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有组织废气排放执行标准</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74"/>
        <w:gridCol w:w="3312"/>
        <w:gridCol w:w="2843"/>
      </w:tblGrid>
      <w:tr w14:paraId="5E49AD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391" w:type="pct"/>
            <w:vAlign w:val="center"/>
          </w:tcPr>
          <w:p w14:paraId="49FE63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污染物因子</w:t>
            </w:r>
          </w:p>
        </w:tc>
        <w:tc>
          <w:tcPr>
            <w:tcW w:w="1941" w:type="pct"/>
            <w:vAlign w:val="center"/>
          </w:tcPr>
          <w:p w14:paraId="3F3CB29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排放标准</w:t>
            </w:r>
          </w:p>
        </w:tc>
        <w:tc>
          <w:tcPr>
            <w:tcW w:w="1666" w:type="pct"/>
            <w:vAlign w:val="center"/>
          </w:tcPr>
          <w:p w14:paraId="169B48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执行标准</w:t>
            </w:r>
          </w:p>
        </w:tc>
      </w:tr>
      <w:tr w14:paraId="1E3C19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1" w:type="pct"/>
            <w:vAlign w:val="center"/>
          </w:tcPr>
          <w:p w14:paraId="4B9795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w:t>
            </w:r>
          </w:p>
        </w:tc>
        <w:tc>
          <w:tcPr>
            <w:tcW w:w="1941" w:type="pct"/>
            <w:vAlign w:val="center"/>
          </w:tcPr>
          <w:p w14:paraId="114820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4.9（kg/h）</w:t>
            </w:r>
          </w:p>
        </w:tc>
        <w:tc>
          <w:tcPr>
            <w:tcW w:w="1666" w:type="pct"/>
            <w:vMerge w:val="restart"/>
            <w:vAlign w:val="center"/>
          </w:tcPr>
          <w:p w14:paraId="170E64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w:t>
            </w:r>
            <w:r>
              <w:rPr>
                <w:rFonts w:hint="default" w:ascii="Times New Roman" w:hAnsi="Times New Roman" w:eastAsia="宋体" w:cs="Times New Roman"/>
                <w:color w:val="000000" w:themeColor="text1"/>
                <w:u w:val="none" w:color="auto"/>
                <w14:textFill>
                  <w14:solidFill>
                    <w14:schemeClr w14:val="tx1"/>
                  </w14:solidFill>
                </w14:textFill>
              </w:rPr>
              <w:t>排放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标准要求</w:t>
            </w:r>
          </w:p>
        </w:tc>
      </w:tr>
      <w:tr w14:paraId="540E58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1" w:type="pct"/>
            <w:vAlign w:val="center"/>
          </w:tcPr>
          <w:p w14:paraId="029FB8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1941" w:type="pct"/>
            <w:vAlign w:val="center"/>
          </w:tcPr>
          <w:p w14:paraId="4479EE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0.33（kg/h）</w:t>
            </w:r>
          </w:p>
        </w:tc>
        <w:tc>
          <w:tcPr>
            <w:tcW w:w="1666" w:type="pct"/>
            <w:vMerge w:val="continue"/>
            <w:vAlign w:val="center"/>
          </w:tcPr>
          <w:p w14:paraId="14C13B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38D243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1" w:type="pct"/>
            <w:vAlign w:val="center"/>
          </w:tcPr>
          <w:p w14:paraId="455B07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1941" w:type="pct"/>
            <w:vAlign w:val="center"/>
          </w:tcPr>
          <w:p w14:paraId="502D4B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2000（无量纲）</w:t>
            </w:r>
          </w:p>
        </w:tc>
        <w:tc>
          <w:tcPr>
            <w:tcW w:w="1666" w:type="pct"/>
            <w:vMerge w:val="continue"/>
            <w:vAlign w:val="center"/>
          </w:tcPr>
          <w:p w14:paraId="74C807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664BB6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1" w:type="pct"/>
            <w:vAlign w:val="center"/>
          </w:tcPr>
          <w:p w14:paraId="22934C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1941" w:type="pct"/>
            <w:vAlign w:val="center"/>
          </w:tcPr>
          <w:p w14:paraId="07F9DE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20</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0DCE16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10（kg/h）</w:t>
            </w:r>
          </w:p>
        </w:tc>
        <w:tc>
          <w:tcPr>
            <w:tcW w:w="1666" w:type="pct"/>
            <w:vAlign w:val="center"/>
          </w:tcPr>
          <w:p w14:paraId="17C7C7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r>
    </w:tbl>
    <w:p w14:paraId="4A52B06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 xml:space="preserve">  无组织废气排放执行标准</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74"/>
        <w:gridCol w:w="1285"/>
        <w:gridCol w:w="2027"/>
        <w:gridCol w:w="2843"/>
      </w:tblGrid>
      <w:tr w14:paraId="5BDD66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391" w:type="pct"/>
            <w:vAlign w:val="center"/>
          </w:tcPr>
          <w:p w14:paraId="614684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污染物因子</w:t>
            </w:r>
          </w:p>
        </w:tc>
        <w:tc>
          <w:tcPr>
            <w:tcW w:w="1941" w:type="pct"/>
            <w:gridSpan w:val="2"/>
            <w:vAlign w:val="center"/>
          </w:tcPr>
          <w:p w14:paraId="695E08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无组织排放限值</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1666" w:type="pct"/>
            <w:vAlign w:val="center"/>
          </w:tcPr>
          <w:p w14:paraId="5775C3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执行标准</w:t>
            </w:r>
          </w:p>
        </w:tc>
      </w:tr>
      <w:tr w14:paraId="760773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1" w:type="pct"/>
            <w:vAlign w:val="center"/>
          </w:tcPr>
          <w:p w14:paraId="57A1C8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w:t>
            </w:r>
          </w:p>
        </w:tc>
        <w:tc>
          <w:tcPr>
            <w:tcW w:w="753" w:type="pct"/>
            <w:vAlign w:val="center"/>
          </w:tcPr>
          <w:p w14:paraId="74889DE4">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厂界</w:t>
            </w:r>
          </w:p>
        </w:tc>
        <w:tc>
          <w:tcPr>
            <w:tcW w:w="1188" w:type="pct"/>
            <w:vAlign w:val="center"/>
          </w:tcPr>
          <w:p w14:paraId="5D6882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666" w:type="pct"/>
            <w:vMerge w:val="restart"/>
            <w:vAlign w:val="center"/>
          </w:tcPr>
          <w:p w14:paraId="381E1B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表1中</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二级新改扩建</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项目的要求</w:t>
            </w:r>
          </w:p>
        </w:tc>
      </w:tr>
      <w:tr w14:paraId="254C52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1" w:type="pct"/>
            <w:vAlign w:val="center"/>
          </w:tcPr>
          <w:p w14:paraId="16E265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753" w:type="pct"/>
            <w:vAlign w:val="center"/>
          </w:tcPr>
          <w:p w14:paraId="0656CC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厂界</w:t>
            </w:r>
          </w:p>
        </w:tc>
        <w:tc>
          <w:tcPr>
            <w:tcW w:w="1188" w:type="pct"/>
            <w:vAlign w:val="center"/>
          </w:tcPr>
          <w:p w14:paraId="63C601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0.06</w:t>
            </w:r>
          </w:p>
        </w:tc>
        <w:tc>
          <w:tcPr>
            <w:tcW w:w="1666" w:type="pct"/>
            <w:vMerge w:val="continue"/>
            <w:vAlign w:val="center"/>
          </w:tcPr>
          <w:p w14:paraId="3F8CA2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7157B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1" w:type="pct"/>
            <w:vAlign w:val="center"/>
          </w:tcPr>
          <w:p w14:paraId="7BF8CA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753" w:type="pct"/>
            <w:vAlign w:val="center"/>
          </w:tcPr>
          <w:p w14:paraId="127603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厂界</w:t>
            </w:r>
          </w:p>
        </w:tc>
        <w:tc>
          <w:tcPr>
            <w:tcW w:w="1188" w:type="pct"/>
            <w:vAlign w:val="center"/>
          </w:tcPr>
          <w:p w14:paraId="0D2D45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20（无量纲）</w:t>
            </w:r>
          </w:p>
        </w:tc>
        <w:tc>
          <w:tcPr>
            <w:tcW w:w="1666" w:type="pct"/>
            <w:vMerge w:val="continue"/>
            <w:vAlign w:val="center"/>
          </w:tcPr>
          <w:p w14:paraId="1F80E3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0859B4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1" w:type="pct"/>
            <w:vMerge w:val="restart"/>
            <w:vAlign w:val="center"/>
          </w:tcPr>
          <w:p w14:paraId="040458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753" w:type="pct"/>
            <w:vAlign w:val="center"/>
          </w:tcPr>
          <w:p w14:paraId="4DD8DC5E">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厂界</w:t>
            </w:r>
          </w:p>
        </w:tc>
        <w:tc>
          <w:tcPr>
            <w:tcW w:w="1188" w:type="pct"/>
            <w:vAlign w:val="center"/>
          </w:tcPr>
          <w:p w14:paraId="344796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w:t>
            </w:r>
          </w:p>
        </w:tc>
        <w:tc>
          <w:tcPr>
            <w:tcW w:w="1666" w:type="pct"/>
            <w:vAlign w:val="center"/>
          </w:tcPr>
          <w:p w14:paraId="407CA1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r>
      <w:tr w14:paraId="6E121E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91" w:type="pct"/>
            <w:vMerge w:val="continue"/>
            <w:vAlign w:val="center"/>
          </w:tcPr>
          <w:p w14:paraId="33C940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753" w:type="pct"/>
            <w:vAlign w:val="center"/>
          </w:tcPr>
          <w:p w14:paraId="5B27B1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生产车间外（厂区内）</w:t>
            </w:r>
          </w:p>
        </w:tc>
        <w:tc>
          <w:tcPr>
            <w:tcW w:w="1188" w:type="pct"/>
            <w:vAlign w:val="center"/>
          </w:tcPr>
          <w:p w14:paraId="15505730">
            <w:pPr>
              <w:pStyle w:val="68"/>
              <w:keepNext w:val="0"/>
              <w:keepLines w:val="0"/>
              <w:pageBreakBefore w:val="0"/>
              <w:widowControl w:val="0"/>
              <w:kinsoku/>
              <w:wordWrap/>
              <w:overflowPunct/>
              <w:topLinePunct w:val="0"/>
              <w:bidi w:val="0"/>
              <w:rPr>
                <w:rFonts w:hint="eastAsia"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10（监控点处1 h平均浓度值）；</w:t>
            </w:r>
          </w:p>
          <w:p w14:paraId="7756FB09">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30（监控点处任意一次浓度值）</w:t>
            </w:r>
          </w:p>
        </w:tc>
        <w:tc>
          <w:tcPr>
            <w:tcW w:w="1666" w:type="pct"/>
            <w:vAlign w:val="center"/>
          </w:tcPr>
          <w:p w14:paraId="2CD1B1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"https://www.mee.gov.cn/ywgz/fgbz/bz/bzwb/dqhjbh/dqgdwrywrwpfbz/201906/W020190606587693632696.pdf"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挥发性有机物无组织排放控制标准</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37822</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2019）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eastAsia" w:eastAsia="宋体" w:cs="Times New Roman"/>
                <w:color w:val="000000" w:themeColor="text1"/>
                <w:u w:val="none" w:color="auto"/>
                <w:lang w:val="en-US" w:eastAsia="zh-CN"/>
                <w14:textFill>
                  <w14:solidFill>
                    <w14:schemeClr w14:val="tx1"/>
                  </w14:solidFill>
                </w14:textFill>
              </w:rPr>
              <w:t>表A.1排放限值</w:t>
            </w:r>
          </w:p>
        </w:tc>
      </w:tr>
    </w:tbl>
    <w:p w14:paraId="745F6B7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（2）废水</w:t>
      </w:r>
    </w:p>
    <w:p w14:paraId="04EB7AF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运营期产生的废水包括生活废水、生产废水，其中生产废水包括废弃油脂加工工序产生的废水、地面拖洗废水、车辆清洗废水、设备管道清洗废水、喷淋塔循环废水。生产废水经密闭管道收集汇入隔油池+A/O预处理达到《污水综合排放标准》（GB 8978-1996）表4三级标准及平江高新技术产业园污水处理厂进水水质要求中的较严值后，</w:t>
      </w:r>
      <w:r>
        <w:rPr>
          <w:rFonts w:hint="default" w:ascii="Times New Roman" w:hAnsi="Times New Roman" w:eastAsia="宋体" w:cs="Times New Roman"/>
          <w:color w:val="000000" w:themeColor="text1"/>
          <w:u w:val="none" w:color="auto"/>
          <w14:textFill>
            <w14:solidFill>
              <w14:schemeClr w14:val="tx1"/>
            </w14:solidFill>
          </w14:textFill>
        </w:rPr>
        <w:t>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；生活污水经园区化粪池处理</w:t>
      </w:r>
      <w:r>
        <w:rPr>
          <w:rFonts w:hint="default" w:ascii="Times New Roman" w:hAnsi="Times New Roman" w:eastAsia="宋体" w:cs="Times New Roman"/>
          <w:color w:val="000000" w:themeColor="text1"/>
          <w:u w:val="none" w:color="auto"/>
          <w14:textFill>
            <w14:solidFill>
              <w14:schemeClr w14:val="tx1"/>
            </w14:solidFill>
          </w14:textFill>
        </w:rPr>
        <w:t>达到</w:t>
      </w:r>
      <w:r>
        <w:rPr>
          <w:rFonts w:hint="default" w:ascii="Times New Roman" w:hAnsi="Times New Roman" w:eastAsia="宋体" w:cs="Times New Roman"/>
          <w:color w:val="000000" w:themeColor="text1"/>
          <w:szCs w:val="24"/>
          <w:u w:val="none" w:color="auto"/>
          <w14:textFill>
            <w14:solidFill>
              <w14:schemeClr w14:val="tx1"/>
            </w14:solidFill>
          </w14:textFill>
        </w:rPr>
        <w:t>《污水综合排放标准》（GB</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Cs w:val="24"/>
          <w:u w:val="none" w:color="auto"/>
          <w14:textFill>
            <w14:solidFill>
              <w14:schemeClr w14:val="tx1"/>
            </w14:solidFill>
          </w14:textFill>
        </w:rPr>
        <w:t>8978-1996）表4三级标准及平江高新技术产业园污水处理厂进水水质要求中的较严值</w:t>
      </w:r>
      <w:r>
        <w:rPr>
          <w:rFonts w:hint="default" w:ascii="Times New Roman" w:hAnsi="Times New Roman" w:eastAsia="宋体" w:cs="Times New Roman"/>
          <w:color w:val="000000" w:themeColor="text1"/>
          <w:u w:val="none" w:color="auto"/>
          <w14:textFill>
            <w14:solidFill>
              <w14:schemeClr w14:val="tx1"/>
            </w14:solidFill>
          </w14:textFill>
        </w:rPr>
        <w:t>后</w:t>
      </w:r>
      <w:r>
        <w:rPr>
          <w:rFonts w:hint="default" w:ascii="Times New Roman" w:hAnsi="Times New Roman" w:eastAsia="宋体" w:cs="Times New Roman"/>
          <w:color w:val="000000" w:themeColor="text1"/>
          <w:szCs w:val="24"/>
          <w:u w:val="none" w:color="auto"/>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p>
    <w:p w14:paraId="58D9872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8 </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废水</w:t>
      </w:r>
      <w:r>
        <w:rPr>
          <w:rFonts w:hint="default" w:ascii="Times New Roman" w:hAnsi="Times New Roman" w:eastAsia="宋体" w:cs="Times New Roman"/>
          <w:color w:val="000000" w:themeColor="text1"/>
          <w:u w:val="none" w:color="auto"/>
          <w14:textFill>
            <w14:solidFill>
              <w14:schemeClr w14:val="tx1"/>
            </w14:solidFill>
          </w14:textFill>
        </w:rPr>
        <w:t>排放标准  单位：mg/L</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pH值：无量纲</w:t>
      </w:r>
    </w:p>
    <w:tbl>
      <w:tblPr>
        <w:tblStyle w:val="38"/>
        <w:tblW w:w="501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577"/>
        <w:gridCol w:w="754"/>
        <w:gridCol w:w="754"/>
        <w:gridCol w:w="754"/>
        <w:gridCol w:w="754"/>
        <w:gridCol w:w="754"/>
        <w:gridCol w:w="975"/>
        <w:gridCol w:w="644"/>
        <w:gridCol w:w="644"/>
        <w:gridCol w:w="758"/>
      </w:tblGrid>
      <w:tr w14:paraId="31B5F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41" w:type="pct"/>
            <w:vAlign w:val="center"/>
          </w:tcPr>
          <w:p w14:paraId="2C230E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w:t>
            </w:r>
          </w:p>
        </w:tc>
        <w:tc>
          <w:tcPr>
            <w:tcW w:w="450" w:type="pct"/>
            <w:vAlign w:val="center"/>
          </w:tcPr>
          <w:p w14:paraId="57F13A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pH</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值</w:t>
            </w:r>
          </w:p>
        </w:tc>
        <w:tc>
          <w:tcPr>
            <w:tcW w:w="450" w:type="pct"/>
            <w:vAlign w:val="center"/>
          </w:tcPr>
          <w:p w14:paraId="5C6576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SS</w:t>
            </w:r>
          </w:p>
        </w:tc>
        <w:tc>
          <w:tcPr>
            <w:tcW w:w="450" w:type="pct"/>
            <w:vAlign w:val="center"/>
          </w:tcPr>
          <w:p w14:paraId="3B7F59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COD</w:t>
            </w:r>
          </w:p>
        </w:tc>
        <w:tc>
          <w:tcPr>
            <w:tcW w:w="450" w:type="pct"/>
            <w:vAlign w:val="center"/>
          </w:tcPr>
          <w:p w14:paraId="1F8FBC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w:t>
            </w:r>
          </w:p>
        </w:tc>
        <w:tc>
          <w:tcPr>
            <w:tcW w:w="450" w:type="pct"/>
            <w:vAlign w:val="center"/>
          </w:tcPr>
          <w:p w14:paraId="684AC2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BOD</w:t>
            </w:r>
            <w:r>
              <w:rPr>
                <w:rFonts w:hint="default" w:ascii="Times New Roman" w:hAnsi="Times New Roman" w:eastAsia="宋体" w:cs="Times New Roman"/>
                <w:color w:val="000000" w:themeColor="text1"/>
                <w:u w:val="none" w:color="auto"/>
                <w:vertAlign w:val="subscript"/>
                <w14:textFill>
                  <w14:solidFill>
                    <w14:schemeClr w14:val="tx1"/>
                  </w14:solidFill>
                </w14:textFill>
              </w:rPr>
              <w:t>5</w:t>
            </w:r>
          </w:p>
        </w:tc>
        <w:tc>
          <w:tcPr>
            <w:tcW w:w="582" w:type="pct"/>
            <w:vAlign w:val="center"/>
          </w:tcPr>
          <w:p w14:paraId="1703C5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动植物油</w:t>
            </w:r>
          </w:p>
        </w:tc>
        <w:tc>
          <w:tcPr>
            <w:tcW w:w="384" w:type="pct"/>
            <w:vAlign w:val="center"/>
          </w:tcPr>
          <w:p w14:paraId="06BC38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TP</w:t>
            </w:r>
          </w:p>
        </w:tc>
        <w:tc>
          <w:tcPr>
            <w:tcW w:w="384" w:type="pct"/>
            <w:vAlign w:val="center"/>
          </w:tcPr>
          <w:p w14:paraId="7DDFF6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TN</w:t>
            </w:r>
          </w:p>
        </w:tc>
        <w:tc>
          <w:tcPr>
            <w:tcW w:w="452" w:type="pct"/>
            <w:vAlign w:val="center"/>
          </w:tcPr>
          <w:p w14:paraId="1408D3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石油类</w:t>
            </w:r>
          </w:p>
        </w:tc>
      </w:tr>
      <w:tr w14:paraId="6FC582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41" w:type="pct"/>
            <w:vAlign w:val="center"/>
          </w:tcPr>
          <w:p w14:paraId="2DCA83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平江高新技术产业园污水处理厂进水水质要求</w:t>
            </w:r>
          </w:p>
        </w:tc>
        <w:tc>
          <w:tcPr>
            <w:tcW w:w="450" w:type="pct"/>
            <w:vAlign w:val="center"/>
          </w:tcPr>
          <w:p w14:paraId="4D2645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6~9</w:t>
            </w:r>
          </w:p>
        </w:tc>
        <w:tc>
          <w:tcPr>
            <w:tcW w:w="450" w:type="pct"/>
            <w:vAlign w:val="center"/>
          </w:tcPr>
          <w:p w14:paraId="504E4B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0</w:t>
            </w:r>
          </w:p>
        </w:tc>
        <w:tc>
          <w:tcPr>
            <w:tcW w:w="450" w:type="pct"/>
            <w:vAlign w:val="center"/>
          </w:tcPr>
          <w:p w14:paraId="66ADF1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500</w:t>
            </w:r>
          </w:p>
        </w:tc>
        <w:tc>
          <w:tcPr>
            <w:tcW w:w="450" w:type="pct"/>
            <w:vAlign w:val="center"/>
          </w:tcPr>
          <w:p w14:paraId="3A0CDC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5</w:t>
            </w:r>
          </w:p>
        </w:tc>
        <w:tc>
          <w:tcPr>
            <w:tcW w:w="450" w:type="pct"/>
            <w:vAlign w:val="center"/>
          </w:tcPr>
          <w:p w14:paraId="1A6664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160</w:t>
            </w:r>
          </w:p>
        </w:tc>
        <w:tc>
          <w:tcPr>
            <w:tcW w:w="582" w:type="pct"/>
            <w:vAlign w:val="center"/>
          </w:tcPr>
          <w:p w14:paraId="652EA7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w:t>
            </w:r>
          </w:p>
        </w:tc>
        <w:tc>
          <w:tcPr>
            <w:tcW w:w="384" w:type="pct"/>
            <w:vAlign w:val="center"/>
          </w:tcPr>
          <w:p w14:paraId="49DB3E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22</w:t>
            </w:r>
          </w:p>
        </w:tc>
        <w:tc>
          <w:tcPr>
            <w:tcW w:w="384" w:type="pct"/>
            <w:vAlign w:val="center"/>
          </w:tcPr>
          <w:p w14:paraId="7AEDE6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70</w:t>
            </w:r>
          </w:p>
        </w:tc>
        <w:tc>
          <w:tcPr>
            <w:tcW w:w="452" w:type="pct"/>
            <w:vAlign w:val="center"/>
          </w:tcPr>
          <w:p w14:paraId="13A9AF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r>
      <w:tr w14:paraId="03FDC9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41" w:type="pct"/>
            <w:vAlign w:val="center"/>
          </w:tcPr>
          <w:p w14:paraId="073000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GB8978-1996</w:t>
            </w:r>
            <w:r>
              <w:rPr>
                <w:rFonts w:hint="eastAsia" w:eastAsia="宋体" w:cs="Times New Roman"/>
                <w:color w:val="000000" w:themeColor="text1"/>
                <w:u w:val="none" w:color="auto"/>
                <w:lang w:val="en-US" w:eastAsia="zh-CN"/>
                <w14:textFill>
                  <w14:solidFill>
                    <w14:schemeClr w14:val="tx1"/>
                  </w14:solidFill>
                </w14:textFill>
              </w:rPr>
              <w:t>表4</w:t>
            </w:r>
            <w:r>
              <w:rPr>
                <w:rFonts w:hint="default" w:ascii="Times New Roman" w:hAnsi="Times New Roman" w:eastAsia="宋体" w:cs="Times New Roman"/>
                <w:color w:val="000000" w:themeColor="text1"/>
                <w:u w:val="none" w:color="auto"/>
                <w14:textFill>
                  <w14:solidFill>
                    <w14:schemeClr w14:val="tx1"/>
                  </w14:solidFill>
                </w14:textFill>
              </w:rPr>
              <w:t>三级标准值</w:t>
            </w:r>
          </w:p>
        </w:tc>
        <w:tc>
          <w:tcPr>
            <w:tcW w:w="450" w:type="pct"/>
            <w:vAlign w:val="center"/>
          </w:tcPr>
          <w:p w14:paraId="577CC0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6~9</w:t>
            </w:r>
          </w:p>
        </w:tc>
        <w:tc>
          <w:tcPr>
            <w:tcW w:w="450" w:type="pct"/>
            <w:vAlign w:val="center"/>
          </w:tcPr>
          <w:p w14:paraId="67EC8A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400</w:t>
            </w:r>
          </w:p>
        </w:tc>
        <w:tc>
          <w:tcPr>
            <w:tcW w:w="450" w:type="pct"/>
            <w:vAlign w:val="center"/>
          </w:tcPr>
          <w:p w14:paraId="7893AE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500</w:t>
            </w:r>
          </w:p>
        </w:tc>
        <w:tc>
          <w:tcPr>
            <w:tcW w:w="450" w:type="pct"/>
            <w:vAlign w:val="center"/>
          </w:tcPr>
          <w:p w14:paraId="54A7EF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50" w:type="pct"/>
            <w:vAlign w:val="center"/>
          </w:tcPr>
          <w:p w14:paraId="49A99E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300</w:t>
            </w:r>
          </w:p>
        </w:tc>
        <w:tc>
          <w:tcPr>
            <w:tcW w:w="582" w:type="pct"/>
            <w:vAlign w:val="center"/>
          </w:tcPr>
          <w:p w14:paraId="0B3CA8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w:t>
            </w:r>
          </w:p>
        </w:tc>
        <w:tc>
          <w:tcPr>
            <w:tcW w:w="384" w:type="pct"/>
            <w:vAlign w:val="center"/>
          </w:tcPr>
          <w:p w14:paraId="3126C9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384" w:type="pct"/>
            <w:vAlign w:val="center"/>
          </w:tcPr>
          <w:p w14:paraId="3815BB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52" w:type="pct"/>
            <w:vAlign w:val="center"/>
          </w:tcPr>
          <w:p w14:paraId="34BAF9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58A431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41" w:type="pct"/>
            <w:vAlign w:val="center"/>
          </w:tcPr>
          <w:p w14:paraId="3A1582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本项目生活污水执行标准</w:t>
            </w:r>
          </w:p>
        </w:tc>
        <w:tc>
          <w:tcPr>
            <w:tcW w:w="450" w:type="pct"/>
            <w:vAlign w:val="center"/>
          </w:tcPr>
          <w:p w14:paraId="664CD4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6~9</w:t>
            </w:r>
          </w:p>
        </w:tc>
        <w:tc>
          <w:tcPr>
            <w:tcW w:w="450" w:type="pct"/>
            <w:vAlign w:val="center"/>
          </w:tcPr>
          <w:p w14:paraId="2C831B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0</w:t>
            </w:r>
          </w:p>
        </w:tc>
        <w:tc>
          <w:tcPr>
            <w:tcW w:w="450" w:type="pct"/>
            <w:vAlign w:val="center"/>
          </w:tcPr>
          <w:p w14:paraId="3CB8A9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500</w:t>
            </w:r>
          </w:p>
        </w:tc>
        <w:tc>
          <w:tcPr>
            <w:tcW w:w="450" w:type="pct"/>
            <w:vAlign w:val="center"/>
          </w:tcPr>
          <w:p w14:paraId="135927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5</w:t>
            </w:r>
          </w:p>
        </w:tc>
        <w:tc>
          <w:tcPr>
            <w:tcW w:w="450" w:type="pct"/>
            <w:vAlign w:val="center"/>
          </w:tcPr>
          <w:p w14:paraId="5E4683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16</w:t>
            </w:r>
            <w:r>
              <w:rPr>
                <w:rFonts w:hint="default" w:ascii="Times New Roman" w:hAnsi="Times New Roman" w:eastAsia="宋体" w:cs="Times New Roman"/>
                <w:color w:val="000000" w:themeColor="text1"/>
                <w:u w:val="none" w:color="auto"/>
                <w14:textFill>
                  <w14:solidFill>
                    <w14:schemeClr w14:val="tx1"/>
                  </w14:solidFill>
                </w14:textFill>
              </w:rPr>
              <w:t>0</w:t>
            </w:r>
          </w:p>
        </w:tc>
        <w:tc>
          <w:tcPr>
            <w:tcW w:w="582" w:type="pct"/>
            <w:vAlign w:val="center"/>
          </w:tcPr>
          <w:p w14:paraId="52224D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w:t>
            </w:r>
          </w:p>
        </w:tc>
        <w:tc>
          <w:tcPr>
            <w:tcW w:w="384" w:type="pct"/>
            <w:vAlign w:val="center"/>
          </w:tcPr>
          <w:p w14:paraId="09041B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22</w:t>
            </w:r>
          </w:p>
        </w:tc>
        <w:tc>
          <w:tcPr>
            <w:tcW w:w="384" w:type="pct"/>
            <w:vAlign w:val="center"/>
          </w:tcPr>
          <w:p w14:paraId="7DA52A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70</w:t>
            </w:r>
          </w:p>
        </w:tc>
        <w:tc>
          <w:tcPr>
            <w:tcW w:w="452" w:type="pct"/>
            <w:vAlign w:val="center"/>
          </w:tcPr>
          <w:p w14:paraId="446B04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r>
      <w:tr w14:paraId="52F6A7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41" w:type="pct"/>
            <w:vAlign w:val="center"/>
          </w:tcPr>
          <w:p w14:paraId="5F8527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本项目生产废水执行标准</w:t>
            </w:r>
          </w:p>
        </w:tc>
        <w:tc>
          <w:tcPr>
            <w:tcW w:w="450" w:type="pct"/>
            <w:shd w:val="clear" w:color="auto" w:fill="auto"/>
            <w:vAlign w:val="center"/>
          </w:tcPr>
          <w:p w14:paraId="76C64B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6~9</w:t>
            </w:r>
          </w:p>
        </w:tc>
        <w:tc>
          <w:tcPr>
            <w:tcW w:w="450" w:type="pct"/>
            <w:shd w:val="clear" w:color="auto" w:fill="auto"/>
            <w:vAlign w:val="center"/>
          </w:tcPr>
          <w:p w14:paraId="4B7865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0</w:t>
            </w:r>
          </w:p>
        </w:tc>
        <w:tc>
          <w:tcPr>
            <w:tcW w:w="450" w:type="pct"/>
            <w:shd w:val="clear" w:color="auto" w:fill="auto"/>
            <w:vAlign w:val="center"/>
          </w:tcPr>
          <w:p w14:paraId="327602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500</w:t>
            </w:r>
          </w:p>
        </w:tc>
        <w:tc>
          <w:tcPr>
            <w:tcW w:w="450" w:type="pct"/>
            <w:shd w:val="clear" w:color="auto" w:fill="auto"/>
            <w:vAlign w:val="center"/>
          </w:tcPr>
          <w:p w14:paraId="482579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5</w:t>
            </w:r>
          </w:p>
        </w:tc>
        <w:tc>
          <w:tcPr>
            <w:tcW w:w="450" w:type="pct"/>
            <w:shd w:val="clear" w:color="auto" w:fill="auto"/>
            <w:vAlign w:val="center"/>
          </w:tcPr>
          <w:p w14:paraId="035D77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16</w:t>
            </w:r>
            <w:r>
              <w:rPr>
                <w:rFonts w:hint="default" w:ascii="Times New Roman" w:hAnsi="Times New Roman" w:eastAsia="宋体" w:cs="Times New Roman"/>
                <w:color w:val="000000" w:themeColor="text1"/>
                <w:u w:val="none" w:color="auto"/>
                <w14:textFill>
                  <w14:solidFill>
                    <w14:schemeClr w14:val="tx1"/>
                  </w14:solidFill>
                </w14:textFill>
              </w:rPr>
              <w:t>0</w:t>
            </w:r>
          </w:p>
        </w:tc>
        <w:tc>
          <w:tcPr>
            <w:tcW w:w="582" w:type="pct"/>
            <w:shd w:val="clear" w:color="auto" w:fill="auto"/>
            <w:vAlign w:val="center"/>
          </w:tcPr>
          <w:p w14:paraId="72C5C3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w:t>
            </w:r>
          </w:p>
        </w:tc>
        <w:tc>
          <w:tcPr>
            <w:tcW w:w="384" w:type="pct"/>
            <w:shd w:val="clear" w:color="auto" w:fill="auto"/>
            <w:vAlign w:val="center"/>
          </w:tcPr>
          <w:p w14:paraId="28908F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22</w:t>
            </w:r>
          </w:p>
        </w:tc>
        <w:tc>
          <w:tcPr>
            <w:tcW w:w="384" w:type="pct"/>
            <w:shd w:val="clear" w:color="auto" w:fill="auto"/>
            <w:vAlign w:val="center"/>
          </w:tcPr>
          <w:p w14:paraId="11C5A4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70</w:t>
            </w:r>
          </w:p>
        </w:tc>
        <w:tc>
          <w:tcPr>
            <w:tcW w:w="452" w:type="pct"/>
            <w:shd w:val="clear" w:color="auto" w:fill="auto"/>
            <w:vAlign w:val="center"/>
          </w:tcPr>
          <w:p w14:paraId="3BC4DB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r>
    </w:tbl>
    <w:p w14:paraId="2E0AB23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（3）噪声</w:t>
      </w:r>
    </w:p>
    <w:p w14:paraId="6B64D2B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施工期噪声执行《建筑施工场界环境噪声排放标准》（GB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12523-2025）标准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限值</w:t>
      </w:r>
      <w:r>
        <w:rPr>
          <w:rFonts w:hint="default" w:ascii="Times New Roman" w:hAnsi="Times New Roman" w:eastAsia="宋体" w:cs="Times New Roman"/>
          <w:color w:val="000000" w:themeColor="text1"/>
          <w:u w:val="none" w:color="auto"/>
          <w14:textFill>
            <w14:solidFill>
              <w14:schemeClr w14:val="tx1"/>
            </w14:solidFill>
          </w14:textFill>
        </w:rPr>
        <w:t>，营运期厂界噪声执行《工业企业厂界环境噪声排放标准》（GB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12348-2008）中3类标准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限值</w:t>
      </w:r>
      <w:r>
        <w:rPr>
          <w:rFonts w:hint="default" w:ascii="Times New Roman" w:hAnsi="Times New Roman" w:eastAsia="宋体" w:cs="Times New Roman"/>
          <w:color w:val="000000" w:themeColor="text1"/>
          <w:u w:val="none" w:color="auto"/>
          <w14:textFill>
            <w14:solidFill>
              <w14:schemeClr w14:val="tx1"/>
            </w14:solidFill>
          </w14:textFill>
        </w:rPr>
        <w:t>，周边敏感点执行《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声环境质量</w:t>
      </w:r>
      <w:r>
        <w:rPr>
          <w:rFonts w:hint="default" w:ascii="Times New Roman" w:hAnsi="Times New Roman" w:eastAsia="宋体" w:cs="Times New Roman"/>
          <w:color w:val="000000" w:themeColor="text1"/>
          <w:u w:val="none" w:color="auto"/>
          <w14:textFill>
            <w14:solidFill>
              <w14:schemeClr w14:val="tx1"/>
            </w14:solidFill>
          </w14:textFill>
        </w:rPr>
        <w:t>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3096</w:t>
      </w:r>
      <w:r>
        <w:rPr>
          <w:rFonts w:hint="default" w:ascii="Times New Roman" w:hAnsi="Times New Roman" w:eastAsia="宋体" w:cs="Times New Roman"/>
          <w:color w:val="000000" w:themeColor="text1"/>
          <w:u w:val="none" w:color="auto"/>
          <w14:textFill>
            <w14:solidFill>
              <w14:schemeClr w14:val="tx1"/>
            </w14:solidFill>
          </w14:textFill>
        </w:rPr>
        <w:t>-2008）中2类标准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限值</w:t>
      </w:r>
      <w:r>
        <w:rPr>
          <w:rFonts w:hint="default" w:ascii="Times New Roman" w:hAnsi="Times New Roman" w:eastAsia="宋体" w:cs="Times New Roman"/>
          <w:color w:val="000000" w:themeColor="text1"/>
          <w:u w:val="none" w:color="auto"/>
          <w14:textFill>
            <w14:solidFill>
              <w14:schemeClr w14:val="tx1"/>
            </w14:solidFill>
          </w14:textFill>
        </w:rPr>
        <w:t>。</w:t>
      </w:r>
    </w:p>
    <w:p w14:paraId="15F44FF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 xml:space="preserve">  噪声排放执行标准</w:t>
      </w:r>
    </w:p>
    <w:tbl>
      <w:tblPr>
        <w:tblStyle w:val="37"/>
        <w:tblW w:w="501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458"/>
        <w:gridCol w:w="2456"/>
        <w:gridCol w:w="2456"/>
      </w:tblGrid>
      <w:tr w14:paraId="0F38FF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2065" w:type="pct"/>
            <w:vMerge w:val="restart"/>
            <w:vAlign w:val="center"/>
          </w:tcPr>
          <w:p w14:paraId="58AC3A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标准名称</w:t>
            </w:r>
          </w:p>
        </w:tc>
        <w:tc>
          <w:tcPr>
            <w:tcW w:w="2934" w:type="pct"/>
            <w:gridSpan w:val="2"/>
            <w:vAlign w:val="center"/>
          </w:tcPr>
          <w:p w14:paraId="624F17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标准值</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dB（A）</w:t>
            </w:r>
          </w:p>
        </w:tc>
      </w:tr>
      <w:tr w14:paraId="0CF015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2065" w:type="pct"/>
            <w:vMerge w:val="continue"/>
            <w:vAlign w:val="center"/>
          </w:tcPr>
          <w:p w14:paraId="189C75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67" w:type="pct"/>
            <w:vAlign w:val="center"/>
          </w:tcPr>
          <w:p w14:paraId="455B48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1467" w:type="pct"/>
            <w:vAlign w:val="center"/>
          </w:tcPr>
          <w:p w14:paraId="59F0FB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r>
      <w:tr w14:paraId="04530F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065" w:type="pct"/>
            <w:vAlign w:val="center"/>
          </w:tcPr>
          <w:p w14:paraId="7CB860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《建筑施工场界环境噪声排放标准》（GB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12523-2025）标准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限值</w:t>
            </w:r>
          </w:p>
        </w:tc>
        <w:tc>
          <w:tcPr>
            <w:tcW w:w="1467" w:type="pct"/>
            <w:vAlign w:val="center"/>
          </w:tcPr>
          <w:p w14:paraId="4854AA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70</w:t>
            </w:r>
          </w:p>
        </w:tc>
        <w:tc>
          <w:tcPr>
            <w:tcW w:w="1467" w:type="pct"/>
            <w:vAlign w:val="center"/>
          </w:tcPr>
          <w:p w14:paraId="7314E9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r>
      <w:tr w14:paraId="71B568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065" w:type="pct"/>
            <w:vAlign w:val="center"/>
          </w:tcPr>
          <w:p w14:paraId="6FA220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《工业企业厂界环境噪声排放标准》（GB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12348-2008）中3类标准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限值</w:t>
            </w:r>
          </w:p>
        </w:tc>
        <w:tc>
          <w:tcPr>
            <w:tcW w:w="1467" w:type="pct"/>
            <w:vAlign w:val="center"/>
          </w:tcPr>
          <w:p w14:paraId="39CE78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65</w:t>
            </w:r>
          </w:p>
        </w:tc>
        <w:tc>
          <w:tcPr>
            <w:tcW w:w="1467" w:type="pct"/>
            <w:vAlign w:val="center"/>
          </w:tcPr>
          <w:p w14:paraId="40E379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r>
      <w:tr w14:paraId="672DA5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065" w:type="pct"/>
            <w:vAlign w:val="center"/>
          </w:tcPr>
          <w:p w14:paraId="61E1FB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声环境质量</w:t>
            </w:r>
            <w:r>
              <w:rPr>
                <w:rFonts w:hint="default" w:ascii="Times New Roman" w:hAnsi="Times New Roman" w:eastAsia="宋体" w:cs="Times New Roman"/>
                <w:color w:val="000000" w:themeColor="text1"/>
                <w:u w:val="none" w:color="auto"/>
                <w14:textFill>
                  <w14:solidFill>
                    <w14:schemeClr w14:val="tx1"/>
                  </w14:solidFill>
                </w14:textFill>
              </w:rPr>
              <w:t>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3096</w:t>
            </w:r>
            <w:r>
              <w:rPr>
                <w:rFonts w:hint="default" w:ascii="Times New Roman" w:hAnsi="Times New Roman" w:eastAsia="宋体" w:cs="Times New Roman"/>
                <w:color w:val="000000" w:themeColor="text1"/>
                <w:u w:val="none" w:color="auto"/>
                <w14:textFill>
                  <w14:solidFill>
                    <w14:schemeClr w14:val="tx1"/>
                  </w14:solidFill>
                </w14:textFill>
              </w:rPr>
              <w:t>-2008）中2类标准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限值</w:t>
            </w:r>
          </w:p>
        </w:tc>
        <w:tc>
          <w:tcPr>
            <w:tcW w:w="1467" w:type="pct"/>
            <w:vAlign w:val="center"/>
          </w:tcPr>
          <w:p w14:paraId="08B2BF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60</w:t>
            </w:r>
          </w:p>
        </w:tc>
        <w:tc>
          <w:tcPr>
            <w:tcW w:w="1467" w:type="pct"/>
            <w:vAlign w:val="center"/>
          </w:tcPr>
          <w:p w14:paraId="0B0119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50</w:t>
            </w:r>
          </w:p>
        </w:tc>
      </w:tr>
    </w:tbl>
    <w:p w14:paraId="0AEC84A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（4）固体废物控制标准：</w:t>
      </w:r>
    </w:p>
    <w:p w14:paraId="2EA92B2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一般固体废物执行《一般工业固体废物贮存和填埋污染控制标准》（GB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18599-2020）；危险废物执行《危险废物贮存污染控制标准》（GB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18597-2023）、《危险废物收集贮存运输技术规范》（HJ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2025-2012）和《危险废物转移管理办法</w:t>
      </w:r>
      <w:r>
        <w:rPr>
          <w:rFonts w:hint="default" w:ascii="Times New Roman" w:hAnsi="Times New Roman" w:eastAsia="宋体" w:cs="Times New Roman"/>
          <w:color w:val="000000" w:themeColor="text1"/>
          <w:u w:val="none" w:color="auto"/>
          <w:lang w:eastAsia="zh-CN"/>
          <w14:textFill>
            <w14:solidFill>
              <w14:schemeClr w14:val="tx1"/>
            </w14:solidFill>
          </w14:textFill>
        </w:rPr>
        <w:t>》等</w:t>
      </w:r>
      <w:r>
        <w:rPr>
          <w:rFonts w:hint="default" w:ascii="Times New Roman" w:hAnsi="Times New Roman" w:eastAsia="宋体" w:cs="Times New Roman"/>
          <w:color w:val="000000" w:themeColor="text1"/>
          <w:u w:val="none" w:color="auto"/>
          <w14:textFill>
            <w14:solidFill>
              <w14:schemeClr w14:val="tx1"/>
            </w14:solidFill>
          </w14:textFill>
        </w:rPr>
        <w:t>相关标准和规定。</w:t>
      </w:r>
    </w:p>
    <w:p w14:paraId="2AE9F52D">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24" w:name="_Toc204350659"/>
      <w:bookmarkStart w:id="125" w:name="_Toc31287"/>
      <w:r>
        <w:rPr>
          <w:rFonts w:hint="default" w:ascii="Times New Roman" w:hAnsi="Times New Roman" w:eastAsia="宋体" w:cs="Times New Roman"/>
          <w:color w:val="000000" w:themeColor="text1"/>
          <w:u w:val="none" w:color="auto"/>
          <w14:textFill>
            <w14:solidFill>
              <w14:schemeClr w14:val="tx1"/>
            </w14:solidFill>
          </w14:textFill>
        </w:rPr>
        <w:t>2.6 评价工作等级与评价范围</w:t>
      </w:r>
      <w:bookmarkEnd w:id="124"/>
      <w:bookmarkEnd w:id="125"/>
    </w:p>
    <w:p w14:paraId="6C6F900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26" w:name="_Toc25187"/>
      <w:bookmarkStart w:id="127" w:name="_Toc204350660"/>
      <w:r>
        <w:rPr>
          <w:rFonts w:hint="default" w:ascii="Times New Roman" w:hAnsi="Times New Roman" w:eastAsia="宋体" w:cs="Times New Roman"/>
          <w:color w:val="000000" w:themeColor="text1"/>
          <w:u w:val="none" w:color="auto"/>
          <w14:textFill>
            <w14:solidFill>
              <w14:schemeClr w14:val="tx1"/>
            </w14:solidFill>
          </w14:textFill>
        </w:rPr>
        <w:t>2.6.1 评价工作等级</w:t>
      </w:r>
      <w:bookmarkEnd w:id="126"/>
      <w:bookmarkEnd w:id="127"/>
    </w:p>
    <w:p w14:paraId="0EF5E7E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2.6.1.1 环境空气</w:t>
      </w:r>
    </w:p>
    <w:p w14:paraId="0ACDCCE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大气环境》（HJ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2.2-2018），一个项目有多个污染源排放同一种污染物时，按各污染源分别确定其评价等级，并取评价级别最高者作为项目的评价等级。评价工作等级按表1.6-4的分级判据进行划分。</w:t>
      </w:r>
    </w:p>
    <w:p w14:paraId="143A80C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采用HJ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2.2-2018推荐模式清单中的估算模式分别计算每一种污染物的最大地面浓度占标率Pi，及第i个污染物的地面空气质量浓度达到标准限值的10％时所对应的最远距离D10%，其中Pi定义为：</w:t>
      </w:r>
    </w:p>
    <w:p w14:paraId="236C0BDF">
      <w:pPr>
        <w:pStyle w:val="68"/>
        <w:keepNext w:val="0"/>
        <w:keepLines w:val="0"/>
        <w:pageBreakBefore w:val="0"/>
        <w:widowControl w:val="0"/>
        <w:kinsoku/>
        <w:wordWrap/>
        <w:overflowPunct/>
        <w:topLinePunct w:val="0"/>
        <w:bidi w:val="0"/>
        <w:ind w:left="96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drawing>
          <wp:inline distT="0" distB="0" distL="0" distR="0">
            <wp:extent cx="1019175" cy="447675"/>
            <wp:effectExtent l="0" t="0" r="0" b="0"/>
            <wp:docPr id="2"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019175" cy="447675"/>
                    </a:xfrm>
                    <a:prstGeom prst="rect">
                      <a:avLst/>
                    </a:prstGeom>
                    <a:noFill/>
                    <a:ln>
                      <a:noFill/>
                    </a:ln>
                  </pic:spPr>
                </pic:pic>
              </a:graphicData>
            </a:graphic>
          </wp:inline>
        </w:drawing>
      </w:r>
    </w:p>
    <w:p w14:paraId="031023D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式中：Pi----第i个污染物的最大地面浓度占标率，%；</w:t>
      </w:r>
    </w:p>
    <w:p w14:paraId="1D3C6B17">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Ci----采用估算模式计算出的第i个污染物的最大地面浓度，mg/m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w:t>
      </w:r>
    </w:p>
    <w:p w14:paraId="31E525BA">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Coi----第i个污染物的环境空气质量标准mg/m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w:t>
      </w:r>
    </w:p>
    <w:p w14:paraId="3EE52F48">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Coi----一般选用GB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3095中1h平均质量浓度的二级浓度限值。对仅有8h平均质量浓度限值、日平均质量浓度限值或年平均质量浓度限值的，可分别按2倍、3倍、6倍折算为1小时平均质量浓度限值。</w:t>
      </w:r>
    </w:p>
    <w:p w14:paraId="7953A76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根据工程分析所得的大气污染物排放参数，本项目排放的各类污染物的环境空气质量标准执行情况见下表。</w:t>
      </w:r>
    </w:p>
    <w:p w14:paraId="194A413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表2.6-1  污染物评价标准表</w:t>
      </w:r>
    </w:p>
    <w:tbl>
      <w:tblPr>
        <w:tblStyle w:val="37"/>
        <w:tblW w:w="8527" w:type="dxa"/>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526"/>
        <w:gridCol w:w="1308"/>
        <w:gridCol w:w="1243"/>
        <w:gridCol w:w="1276"/>
        <w:gridCol w:w="3174"/>
      </w:tblGrid>
      <w:tr w14:paraId="0DD6E73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blHeader/>
        </w:trPr>
        <w:tc>
          <w:tcPr>
            <w:tcW w:w="1526" w:type="dxa"/>
            <w:vAlign w:val="center"/>
          </w:tcPr>
          <w:p w14:paraId="50B474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污染物名称</w:t>
            </w:r>
          </w:p>
        </w:tc>
        <w:tc>
          <w:tcPr>
            <w:tcW w:w="1308" w:type="dxa"/>
            <w:vAlign w:val="center"/>
          </w:tcPr>
          <w:p w14:paraId="35F89C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功能区</w:t>
            </w:r>
          </w:p>
        </w:tc>
        <w:tc>
          <w:tcPr>
            <w:tcW w:w="1243" w:type="dxa"/>
            <w:vAlign w:val="center"/>
          </w:tcPr>
          <w:p w14:paraId="1D8B24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取值时间</w:t>
            </w:r>
          </w:p>
        </w:tc>
        <w:tc>
          <w:tcPr>
            <w:tcW w:w="1276" w:type="dxa"/>
            <w:vAlign w:val="center"/>
          </w:tcPr>
          <w:p w14:paraId="7E13E6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标准值（μg/m³）</w:t>
            </w:r>
          </w:p>
        </w:tc>
        <w:tc>
          <w:tcPr>
            <w:tcW w:w="3174" w:type="dxa"/>
            <w:vAlign w:val="center"/>
          </w:tcPr>
          <w:p w14:paraId="5C8FA5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标准来源</w:t>
            </w:r>
          </w:p>
        </w:tc>
      </w:tr>
      <w:tr w14:paraId="1768898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1526" w:type="dxa"/>
            <w:vAlign w:val="center"/>
          </w:tcPr>
          <w:p w14:paraId="0870AD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1308" w:type="dxa"/>
            <w:vAlign w:val="center"/>
          </w:tcPr>
          <w:p w14:paraId="65AAB8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二类限区</w:t>
            </w:r>
          </w:p>
        </w:tc>
        <w:tc>
          <w:tcPr>
            <w:tcW w:w="1243" w:type="dxa"/>
            <w:vAlign w:val="center"/>
          </w:tcPr>
          <w:p w14:paraId="616330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小时</w:t>
            </w:r>
          </w:p>
        </w:tc>
        <w:tc>
          <w:tcPr>
            <w:tcW w:w="1276" w:type="dxa"/>
            <w:vAlign w:val="center"/>
          </w:tcPr>
          <w:p w14:paraId="3559A1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200.0</w:t>
            </w:r>
          </w:p>
        </w:tc>
        <w:tc>
          <w:tcPr>
            <w:tcW w:w="3174" w:type="dxa"/>
            <w:vMerge w:val="restart"/>
            <w:vAlign w:val="center"/>
          </w:tcPr>
          <w:p w14:paraId="4A96D4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大气环境》HJ 2.2-2018附录D</w:t>
            </w:r>
          </w:p>
        </w:tc>
      </w:tr>
      <w:tr w14:paraId="51DDBD6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1526" w:type="dxa"/>
            <w:vAlign w:val="center"/>
          </w:tcPr>
          <w:p w14:paraId="20717D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1308" w:type="dxa"/>
            <w:vAlign w:val="center"/>
          </w:tcPr>
          <w:p w14:paraId="3CF7C9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二类限区</w:t>
            </w:r>
          </w:p>
        </w:tc>
        <w:tc>
          <w:tcPr>
            <w:tcW w:w="1243" w:type="dxa"/>
            <w:vAlign w:val="center"/>
          </w:tcPr>
          <w:p w14:paraId="0900EB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小时</w:t>
            </w:r>
          </w:p>
        </w:tc>
        <w:tc>
          <w:tcPr>
            <w:tcW w:w="1276" w:type="dxa"/>
            <w:vAlign w:val="center"/>
          </w:tcPr>
          <w:p w14:paraId="0369D8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3174" w:type="dxa"/>
            <w:vMerge w:val="continue"/>
            <w:vAlign w:val="center"/>
          </w:tcPr>
          <w:p w14:paraId="0EB1B0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0126A6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1526" w:type="dxa"/>
            <w:vAlign w:val="center"/>
          </w:tcPr>
          <w:p w14:paraId="42B901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1308" w:type="dxa"/>
            <w:vAlign w:val="center"/>
          </w:tcPr>
          <w:p w14:paraId="4E786B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二类限区</w:t>
            </w:r>
          </w:p>
        </w:tc>
        <w:tc>
          <w:tcPr>
            <w:tcW w:w="1243" w:type="dxa"/>
            <w:vAlign w:val="center"/>
          </w:tcPr>
          <w:p w14:paraId="7CC56F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小时</w:t>
            </w:r>
          </w:p>
        </w:tc>
        <w:tc>
          <w:tcPr>
            <w:tcW w:w="1276" w:type="dxa"/>
            <w:vAlign w:val="center"/>
          </w:tcPr>
          <w:p w14:paraId="3D4054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2000</w:t>
            </w:r>
          </w:p>
        </w:tc>
        <w:tc>
          <w:tcPr>
            <w:tcW w:w="3174" w:type="dxa"/>
            <w:vAlign w:val="center"/>
          </w:tcPr>
          <w:p w14:paraId="67FE41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《大气污染物综合排放标准详解》</w:t>
            </w:r>
          </w:p>
        </w:tc>
      </w:tr>
    </w:tbl>
    <w:p w14:paraId="747A5F24">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表2.6-2  估算模型参数表</w:t>
      </w:r>
    </w:p>
    <w:tbl>
      <w:tblPr>
        <w:tblStyle w:val="37"/>
        <w:tblW w:w="8527" w:type="dxa"/>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932"/>
        <w:gridCol w:w="3629"/>
        <w:gridCol w:w="2966"/>
      </w:tblGrid>
      <w:tr w14:paraId="42D15D5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blHeader/>
        </w:trPr>
        <w:tc>
          <w:tcPr>
            <w:tcW w:w="6" w:type="dxa"/>
            <w:gridSpan w:val="2"/>
            <w:vAlign w:val="center"/>
          </w:tcPr>
          <w:p w14:paraId="15A0E1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参数</w:t>
            </w:r>
          </w:p>
        </w:tc>
        <w:tc>
          <w:tcPr>
            <w:tcW w:w="6" w:type="dxa"/>
            <w:vAlign w:val="center"/>
          </w:tcPr>
          <w:p w14:paraId="57F090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取值</w:t>
            </w:r>
          </w:p>
        </w:tc>
      </w:tr>
      <w:tr w14:paraId="6CEEEEB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vMerge w:val="restart"/>
            <w:vAlign w:val="center"/>
          </w:tcPr>
          <w:p w14:paraId="74F5B5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城市/农村选项</w:t>
            </w:r>
          </w:p>
        </w:tc>
        <w:tc>
          <w:tcPr>
            <w:tcW w:w="6" w:type="dxa"/>
            <w:vAlign w:val="center"/>
          </w:tcPr>
          <w:p w14:paraId="11514C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城市/农村</w:t>
            </w:r>
          </w:p>
        </w:tc>
        <w:tc>
          <w:tcPr>
            <w:tcW w:w="6" w:type="dxa"/>
            <w:vAlign w:val="center"/>
          </w:tcPr>
          <w:p w14:paraId="76F340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农村</w:t>
            </w:r>
          </w:p>
        </w:tc>
      </w:tr>
      <w:tr w14:paraId="59CE360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0" w:type="auto"/>
            <w:vMerge w:val="continue"/>
            <w:vAlign w:val="center"/>
          </w:tcPr>
          <w:p w14:paraId="254921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 w:type="dxa"/>
            <w:vAlign w:val="center"/>
          </w:tcPr>
          <w:p w14:paraId="01A738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人口数（城市人口数）</w:t>
            </w:r>
          </w:p>
        </w:tc>
        <w:tc>
          <w:tcPr>
            <w:tcW w:w="6" w:type="dxa"/>
            <w:vAlign w:val="center"/>
          </w:tcPr>
          <w:p w14:paraId="0722B6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71112EE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gridSpan w:val="2"/>
            <w:vAlign w:val="center"/>
          </w:tcPr>
          <w:p w14:paraId="56FC2F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最高环境温度</w:t>
            </w:r>
          </w:p>
        </w:tc>
        <w:tc>
          <w:tcPr>
            <w:tcW w:w="6" w:type="dxa"/>
            <w:vAlign w:val="center"/>
          </w:tcPr>
          <w:p w14:paraId="23BEFD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41.5</w:t>
            </w:r>
          </w:p>
        </w:tc>
      </w:tr>
      <w:tr w14:paraId="1815A5A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gridSpan w:val="2"/>
            <w:vAlign w:val="center"/>
          </w:tcPr>
          <w:p w14:paraId="3B4084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最低环境温度</w:t>
            </w:r>
          </w:p>
        </w:tc>
        <w:tc>
          <w:tcPr>
            <w:tcW w:w="6" w:type="dxa"/>
            <w:vAlign w:val="center"/>
          </w:tcPr>
          <w:p w14:paraId="351C41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-12.0</w:t>
            </w:r>
          </w:p>
        </w:tc>
      </w:tr>
      <w:tr w14:paraId="7230585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gridSpan w:val="2"/>
            <w:vAlign w:val="center"/>
          </w:tcPr>
          <w:p w14:paraId="117FB5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土地利用类型</w:t>
            </w:r>
          </w:p>
        </w:tc>
        <w:tc>
          <w:tcPr>
            <w:tcW w:w="6" w:type="dxa"/>
            <w:vAlign w:val="center"/>
          </w:tcPr>
          <w:p w14:paraId="6B63E4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落叶林</w:t>
            </w:r>
          </w:p>
        </w:tc>
      </w:tr>
      <w:tr w14:paraId="282C24B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gridSpan w:val="2"/>
            <w:vAlign w:val="center"/>
          </w:tcPr>
          <w:p w14:paraId="43B982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区域湿度条件</w:t>
            </w:r>
          </w:p>
        </w:tc>
        <w:tc>
          <w:tcPr>
            <w:tcW w:w="6" w:type="dxa"/>
            <w:vAlign w:val="center"/>
          </w:tcPr>
          <w:p w14:paraId="3ED90F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潮湿</w:t>
            </w:r>
          </w:p>
        </w:tc>
      </w:tr>
      <w:tr w14:paraId="2DEDA26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vMerge w:val="restart"/>
            <w:vAlign w:val="center"/>
          </w:tcPr>
          <w:p w14:paraId="40890E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是否考虑地形</w:t>
            </w:r>
          </w:p>
        </w:tc>
        <w:tc>
          <w:tcPr>
            <w:tcW w:w="6" w:type="dxa"/>
            <w:vAlign w:val="center"/>
          </w:tcPr>
          <w:p w14:paraId="650390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考虑地形</w:t>
            </w:r>
          </w:p>
        </w:tc>
        <w:tc>
          <w:tcPr>
            <w:tcW w:w="6" w:type="dxa"/>
            <w:vAlign w:val="center"/>
          </w:tcPr>
          <w:p w14:paraId="54BB3B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是</w:t>
            </w:r>
          </w:p>
        </w:tc>
      </w:tr>
      <w:tr w14:paraId="2F3BA7C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0" w:type="auto"/>
            <w:vMerge w:val="continue"/>
            <w:vAlign w:val="center"/>
          </w:tcPr>
          <w:p w14:paraId="107C56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 w:type="dxa"/>
            <w:vAlign w:val="center"/>
          </w:tcPr>
          <w:p w14:paraId="0D20D3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地形数据分辨率（m）</w:t>
            </w:r>
          </w:p>
        </w:tc>
        <w:tc>
          <w:tcPr>
            <w:tcW w:w="6" w:type="dxa"/>
            <w:vAlign w:val="center"/>
          </w:tcPr>
          <w:p w14:paraId="3F5B5E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90</w:t>
            </w:r>
          </w:p>
        </w:tc>
      </w:tr>
      <w:tr w14:paraId="064084C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vMerge w:val="restart"/>
            <w:vAlign w:val="center"/>
          </w:tcPr>
          <w:p w14:paraId="1EA122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是否考虑岸线熏烟</w:t>
            </w:r>
          </w:p>
        </w:tc>
        <w:tc>
          <w:tcPr>
            <w:tcW w:w="6" w:type="dxa"/>
            <w:vAlign w:val="center"/>
          </w:tcPr>
          <w:p w14:paraId="26A966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考虑岸线熏烟</w:t>
            </w:r>
          </w:p>
        </w:tc>
        <w:tc>
          <w:tcPr>
            <w:tcW w:w="6" w:type="dxa"/>
            <w:vAlign w:val="center"/>
          </w:tcPr>
          <w:p w14:paraId="4BD004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否</w:t>
            </w:r>
          </w:p>
        </w:tc>
      </w:tr>
      <w:tr w14:paraId="72EB5EC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0" w:type="auto"/>
            <w:vMerge w:val="continue"/>
            <w:vAlign w:val="center"/>
          </w:tcPr>
          <w:p w14:paraId="743201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 w:type="dxa"/>
            <w:vAlign w:val="center"/>
          </w:tcPr>
          <w:p w14:paraId="3D6DDB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岸线距离/m</w:t>
            </w:r>
          </w:p>
        </w:tc>
        <w:tc>
          <w:tcPr>
            <w:tcW w:w="6" w:type="dxa"/>
            <w:vAlign w:val="center"/>
          </w:tcPr>
          <w:p w14:paraId="3A9B4D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6F178CF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0" w:type="auto"/>
            <w:vMerge w:val="continue"/>
            <w:vAlign w:val="center"/>
          </w:tcPr>
          <w:p w14:paraId="4AA0E0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 w:type="dxa"/>
            <w:vAlign w:val="center"/>
          </w:tcPr>
          <w:p w14:paraId="18E1A0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岸线方向/°</w:t>
            </w:r>
          </w:p>
        </w:tc>
        <w:tc>
          <w:tcPr>
            <w:tcW w:w="6" w:type="dxa"/>
            <w:vAlign w:val="center"/>
          </w:tcPr>
          <w:p w14:paraId="22DF64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bl>
    <w:p w14:paraId="1670F54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sectPr>
          <w:pgSz w:w="11907" w:h="16840"/>
          <w:pgMar w:top="1440" w:right="1797" w:bottom="1440" w:left="1797" w:header="851" w:footer="992" w:gutter="0"/>
          <w:pgBorders>
            <w:top w:val="none" w:sz="0" w:space="0"/>
            <w:left w:val="none" w:sz="0" w:space="0"/>
            <w:bottom w:val="none" w:sz="0" w:space="0"/>
            <w:right w:val="none" w:sz="0" w:space="0"/>
          </w:pgBorders>
          <w:cols w:space="720" w:num="1"/>
          <w:docGrid w:linePitch="326" w:charSpace="0"/>
        </w:sectPr>
      </w:pPr>
    </w:p>
    <w:p w14:paraId="7587423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本次环评污染源参数见下表所示。</w:t>
      </w:r>
    </w:p>
    <w:p w14:paraId="6103D5E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表2.6-3  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生产车间有组织废气</w:t>
      </w:r>
      <w:r>
        <w:rPr>
          <w:rFonts w:hint="default" w:ascii="Times New Roman" w:hAnsi="Times New Roman" w:eastAsia="宋体" w:cs="Times New Roman"/>
          <w:color w:val="000000" w:themeColor="text1"/>
          <w:u w:val="none" w:color="auto"/>
          <w14:textFill>
            <w14:solidFill>
              <w14:schemeClr w14:val="tx1"/>
            </w14:solidFill>
          </w14:textFill>
        </w:rPr>
        <w:t>点源污染源正常排放参数表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535"/>
        <w:gridCol w:w="1619"/>
        <w:gridCol w:w="1392"/>
        <w:gridCol w:w="1210"/>
        <w:gridCol w:w="1176"/>
        <w:gridCol w:w="1176"/>
        <w:gridCol w:w="1176"/>
        <w:gridCol w:w="1222"/>
        <w:gridCol w:w="1109"/>
        <w:gridCol w:w="1109"/>
        <w:gridCol w:w="1443"/>
      </w:tblGrid>
      <w:tr w14:paraId="5560905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542" w:type="pct"/>
            <w:vMerge w:val="restart"/>
            <w:vAlign w:val="center"/>
          </w:tcPr>
          <w:p w14:paraId="6B30DE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污染源名称</w:t>
            </w:r>
          </w:p>
        </w:tc>
        <w:tc>
          <w:tcPr>
            <w:tcW w:w="1062" w:type="pct"/>
            <w:gridSpan w:val="2"/>
            <w:vAlign w:val="center"/>
          </w:tcPr>
          <w:p w14:paraId="4CD48C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排气筒底部中心坐标</w:t>
            </w:r>
          </w:p>
        </w:tc>
        <w:tc>
          <w:tcPr>
            <w:tcW w:w="427" w:type="pct"/>
            <w:vMerge w:val="restart"/>
            <w:vAlign w:val="center"/>
          </w:tcPr>
          <w:p w14:paraId="110F6C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排气筒底部海拔高度（m）</w:t>
            </w:r>
          </w:p>
        </w:tc>
        <w:tc>
          <w:tcPr>
            <w:tcW w:w="1676" w:type="pct"/>
            <w:gridSpan w:val="4"/>
            <w:vAlign w:val="center"/>
          </w:tcPr>
          <w:p w14:paraId="17C361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排气筒参数</w:t>
            </w:r>
          </w:p>
        </w:tc>
        <w:tc>
          <w:tcPr>
            <w:tcW w:w="1291" w:type="pct"/>
            <w:gridSpan w:val="3"/>
            <w:vAlign w:val="center"/>
          </w:tcPr>
          <w:p w14:paraId="6CFF7E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污染物排放速率（kg/h）</w:t>
            </w:r>
          </w:p>
        </w:tc>
      </w:tr>
      <w:tr w14:paraId="7E28A32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542" w:type="pct"/>
            <w:vMerge w:val="continue"/>
            <w:vAlign w:val="center"/>
          </w:tcPr>
          <w:p w14:paraId="131F7E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71" w:type="pct"/>
            <w:vAlign w:val="center"/>
          </w:tcPr>
          <w:p w14:paraId="3A333D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经度</w:t>
            </w:r>
          </w:p>
        </w:tc>
        <w:tc>
          <w:tcPr>
            <w:tcW w:w="491" w:type="pct"/>
            <w:vAlign w:val="center"/>
          </w:tcPr>
          <w:p w14:paraId="5ADD21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纬度</w:t>
            </w:r>
          </w:p>
        </w:tc>
        <w:tc>
          <w:tcPr>
            <w:tcW w:w="427" w:type="pct"/>
            <w:vMerge w:val="continue"/>
            <w:vAlign w:val="center"/>
          </w:tcPr>
          <w:p w14:paraId="706DF1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15" w:type="pct"/>
            <w:vAlign w:val="center"/>
          </w:tcPr>
          <w:p w14:paraId="44D1E3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高度（m）</w:t>
            </w:r>
          </w:p>
        </w:tc>
        <w:tc>
          <w:tcPr>
            <w:tcW w:w="415" w:type="pct"/>
            <w:vAlign w:val="center"/>
          </w:tcPr>
          <w:p w14:paraId="431116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内径（m）</w:t>
            </w:r>
          </w:p>
        </w:tc>
        <w:tc>
          <w:tcPr>
            <w:tcW w:w="415" w:type="pct"/>
            <w:vAlign w:val="center"/>
          </w:tcPr>
          <w:p w14:paraId="01A232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温度（℃）</w:t>
            </w:r>
          </w:p>
        </w:tc>
        <w:tc>
          <w:tcPr>
            <w:tcW w:w="430" w:type="pct"/>
            <w:vAlign w:val="center"/>
          </w:tcPr>
          <w:p w14:paraId="468453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流速（m/s）</w:t>
            </w:r>
          </w:p>
        </w:tc>
        <w:tc>
          <w:tcPr>
            <w:tcW w:w="391" w:type="pct"/>
            <w:vAlign w:val="center"/>
          </w:tcPr>
          <w:p w14:paraId="5D9055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391" w:type="pct"/>
            <w:vAlign w:val="center"/>
          </w:tcPr>
          <w:p w14:paraId="6EC463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509" w:type="pct"/>
            <w:vAlign w:val="center"/>
          </w:tcPr>
          <w:p w14:paraId="578001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r>
      <w:tr w14:paraId="750B27B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542" w:type="pct"/>
            <w:vAlign w:val="center"/>
          </w:tcPr>
          <w:p w14:paraId="2647AF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DA001</w:t>
            </w:r>
          </w:p>
        </w:tc>
        <w:tc>
          <w:tcPr>
            <w:tcW w:w="571" w:type="pct"/>
            <w:vAlign w:val="center"/>
          </w:tcPr>
          <w:p w14:paraId="271F99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113°16′23.96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491" w:type="pct"/>
            <w:vAlign w:val="center"/>
          </w:tcPr>
          <w:p w14:paraId="024C6E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28°47′8.849″</w:t>
            </w:r>
          </w:p>
        </w:tc>
        <w:tc>
          <w:tcPr>
            <w:tcW w:w="427" w:type="pct"/>
            <w:vAlign w:val="center"/>
          </w:tcPr>
          <w:p w14:paraId="4947DB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w:t>
            </w:r>
          </w:p>
        </w:tc>
        <w:tc>
          <w:tcPr>
            <w:tcW w:w="415" w:type="pct"/>
            <w:vAlign w:val="center"/>
          </w:tcPr>
          <w:p w14:paraId="64C91F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415" w:type="pct"/>
            <w:vAlign w:val="center"/>
          </w:tcPr>
          <w:p w14:paraId="12BDAC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p>
        </w:tc>
        <w:tc>
          <w:tcPr>
            <w:tcW w:w="415" w:type="pct"/>
            <w:vAlign w:val="center"/>
          </w:tcPr>
          <w:p w14:paraId="1192A2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30</w:t>
            </w:r>
          </w:p>
        </w:tc>
        <w:tc>
          <w:tcPr>
            <w:tcW w:w="430" w:type="pct"/>
            <w:vAlign w:val="center"/>
          </w:tcPr>
          <w:p w14:paraId="4172CD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11.0</w:t>
            </w:r>
          </w:p>
        </w:tc>
        <w:tc>
          <w:tcPr>
            <w:tcW w:w="391" w:type="pct"/>
            <w:vAlign w:val="center"/>
          </w:tcPr>
          <w:p w14:paraId="6C4525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w:t>
            </w:r>
            <w:r>
              <w:rPr>
                <w:rFonts w:hint="eastAsia" w:eastAsia="宋体" w:cs="Times New Roman"/>
                <w:color w:val="000000" w:themeColor="text1"/>
                <w:u w:val="none" w:color="auto"/>
                <w:lang w:val="en-US" w:eastAsia="zh-CN"/>
                <w14:textFill>
                  <w14:solidFill>
                    <w14:schemeClr w14:val="tx1"/>
                  </w14:solidFill>
                </w14:textFill>
              </w:rPr>
              <w:t>090585</w:t>
            </w:r>
          </w:p>
        </w:tc>
        <w:tc>
          <w:tcPr>
            <w:tcW w:w="391" w:type="pct"/>
            <w:vAlign w:val="center"/>
          </w:tcPr>
          <w:p w14:paraId="04FC76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w:t>
            </w:r>
            <w:r>
              <w:rPr>
                <w:rFonts w:hint="eastAsia" w:eastAsia="宋体" w:cs="Times New Roman"/>
                <w:color w:val="000000" w:themeColor="text1"/>
                <w:u w:val="none" w:color="auto"/>
                <w:lang w:val="en-US" w:eastAsia="zh-CN"/>
                <w14:textFill>
                  <w14:solidFill>
                    <w14:schemeClr w14:val="tx1"/>
                  </w14:solidFill>
                </w14:textFill>
              </w:rPr>
              <w:t>4897</w:t>
            </w:r>
          </w:p>
        </w:tc>
        <w:tc>
          <w:tcPr>
            <w:tcW w:w="509" w:type="pct"/>
            <w:vAlign w:val="center"/>
          </w:tcPr>
          <w:p w14:paraId="08D583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w:t>
            </w:r>
            <w:r>
              <w:rPr>
                <w:rFonts w:hint="eastAsia" w:eastAsia="宋体" w:cs="Times New Roman"/>
                <w:color w:val="000000" w:themeColor="text1"/>
                <w:u w:val="none" w:color="auto"/>
                <w:lang w:val="en-US" w:eastAsia="zh-CN"/>
                <w14:textFill>
                  <w14:solidFill>
                    <w14:schemeClr w14:val="tx1"/>
                  </w14:solidFill>
                </w14:textFill>
              </w:rPr>
              <w:t>660211</w:t>
            </w:r>
          </w:p>
        </w:tc>
      </w:tr>
    </w:tbl>
    <w:p w14:paraId="497CD6C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本项目面源排放参数表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537"/>
        <w:gridCol w:w="1623"/>
        <w:gridCol w:w="1366"/>
        <w:gridCol w:w="1194"/>
        <w:gridCol w:w="1588"/>
        <w:gridCol w:w="1591"/>
        <w:gridCol w:w="1599"/>
        <w:gridCol w:w="1109"/>
        <w:gridCol w:w="1109"/>
        <w:gridCol w:w="1454"/>
      </w:tblGrid>
      <w:tr w14:paraId="4D6CB0F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42" w:type="pct"/>
            <w:vMerge w:val="restart"/>
            <w:vAlign w:val="center"/>
          </w:tcPr>
          <w:p w14:paraId="6F7130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污染源名称</w:t>
            </w:r>
          </w:p>
        </w:tc>
        <w:tc>
          <w:tcPr>
            <w:tcW w:w="1054" w:type="pct"/>
            <w:gridSpan w:val="2"/>
            <w:vAlign w:val="center"/>
          </w:tcPr>
          <w:p w14:paraId="64563F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坐标（°）</w:t>
            </w:r>
          </w:p>
        </w:tc>
        <w:tc>
          <w:tcPr>
            <w:tcW w:w="421" w:type="pct"/>
            <w:vMerge w:val="restart"/>
            <w:vAlign w:val="center"/>
          </w:tcPr>
          <w:p w14:paraId="5BE143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海拔高度（m）</w:t>
            </w:r>
          </w:p>
        </w:tc>
        <w:tc>
          <w:tcPr>
            <w:tcW w:w="1685" w:type="pct"/>
            <w:gridSpan w:val="3"/>
            <w:vAlign w:val="center"/>
          </w:tcPr>
          <w:p w14:paraId="6BE910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矩形面源</w:t>
            </w:r>
          </w:p>
        </w:tc>
        <w:tc>
          <w:tcPr>
            <w:tcW w:w="1295" w:type="pct"/>
            <w:gridSpan w:val="3"/>
            <w:vAlign w:val="center"/>
          </w:tcPr>
          <w:p w14:paraId="673092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污染物排放速率（kg/h）</w:t>
            </w:r>
          </w:p>
        </w:tc>
      </w:tr>
      <w:tr w14:paraId="769F61C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42" w:type="pct"/>
            <w:vMerge w:val="continue"/>
            <w:vAlign w:val="center"/>
          </w:tcPr>
          <w:p w14:paraId="5DCDB4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72" w:type="pct"/>
            <w:vAlign w:val="center"/>
          </w:tcPr>
          <w:p w14:paraId="379CB6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经度</w:t>
            </w:r>
          </w:p>
        </w:tc>
        <w:tc>
          <w:tcPr>
            <w:tcW w:w="482" w:type="pct"/>
            <w:vAlign w:val="center"/>
          </w:tcPr>
          <w:p w14:paraId="1212D4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纬度</w:t>
            </w:r>
          </w:p>
        </w:tc>
        <w:tc>
          <w:tcPr>
            <w:tcW w:w="421" w:type="pct"/>
            <w:vMerge w:val="continue"/>
            <w:vAlign w:val="center"/>
          </w:tcPr>
          <w:p w14:paraId="77769C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60" w:type="pct"/>
            <w:vAlign w:val="center"/>
          </w:tcPr>
          <w:p w14:paraId="1C5869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长度（m）</w:t>
            </w:r>
          </w:p>
        </w:tc>
        <w:tc>
          <w:tcPr>
            <w:tcW w:w="561" w:type="pct"/>
            <w:vAlign w:val="center"/>
          </w:tcPr>
          <w:p w14:paraId="06DDFB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宽度（m）</w:t>
            </w:r>
          </w:p>
        </w:tc>
        <w:tc>
          <w:tcPr>
            <w:tcW w:w="564" w:type="pct"/>
            <w:vAlign w:val="center"/>
          </w:tcPr>
          <w:p w14:paraId="0CF848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有效高度（m）</w:t>
            </w:r>
          </w:p>
        </w:tc>
        <w:tc>
          <w:tcPr>
            <w:tcW w:w="391" w:type="pct"/>
            <w:vAlign w:val="center"/>
          </w:tcPr>
          <w:p w14:paraId="2BFD82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391" w:type="pct"/>
            <w:vAlign w:val="center"/>
          </w:tcPr>
          <w:p w14:paraId="37911E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513" w:type="pct"/>
            <w:vAlign w:val="center"/>
          </w:tcPr>
          <w:p w14:paraId="58E57A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r>
      <w:tr w14:paraId="03D67E0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42" w:type="pct"/>
            <w:vAlign w:val="center"/>
          </w:tcPr>
          <w:p w14:paraId="5B7745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w:t>
            </w:r>
          </w:p>
        </w:tc>
        <w:tc>
          <w:tcPr>
            <w:tcW w:w="572" w:type="pct"/>
            <w:vAlign w:val="center"/>
          </w:tcPr>
          <w:p w14:paraId="09AA30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113°16′23.71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482" w:type="pct"/>
            <w:vAlign w:val="center"/>
          </w:tcPr>
          <w:p w14:paraId="610157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28°47′9.122″</w:t>
            </w:r>
          </w:p>
        </w:tc>
        <w:tc>
          <w:tcPr>
            <w:tcW w:w="421" w:type="pct"/>
            <w:vAlign w:val="center"/>
          </w:tcPr>
          <w:p w14:paraId="0B981C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w:t>
            </w:r>
          </w:p>
        </w:tc>
        <w:tc>
          <w:tcPr>
            <w:tcW w:w="560" w:type="pct"/>
            <w:vAlign w:val="center"/>
          </w:tcPr>
          <w:p w14:paraId="658C69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w:t>
            </w:r>
          </w:p>
        </w:tc>
        <w:tc>
          <w:tcPr>
            <w:tcW w:w="561" w:type="pct"/>
            <w:vAlign w:val="center"/>
          </w:tcPr>
          <w:p w14:paraId="56B90F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22</w:t>
            </w:r>
          </w:p>
        </w:tc>
        <w:tc>
          <w:tcPr>
            <w:tcW w:w="564" w:type="pct"/>
            <w:vAlign w:val="center"/>
          </w:tcPr>
          <w:p w14:paraId="149EED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10.00</w:t>
            </w:r>
          </w:p>
        </w:tc>
        <w:tc>
          <w:tcPr>
            <w:tcW w:w="391" w:type="pct"/>
            <w:vAlign w:val="center"/>
          </w:tcPr>
          <w:p w14:paraId="300862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0.0005</w:t>
            </w:r>
            <w:r>
              <w:rPr>
                <w:rFonts w:hint="eastAsia" w:eastAsia="宋体" w:cs="Times New Roman"/>
                <w:color w:val="000000" w:themeColor="text1"/>
                <w:u w:val="none" w:color="auto"/>
                <w:lang w:val="en-US" w:eastAsia="zh-CN"/>
                <w14:textFill>
                  <w14:solidFill>
                    <w14:schemeClr w14:val="tx1"/>
                  </w14:solidFill>
                </w14:textFill>
              </w:rPr>
              <w:t>114</w:t>
            </w:r>
          </w:p>
        </w:tc>
        <w:tc>
          <w:tcPr>
            <w:tcW w:w="391" w:type="pct"/>
            <w:vAlign w:val="center"/>
          </w:tcPr>
          <w:p w14:paraId="4CC1DB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0.0000</w:t>
            </w:r>
            <w:r>
              <w:rPr>
                <w:rFonts w:hint="eastAsia" w:eastAsia="宋体" w:cs="Times New Roman"/>
                <w:color w:val="000000" w:themeColor="text1"/>
                <w:u w:val="none" w:color="auto"/>
                <w:lang w:val="en-US" w:eastAsia="zh-CN"/>
                <w14:textFill>
                  <w14:solidFill>
                    <w14:schemeClr w14:val="tx1"/>
                  </w14:solidFill>
                </w14:textFill>
              </w:rPr>
              <w:t>296</w:t>
            </w:r>
          </w:p>
        </w:tc>
        <w:tc>
          <w:tcPr>
            <w:tcW w:w="513" w:type="pct"/>
            <w:vAlign w:val="center"/>
          </w:tcPr>
          <w:p w14:paraId="215639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w:t>
            </w:r>
            <w:r>
              <w:rPr>
                <w:rFonts w:hint="eastAsia" w:eastAsia="宋体" w:cs="Times New Roman"/>
                <w:color w:val="000000" w:themeColor="text1"/>
                <w:u w:val="none" w:color="auto"/>
                <w:lang w:val="en-US" w:eastAsia="zh-CN"/>
                <w14:textFill>
                  <w14:solidFill>
                    <w14:schemeClr w14:val="tx1"/>
                  </w14:solidFill>
                </w14:textFill>
              </w:rPr>
              <w:t>36678</w:t>
            </w:r>
          </w:p>
        </w:tc>
      </w:tr>
      <w:tr w14:paraId="6BDB580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42" w:type="pct"/>
            <w:vAlign w:val="center"/>
          </w:tcPr>
          <w:p w14:paraId="4B7817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w:t>
            </w:r>
          </w:p>
        </w:tc>
        <w:tc>
          <w:tcPr>
            <w:tcW w:w="572" w:type="pct"/>
            <w:vAlign w:val="center"/>
          </w:tcPr>
          <w:p w14:paraId="706CC6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113°16′24.28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482" w:type="pct"/>
            <w:vAlign w:val="center"/>
          </w:tcPr>
          <w:p w14:paraId="6CA333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28°47′8.962″</w:t>
            </w:r>
          </w:p>
        </w:tc>
        <w:tc>
          <w:tcPr>
            <w:tcW w:w="421" w:type="pct"/>
            <w:vAlign w:val="center"/>
          </w:tcPr>
          <w:p w14:paraId="234BC2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w:t>
            </w:r>
          </w:p>
        </w:tc>
        <w:tc>
          <w:tcPr>
            <w:tcW w:w="560" w:type="pct"/>
            <w:vAlign w:val="center"/>
          </w:tcPr>
          <w:p w14:paraId="3DE6AF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p>
        </w:tc>
        <w:tc>
          <w:tcPr>
            <w:tcW w:w="561" w:type="pct"/>
            <w:vAlign w:val="center"/>
          </w:tcPr>
          <w:p w14:paraId="1935D4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564" w:type="pct"/>
            <w:vAlign w:val="center"/>
          </w:tcPr>
          <w:p w14:paraId="2D1A1F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391" w:type="pct"/>
            <w:vAlign w:val="center"/>
          </w:tcPr>
          <w:p w14:paraId="2DFF68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0.0000482</w:t>
            </w:r>
          </w:p>
        </w:tc>
        <w:tc>
          <w:tcPr>
            <w:tcW w:w="391" w:type="pct"/>
            <w:vAlign w:val="center"/>
          </w:tcPr>
          <w:p w14:paraId="582616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0.0000019</w:t>
            </w:r>
          </w:p>
        </w:tc>
        <w:tc>
          <w:tcPr>
            <w:tcW w:w="513" w:type="pct"/>
            <w:vAlign w:val="center"/>
          </w:tcPr>
          <w:p w14:paraId="67C5DF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72DF37D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各污染物最大地面浓度占标率及D10%</w:t>
      </w:r>
    </w:p>
    <w:tbl>
      <w:tblPr>
        <w:tblStyle w:val="37"/>
        <w:tblW w:w="4996"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2046"/>
        <w:gridCol w:w="2423"/>
        <w:gridCol w:w="2424"/>
        <w:gridCol w:w="2424"/>
        <w:gridCol w:w="2424"/>
        <w:gridCol w:w="2424"/>
      </w:tblGrid>
      <w:tr w14:paraId="1C57C08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blHeader/>
        </w:trPr>
        <w:tc>
          <w:tcPr>
            <w:tcW w:w="722" w:type="pct"/>
            <w:vAlign w:val="center"/>
          </w:tcPr>
          <w:p w14:paraId="786E27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污染源名称</w:t>
            </w:r>
          </w:p>
        </w:tc>
        <w:tc>
          <w:tcPr>
            <w:tcW w:w="855" w:type="pct"/>
            <w:vAlign w:val="center"/>
          </w:tcPr>
          <w:p w14:paraId="34FB63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评价因子</w:t>
            </w:r>
          </w:p>
        </w:tc>
        <w:tc>
          <w:tcPr>
            <w:tcW w:w="855" w:type="pct"/>
            <w:vAlign w:val="center"/>
          </w:tcPr>
          <w:p w14:paraId="2B1D9F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评价标准（μg/m³）</w:t>
            </w:r>
          </w:p>
        </w:tc>
        <w:tc>
          <w:tcPr>
            <w:tcW w:w="855" w:type="pct"/>
            <w:vAlign w:val="center"/>
          </w:tcPr>
          <w:p w14:paraId="2A7AB8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Cmax（μg/m³）</w:t>
            </w:r>
          </w:p>
        </w:tc>
        <w:tc>
          <w:tcPr>
            <w:tcW w:w="855" w:type="pct"/>
            <w:vAlign w:val="center"/>
          </w:tcPr>
          <w:p w14:paraId="410F4E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Pmax（%）</w:t>
            </w:r>
          </w:p>
        </w:tc>
        <w:tc>
          <w:tcPr>
            <w:tcW w:w="855" w:type="pct"/>
            <w:vAlign w:val="center"/>
          </w:tcPr>
          <w:p w14:paraId="03317B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D10%（m）</w:t>
            </w:r>
          </w:p>
        </w:tc>
      </w:tr>
      <w:tr w14:paraId="32DA762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22" w:type="pct"/>
            <w:vMerge w:val="restart"/>
            <w:vAlign w:val="center"/>
          </w:tcPr>
          <w:p w14:paraId="6D812D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DA001</w:t>
            </w:r>
          </w:p>
        </w:tc>
        <w:tc>
          <w:tcPr>
            <w:tcW w:w="855" w:type="pct"/>
            <w:vAlign w:val="center"/>
          </w:tcPr>
          <w:p w14:paraId="0FC98B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855" w:type="pct"/>
            <w:vAlign w:val="center"/>
          </w:tcPr>
          <w:p w14:paraId="41E806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w:t>
            </w:r>
          </w:p>
        </w:tc>
        <w:tc>
          <w:tcPr>
            <w:tcW w:w="855" w:type="pct"/>
            <w:vAlign w:val="center"/>
          </w:tcPr>
          <w:p w14:paraId="7D479C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8.7361</w:t>
            </w:r>
          </w:p>
        </w:tc>
        <w:tc>
          <w:tcPr>
            <w:tcW w:w="855" w:type="pct"/>
            <w:vAlign w:val="center"/>
          </w:tcPr>
          <w:p w14:paraId="3F4AFD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4.37</w:t>
            </w:r>
          </w:p>
        </w:tc>
        <w:tc>
          <w:tcPr>
            <w:tcW w:w="855" w:type="pct"/>
            <w:vAlign w:val="center"/>
          </w:tcPr>
          <w:p w14:paraId="3AFDBA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r>
      <w:tr w14:paraId="063EC1C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22" w:type="pct"/>
            <w:vMerge w:val="continue"/>
            <w:vAlign w:val="center"/>
          </w:tcPr>
          <w:p w14:paraId="01F495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55" w:type="pct"/>
            <w:vAlign w:val="center"/>
          </w:tcPr>
          <w:p w14:paraId="1F1E2A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855" w:type="pct"/>
            <w:vAlign w:val="center"/>
          </w:tcPr>
          <w:p w14:paraId="635C82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855" w:type="pct"/>
            <w:shd w:val="clear" w:color="auto" w:fill="auto"/>
            <w:vAlign w:val="center"/>
          </w:tcPr>
          <w:p w14:paraId="6F0CB6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0.472271</w:t>
            </w:r>
          </w:p>
        </w:tc>
        <w:tc>
          <w:tcPr>
            <w:tcW w:w="855" w:type="pct"/>
            <w:shd w:val="clear" w:color="auto" w:fill="BEBEBE" w:themeFill="background1" w:themeFillShade="BF"/>
            <w:vAlign w:val="center"/>
          </w:tcPr>
          <w:p w14:paraId="55C9EB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4.72</w:t>
            </w:r>
          </w:p>
        </w:tc>
        <w:tc>
          <w:tcPr>
            <w:tcW w:w="855" w:type="pct"/>
            <w:shd w:val="clear" w:color="auto" w:fill="auto"/>
            <w:vAlign w:val="center"/>
          </w:tcPr>
          <w:p w14:paraId="3E4F60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r>
      <w:tr w14:paraId="3DEB3F9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22" w:type="pct"/>
            <w:vMerge w:val="continue"/>
            <w:vAlign w:val="center"/>
          </w:tcPr>
          <w:p w14:paraId="309D7D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55" w:type="pct"/>
            <w:vAlign w:val="center"/>
          </w:tcPr>
          <w:p w14:paraId="24D578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855" w:type="pct"/>
            <w:vAlign w:val="center"/>
          </w:tcPr>
          <w:p w14:paraId="2C781F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3"/>
                <w:szCs w:val="23"/>
                <w:u w:val="none" w:color="auto"/>
                <w:lang w:val="en-US" w:eastAsia="zh-CN"/>
                <w14:textFill>
                  <w14:solidFill>
                    <w14:schemeClr w14:val="tx1"/>
                  </w14:solidFill>
                </w14:textFill>
              </w:rPr>
              <w:t>2000</w:t>
            </w:r>
          </w:p>
        </w:tc>
        <w:tc>
          <w:tcPr>
            <w:tcW w:w="855" w:type="pct"/>
            <w:vAlign w:val="center"/>
          </w:tcPr>
          <w:p w14:paraId="176E40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63.67135</w:t>
            </w:r>
          </w:p>
        </w:tc>
        <w:tc>
          <w:tcPr>
            <w:tcW w:w="855" w:type="pct"/>
            <w:vAlign w:val="center"/>
          </w:tcPr>
          <w:p w14:paraId="7BA5F5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3.18</w:t>
            </w:r>
          </w:p>
        </w:tc>
        <w:tc>
          <w:tcPr>
            <w:tcW w:w="855" w:type="pct"/>
            <w:vAlign w:val="center"/>
          </w:tcPr>
          <w:p w14:paraId="28D2E6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r>
      <w:tr w14:paraId="5A7EA15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22" w:type="pct"/>
            <w:vMerge w:val="restart"/>
            <w:vAlign w:val="center"/>
          </w:tcPr>
          <w:p w14:paraId="04F2AC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w:t>
            </w:r>
          </w:p>
        </w:tc>
        <w:tc>
          <w:tcPr>
            <w:tcW w:w="855" w:type="pct"/>
            <w:vAlign w:val="center"/>
          </w:tcPr>
          <w:p w14:paraId="6CD019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855" w:type="pct"/>
            <w:shd w:val="clear" w:color="auto" w:fill="auto"/>
            <w:vAlign w:val="center"/>
          </w:tcPr>
          <w:p w14:paraId="066348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w:t>
            </w:r>
          </w:p>
        </w:tc>
        <w:tc>
          <w:tcPr>
            <w:tcW w:w="855" w:type="pct"/>
            <w:vAlign w:val="center"/>
          </w:tcPr>
          <w:p w14:paraId="29D630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0.63408</w:t>
            </w:r>
          </w:p>
        </w:tc>
        <w:tc>
          <w:tcPr>
            <w:tcW w:w="855" w:type="pct"/>
            <w:vAlign w:val="center"/>
          </w:tcPr>
          <w:p w14:paraId="1910C7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0.32</w:t>
            </w:r>
          </w:p>
        </w:tc>
        <w:tc>
          <w:tcPr>
            <w:tcW w:w="855" w:type="pct"/>
            <w:vAlign w:val="center"/>
          </w:tcPr>
          <w:p w14:paraId="33BC51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r>
      <w:tr w14:paraId="2D2930E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22" w:type="pct"/>
            <w:vMerge w:val="continue"/>
            <w:vAlign w:val="center"/>
          </w:tcPr>
          <w:p w14:paraId="470047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55" w:type="pct"/>
            <w:vAlign w:val="center"/>
          </w:tcPr>
          <w:p w14:paraId="70D1F1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855" w:type="pct"/>
            <w:shd w:val="clear" w:color="auto" w:fill="auto"/>
            <w:vAlign w:val="center"/>
          </w:tcPr>
          <w:p w14:paraId="412AC4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855" w:type="pct"/>
            <w:vAlign w:val="center"/>
          </w:tcPr>
          <w:p w14:paraId="20B76B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w:t>
            </w:r>
            <w:r>
              <w:rPr>
                <w:rFonts w:hint="eastAsia" w:eastAsia="宋体" w:cs="Times New Roman"/>
                <w:color w:val="000000" w:themeColor="text1"/>
                <w:u w:val="none" w:color="auto"/>
                <w:lang w:val="en-US" w:eastAsia="zh-CN"/>
                <w14:textFill>
                  <w14:solidFill>
                    <w14:schemeClr w14:val="tx1"/>
                  </w14:solidFill>
                </w14:textFill>
              </w:rPr>
              <w:t>36701</w:t>
            </w:r>
          </w:p>
        </w:tc>
        <w:tc>
          <w:tcPr>
            <w:tcW w:w="855" w:type="pct"/>
            <w:vAlign w:val="center"/>
          </w:tcPr>
          <w:p w14:paraId="379FD8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0.37</w:t>
            </w:r>
          </w:p>
        </w:tc>
        <w:tc>
          <w:tcPr>
            <w:tcW w:w="855" w:type="pct"/>
            <w:vAlign w:val="center"/>
          </w:tcPr>
          <w:p w14:paraId="0A45A7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r>
      <w:tr w14:paraId="046DF35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22" w:type="pct"/>
            <w:vMerge w:val="continue"/>
            <w:vAlign w:val="center"/>
          </w:tcPr>
          <w:p w14:paraId="20468D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55" w:type="pct"/>
            <w:vAlign w:val="center"/>
          </w:tcPr>
          <w:p w14:paraId="4DA971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855" w:type="pct"/>
            <w:shd w:val="clear" w:color="auto" w:fill="auto"/>
            <w:vAlign w:val="center"/>
          </w:tcPr>
          <w:p w14:paraId="786DE0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3"/>
                <w:szCs w:val="23"/>
                <w:u w:val="none" w:color="auto"/>
                <w:lang w:val="en-US" w:eastAsia="zh-CN"/>
                <w14:textFill>
                  <w14:solidFill>
                    <w14:schemeClr w14:val="tx1"/>
                  </w14:solidFill>
                </w14:textFill>
              </w:rPr>
              <w:t>2000</w:t>
            </w:r>
          </w:p>
        </w:tc>
        <w:tc>
          <w:tcPr>
            <w:tcW w:w="855" w:type="pct"/>
            <w:vAlign w:val="center"/>
          </w:tcPr>
          <w:p w14:paraId="2A4CB2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4.547671</w:t>
            </w:r>
          </w:p>
        </w:tc>
        <w:tc>
          <w:tcPr>
            <w:tcW w:w="855" w:type="pct"/>
            <w:vAlign w:val="center"/>
          </w:tcPr>
          <w:p w14:paraId="5B68CF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0.23</w:t>
            </w:r>
          </w:p>
        </w:tc>
        <w:tc>
          <w:tcPr>
            <w:tcW w:w="855" w:type="pct"/>
            <w:vAlign w:val="center"/>
          </w:tcPr>
          <w:p w14:paraId="5EF552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r>
      <w:tr w14:paraId="2848D74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22" w:type="pct"/>
            <w:vMerge w:val="restart"/>
            <w:vAlign w:val="center"/>
          </w:tcPr>
          <w:p w14:paraId="086131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w:t>
            </w:r>
          </w:p>
        </w:tc>
        <w:tc>
          <w:tcPr>
            <w:tcW w:w="855" w:type="pct"/>
            <w:shd w:val="clear" w:color="auto" w:fill="auto"/>
            <w:vAlign w:val="center"/>
          </w:tcPr>
          <w:p w14:paraId="582194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855" w:type="pct"/>
            <w:shd w:val="clear" w:color="auto" w:fill="auto"/>
            <w:vAlign w:val="center"/>
          </w:tcPr>
          <w:p w14:paraId="409CD2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w:t>
            </w:r>
          </w:p>
        </w:tc>
        <w:tc>
          <w:tcPr>
            <w:tcW w:w="855" w:type="pct"/>
            <w:vAlign w:val="center"/>
          </w:tcPr>
          <w:p w14:paraId="640B0E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0.10572</w:t>
            </w:r>
          </w:p>
        </w:tc>
        <w:tc>
          <w:tcPr>
            <w:tcW w:w="855" w:type="pct"/>
            <w:vAlign w:val="center"/>
          </w:tcPr>
          <w:p w14:paraId="6A0BCB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0.05</w:t>
            </w:r>
          </w:p>
        </w:tc>
        <w:tc>
          <w:tcPr>
            <w:tcW w:w="855" w:type="pct"/>
            <w:vAlign w:val="center"/>
          </w:tcPr>
          <w:p w14:paraId="6F164D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r>
      <w:tr w14:paraId="283FCAE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722" w:type="pct"/>
            <w:vMerge w:val="continue"/>
            <w:vAlign w:val="center"/>
          </w:tcPr>
          <w:p w14:paraId="573D3F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855" w:type="pct"/>
            <w:shd w:val="clear" w:color="auto" w:fill="auto"/>
            <w:vAlign w:val="center"/>
          </w:tcPr>
          <w:p w14:paraId="460A7B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855" w:type="pct"/>
            <w:shd w:val="clear" w:color="auto" w:fill="auto"/>
            <w:vAlign w:val="center"/>
          </w:tcPr>
          <w:p w14:paraId="589A51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855" w:type="pct"/>
            <w:vAlign w:val="center"/>
          </w:tcPr>
          <w:p w14:paraId="24344B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0.004167</w:t>
            </w:r>
          </w:p>
        </w:tc>
        <w:tc>
          <w:tcPr>
            <w:tcW w:w="855" w:type="pct"/>
            <w:vAlign w:val="center"/>
          </w:tcPr>
          <w:p w14:paraId="2BD55F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0.04</w:t>
            </w:r>
          </w:p>
        </w:tc>
        <w:tc>
          <w:tcPr>
            <w:tcW w:w="855" w:type="pct"/>
            <w:vAlign w:val="center"/>
          </w:tcPr>
          <w:p w14:paraId="63D059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r>
    </w:tbl>
    <w:p w14:paraId="5696906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sectPr>
          <w:pgSz w:w="16840" w:h="11907" w:orient="landscape"/>
          <w:pgMar w:top="1797" w:right="1440" w:bottom="1797" w:left="1440" w:header="851" w:footer="992" w:gutter="0"/>
          <w:pgBorders>
            <w:top w:val="none" w:sz="0" w:space="0"/>
            <w:left w:val="none" w:sz="0" w:space="0"/>
            <w:bottom w:val="none" w:sz="0" w:space="0"/>
            <w:right w:val="none" w:sz="0" w:space="0"/>
          </w:pgBorders>
          <w:cols w:space="720" w:num="1"/>
          <w:docGrid w:linePitch="326" w:charSpace="0"/>
        </w:sectPr>
      </w:pPr>
    </w:p>
    <w:p w14:paraId="0132D87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评价等级按下表的分级进行划分。</w:t>
      </w:r>
    </w:p>
    <w:p w14:paraId="16A63581">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评价工作级别一览表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25"/>
        <w:gridCol w:w="6004"/>
      </w:tblGrid>
      <w:tr w14:paraId="62743D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0" w:type="pct"/>
            <w:vAlign w:val="center"/>
          </w:tcPr>
          <w:p w14:paraId="015F50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评价工作等级</w:t>
            </w:r>
          </w:p>
        </w:tc>
        <w:tc>
          <w:tcPr>
            <w:tcW w:w="3519" w:type="pct"/>
            <w:vAlign w:val="center"/>
          </w:tcPr>
          <w:p w14:paraId="409300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评价工作分级判据</w:t>
            </w:r>
          </w:p>
        </w:tc>
      </w:tr>
      <w:tr w14:paraId="619428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0" w:type="pct"/>
            <w:shd w:val="clear" w:color="auto" w:fill="auto"/>
            <w:vAlign w:val="center"/>
          </w:tcPr>
          <w:p w14:paraId="2063AE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3519" w:type="pct"/>
            <w:shd w:val="clear" w:color="auto" w:fill="auto"/>
            <w:vAlign w:val="center"/>
          </w:tcPr>
          <w:p w14:paraId="2B2911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Pmax≥10%</w:t>
            </w:r>
          </w:p>
        </w:tc>
      </w:tr>
      <w:tr w14:paraId="0D5549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0" w:type="pct"/>
            <w:shd w:val="clear" w:color="auto" w:fill="BEBEBE" w:themeFill="background1" w:themeFillShade="BF"/>
            <w:vAlign w:val="center"/>
          </w:tcPr>
          <w:p w14:paraId="0BDE65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3519" w:type="pct"/>
            <w:shd w:val="clear" w:color="auto" w:fill="BEBEBE" w:themeFill="background1" w:themeFillShade="BF"/>
            <w:vAlign w:val="center"/>
          </w:tcPr>
          <w:p w14:paraId="6DD7DD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1%≤Pmax＜10%</w:t>
            </w:r>
          </w:p>
        </w:tc>
      </w:tr>
      <w:tr w14:paraId="06A12C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1480" w:type="pct"/>
            <w:vAlign w:val="center"/>
          </w:tcPr>
          <w:p w14:paraId="1BF47D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3519" w:type="pct"/>
            <w:vAlign w:val="center"/>
          </w:tcPr>
          <w:p w14:paraId="0D72C2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Pmax＜1%</w:t>
            </w:r>
          </w:p>
        </w:tc>
      </w:tr>
    </w:tbl>
    <w:p w14:paraId="702588D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本项目Pmax最大值出现为DA00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排放的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S </w:t>
      </w:r>
      <w:r>
        <w:rPr>
          <w:rFonts w:hint="default" w:ascii="Times New Roman" w:hAnsi="Times New Roman" w:eastAsia="宋体" w:cs="Times New Roman"/>
          <w:color w:val="000000" w:themeColor="text1"/>
          <w:u w:val="none" w:color="auto"/>
          <w14:textFill>
            <w14:solidFill>
              <w14:schemeClr w14:val="tx1"/>
            </w14:solidFill>
          </w14:textFill>
        </w:rPr>
        <w:t>Pmax值为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4.72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szCs w:val="24"/>
          <w:u w:val="none" w:color="auto"/>
          <w14:textFill>
            <w14:solidFill>
              <w14:schemeClr w14:val="tx1"/>
            </w14:solidFill>
          </w14:textFill>
        </w:rPr>
        <w:t>根据</w:t>
      </w:r>
      <w:r>
        <w:rPr>
          <w:rFonts w:hint="default" w:ascii="Times New Roman" w:hAnsi="Times New Roman" w:eastAsia="宋体" w:cs="Times New Roman"/>
          <w:color w:val="000000" w:themeColor="text1"/>
          <w:u w:val="none" w:color="auto"/>
          <w14:textFill>
            <w14:solidFill>
              <w14:schemeClr w14:val="tx1"/>
            </w14:solidFill>
          </w14:textFill>
        </w:rPr>
        <w:t>《环境影响评价技术导则 大气环境》（HJ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2.2-2018）分级判据，确定本项目大气环境影响评价工作等级为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w:t>
      </w:r>
      <w:r>
        <w:rPr>
          <w:rFonts w:hint="default" w:ascii="Times New Roman" w:hAnsi="Times New Roman" w:eastAsia="宋体" w:cs="Times New Roman"/>
          <w:color w:val="000000" w:themeColor="text1"/>
          <w:u w:val="none" w:color="auto"/>
          <w14:textFill>
            <w14:solidFill>
              <w14:schemeClr w14:val="tx1"/>
            </w14:solidFill>
          </w14:textFill>
        </w:rPr>
        <w:t>级。</w:t>
      </w:r>
    </w:p>
    <w:p w14:paraId="6B00283A">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2.6.1.2 地表水</w:t>
      </w:r>
    </w:p>
    <w:p w14:paraId="00141DD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地表水环境》（HJ/T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2018），建设项目地表水环境影响评价等级按照影响类型、排放方式、排放量或影响情况、受纳水体环境质量现状、水环境保护目标等综合确定。直接排放建设项目评价等级分为一级、二级和三级A，根据废水排放量、水污染物污染当量数确定。本项目地表水评价级别判据见下表。</w:t>
      </w:r>
    </w:p>
    <w:p w14:paraId="448FAEB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 xml:space="preserve">  地表水评价级别判据</w:t>
      </w:r>
    </w:p>
    <w:tbl>
      <w:tblPr>
        <w:tblStyle w:val="37"/>
        <w:tblW w:w="8640" w:type="dxa"/>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685"/>
        <w:gridCol w:w="5703"/>
      </w:tblGrid>
      <w:tr w14:paraId="6834DA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Merge w:val="restart"/>
            <w:vAlign w:val="center"/>
          </w:tcPr>
          <w:p w14:paraId="572ED7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评价等级</w:t>
            </w:r>
          </w:p>
        </w:tc>
        <w:tc>
          <w:tcPr>
            <w:tcW w:w="7388" w:type="dxa"/>
            <w:gridSpan w:val="2"/>
            <w:vAlign w:val="center"/>
          </w:tcPr>
          <w:p w14:paraId="3B05CA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受纳水体情况</w:t>
            </w:r>
          </w:p>
        </w:tc>
      </w:tr>
      <w:tr w14:paraId="0F6107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Merge w:val="continue"/>
            <w:vAlign w:val="center"/>
          </w:tcPr>
          <w:p w14:paraId="4EB00F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685" w:type="dxa"/>
            <w:vAlign w:val="center"/>
          </w:tcPr>
          <w:p w14:paraId="534A1D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排放方式</w:t>
            </w:r>
          </w:p>
        </w:tc>
        <w:tc>
          <w:tcPr>
            <w:tcW w:w="5703" w:type="dxa"/>
            <w:vAlign w:val="center"/>
          </w:tcPr>
          <w:p w14:paraId="5D5E8D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废水排放量Q/（m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/d）水污染物当量数W/（无量纲）</w:t>
            </w:r>
          </w:p>
        </w:tc>
      </w:tr>
      <w:tr w14:paraId="12E633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Align w:val="center"/>
          </w:tcPr>
          <w:p w14:paraId="1873B6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1685" w:type="dxa"/>
            <w:vAlign w:val="center"/>
          </w:tcPr>
          <w:p w14:paraId="2A37E2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直接排放</w:t>
            </w:r>
          </w:p>
        </w:tc>
        <w:tc>
          <w:tcPr>
            <w:tcW w:w="5703" w:type="dxa"/>
            <w:vAlign w:val="center"/>
          </w:tcPr>
          <w:p w14:paraId="3CFB61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Q≥20000或W≥600000</w:t>
            </w:r>
          </w:p>
        </w:tc>
      </w:tr>
      <w:tr w14:paraId="779817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Align w:val="center"/>
          </w:tcPr>
          <w:p w14:paraId="2462E0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1685" w:type="dxa"/>
            <w:vAlign w:val="center"/>
          </w:tcPr>
          <w:p w14:paraId="004644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直接排放</w:t>
            </w:r>
          </w:p>
        </w:tc>
        <w:tc>
          <w:tcPr>
            <w:tcW w:w="5703" w:type="dxa"/>
            <w:vAlign w:val="center"/>
          </w:tcPr>
          <w:p w14:paraId="22C841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其他</w:t>
            </w:r>
          </w:p>
        </w:tc>
      </w:tr>
      <w:tr w14:paraId="35BFCB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Align w:val="center"/>
          </w:tcPr>
          <w:p w14:paraId="20DA83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三级A</w:t>
            </w:r>
          </w:p>
        </w:tc>
        <w:tc>
          <w:tcPr>
            <w:tcW w:w="1685" w:type="dxa"/>
            <w:vAlign w:val="center"/>
          </w:tcPr>
          <w:p w14:paraId="79F41D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直接排放</w:t>
            </w:r>
          </w:p>
        </w:tc>
        <w:tc>
          <w:tcPr>
            <w:tcW w:w="5703" w:type="dxa"/>
            <w:vAlign w:val="center"/>
          </w:tcPr>
          <w:p w14:paraId="2511C5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Q&lt;200且W&lt;6000</w:t>
            </w:r>
          </w:p>
        </w:tc>
      </w:tr>
      <w:tr w14:paraId="67B5F9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shd w:val="clear" w:color="auto" w:fill="BEBEBE" w:themeFill="background1" w:themeFillShade="BF"/>
            <w:vAlign w:val="center"/>
          </w:tcPr>
          <w:p w14:paraId="19F464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三级B</w:t>
            </w:r>
          </w:p>
        </w:tc>
        <w:tc>
          <w:tcPr>
            <w:tcW w:w="1685" w:type="dxa"/>
            <w:shd w:val="clear" w:color="auto" w:fill="BEBEBE" w:themeFill="background1" w:themeFillShade="BF"/>
            <w:vAlign w:val="center"/>
          </w:tcPr>
          <w:p w14:paraId="4FC795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间接排放</w:t>
            </w:r>
          </w:p>
        </w:tc>
        <w:tc>
          <w:tcPr>
            <w:tcW w:w="5703" w:type="dxa"/>
            <w:shd w:val="clear" w:color="auto" w:fill="BEBEBE" w:themeFill="background1" w:themeFillShade="BF"/>
            <w:vAlign w:val="center"/>
          </w:tcPr>
          <w:p w14:paraId="36BC0F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362768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0" w:type="dxa"/>
            <w:gridSpan w:val="3"/>
            <w:vAlign w:val="center"/>
          </w:tcPr>
          <w:p w14:paraId="4B436D2B">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三级B。</w:t>
            </w:r>
          </w:p>
          <w:p w14:paraId="74BFEECC">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2：废水排放量按行业排放标准中规定的废水种类统计，没有相关行业排放标准要求的通过工程分析合理确定，应统数从大到小排序，取最大当量数作为建设项目评价等级确定的依据。计含热量大的冷却水的排放量，可不统计间接冷却水、循环水以及其他含污染物极少的清净下水的排放量。</w:t>
            </w:r>
          </w:p>
          <w:p w14:paraId="023902B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注3：厂区存在堆积物（露天堆放的原料、燃料、废渣等以及垃圾堆放场）、降尘污染的，应将初期雨污水纳入废水排放量，相应的主要污染物纳入水污染当量计算。</w:t>
            </w:r>
          </w:p>
          <w:p w14:paraId="6029206F">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注4：建设项目直接排放第一类污染物的，其评价等级为一级；建设项目直接排放的污染物为受纳水体超标因子的，评价等级不低于二级。</w:t>
            </w:r>
          </w:p>
          <w:p w14:paraId="24CE1DE4">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注5：直接排放受纳水体影响范围涉及饮用水水源保护区、饮用水取水口、重点保护与珍稀水生生物的栖息地、重要水的特征生生物的自然产卵场等保护目标时，评价等级不低于二级。</w:t>
            </w:r>
          </w:p>
          <w:p w14:paraId="125D7CF6">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注6：建设项目向河流、湖库排放温排水引起受纳水体水温变化超过水环境质量标准要求，且评价范围有水温敏感目标段、入冲刻时，评价等级为一级。</w:t>
            </w:r>
          </w:p>
          <w:p w14:paraId="278FA7A2">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注7：建设项目利用海水作为调节温度介质，排水量≥500万m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/d，评价等级为一级；排水量&lt;500万m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/d，评价等级为二级。</w:t>
            </w:r>
          </w:p>
          <w:p w14:paraId="4D1EC984">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注8：仅涉及清净下水排放的，如其排放水质满足受纳水体水环境质量标准要求的，评价等级为三级A。</w:t>
            </w:r>
          </w:p>
          <w:p w14:paraId="3125BAB9">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注9：依托现有排放口，且对外环境未新增排放污染物的直接排放建设项目，评价等级参照间接排放，定为三级B。</w:t>
            </w:r>
          </w:p>
          <w:p w14:paraId="0F792905">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注10：建设项目生产工艺中有废水产生，但作为回水利用，不排放到外环境的，按三级B评价。</w:t>
            </w:r>
          </w:p>
        </w:tc>
      </w:tr>
    </w:tbl>
    <w:p w14:paraId="102CEF9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本项目生产废水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经隔油池+A/O预处理后通过园区污水管网排入园平江高新区污水处理厂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，生活污水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经园区化粪池处理通过园区污水管网排入园平江高新区污水处理厂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项目废水属于间接排放</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因此，</w:t>
      </w:r>
      <w:r>
        <w:rPr>
          <w:rFonts w:hint="default" w:ascii="Times New Roman" w:hAnsi="Times New Roman" w:eastAsia="宋体" w:cs="Times New Roman"/>
          <w:color w:val="000000" w:themeColor="text1"/>
          <w:u w:val="none" w:color="auto"/>
          <w14:textFill>
            <w14:solidFill>
              <w14:schemeClr w14:val="tx1"/>
            </w14:solidFill>
          </w14:textFill>
        </w:rPr>
        <w:t>本项目地表水评价等级为三级B。</w:t>
      </w:r>
    </w:p>
    <w:p w14:paraId="26EFF80E">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2.6.1.3 地下水环境</w:t>
      </w:r>
    </w:p>
    <w:p w14:paraId="5F0BEB2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本项目属于《环境影响评价技术导则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地下水环境》（HJ610-2016）附录A地下水环境影响评价行业分类表中</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U 城镇基础设施及房地产-155废旧资源（含生物质）加工、再生利用-废油等加工、再生利用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，地下水环境影响评价类别为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Ⅲ类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p>
    <w:p w14:paraId="67492E9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地下水环境》（HJ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610-2016），地下水环境敏感程度分级表见下表。</w:t>
      </w:r>
    </w:p>
    <w:p w14:paraId="7D8DB85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 xml:space="preserve">  地下水环境敏感程度分级表</w:t>
      </w:r>
    </w:p>
    <w:tbl>
      <w:tblPr>
        <w:tblStyle w:val="37"/>
        <w:tblW w:w="0" w:type="auto"/>
        <w:tblInd w:w="-12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384"/>
        <w:gridCol w:w="7144"/>
      </w:tblGrid>
      <w:tr w14:paraId="643F4E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vAlign w:val="center"/>
          </w:tcPr>
          <w:p w14:paraId="40E4C4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敏感程度</w:t>
            </w:r>
          </w:p>
        </w:tc>
        <w:tc>
          <w:tcPr>
            <w:tcW w:w="7144" w:type="dxa"/>
            <w:vAlign w:val="center"/>
          </w:tcPr>
          <w:p w14:paraId="2349E0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地下水环境敏感特征</w:t>
            </w:r>
          </w:p>
        </w:tc>
      </w:tr>
      <w:tr w14:paraId="035E01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vAlign w:val="center"/>
          </w:tcPr>
          <w:p w14:paraId="6BA367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敏感</w:t>
            </w:r>
          </w:p>
        </w:tc>
        <w:tc>
          <w:tcPr>
            <w:tcW w:w="7144" w:type="dxa"/>
            <w:vAlign w:val="center"/>
          </w:tcPr>
          <w:p w14:paraId="76D5CE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0670E9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vAlign w:val="center"/>
          </w:tcPr>
          <w:p w14:paraId="4860B8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较敏感</w:t>
            </w:r>
          </w:p>
        </w:tc>
        <w:tc>
          <w:tcPr>
            <w:tcW w:w="7144" w:type="dxa"/>
            <w:vAlign w:val="center"/>
          </w:tcPr>
          <w:p w14:paraId="41A232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a。</w:t>
            </w:r>
          </w:p>
        </w:tc>
      </w:tr>
      <w:tr w14:paraId="6043DA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shd w:val="clear" w:color="auto" w:fill="BEBEBE" w:themeFill="background1" w:themeFillShade="BF"/>
            <w:vAlign w:val="center"/>
          </w:tcPr>
          <w:p w14:paraId="34CCD7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不敏感</w:t>
            </w:r>
          </w:p>
        </w:tc>
        <w:tc>
          <w:tcPr>
            <w:tcW w:w="7144" w:type="dxa"/>
            <w:shd w:val="clear" w:color="auto" w:fill="BEBEBE" w:themeFill="background1" w:themeFillShade="BF"/>
            <w:vAlign w:val="center"/>
          </w:tcPr>
          <w:p w14:paraId="31673A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上述地区之外的其它地区。</w:t>
            </w:r>
          </w:p>
        </w:tc>
      </w:tr>
      <w:tr w14:paraId="0A6975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528" w:type="dxa"/>
            <w:gridSpan w:val="2"/>
            <w:vAlign w:val="center"/>
          </w:tcPr>
          <w:p w14:paraId="26118D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注：a</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环境敏感区</w:t>
            </w:r>
            <w:r>
              <w:rPr>
                <w:rFonts w:hint="eastAsia"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是指《建设项目环境影响评价分类管理名录》中所界定的涉及地下水的环境敏感区。</w:t>
            </w:r>
          </w:p>
        </w:tc>
      </w:tr>
    </w:tbl>
    <w:p w14:paraId="0ACD1F8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选址位于平江高新技术产业园区内，根据现场调查及资料收集，目前厂区周边居民饮用水为自来水，评价范围内无集中式饮用水水源保护区、准保护区及热水、矿泉水、温泉等特殊地下水资源保护区，也无集中式饮用水水源准保护区以外的补给径流区、分散式饮用水水源地及其他未列入敏感区的特殊地下水资源保护区以外的分布区，故地下水环境敏感程度为不敏感。</w:t>
      </w:r>
    </w:p>
    <w:p w14:paraId="7A3FD6E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地下水环境》（HJ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610-2016），建设项目地下水环境影响评价工作等级划分见下表。</w:t>
      </w:r>
    </w:p>
    <w:p w14:paraId="7E238F9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 xml:space="preserve">  地下水环境评价工作等级分级表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132"/>
        <w:gridCol w:w="2132"/>
        <w:gridCol w:w="2132"/>
        <w:gridCol w:w="2133"/>
      </w:tblGrid>
      <w:tr w14:paraId="5C122C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blHeader/>
          <w:jc w:val="center"/>
        </w:trPr>
        <w:tc>
          <w:tcPr>
            <w:tcW w:w="1250" w:type="pct"/>
            <w:shd w:val="clear" w:color="auto" w:fill="auto"/>
            <w:vAlign w:val="center"/>
          </w:tcPr>
          <w:p w14:paraId="354784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项目类别</w:t>
            </w:r>
          </w:p>
          <w:p w14:paraId="13A26A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环境敏感程度</w:t>
            </w:r>
          </w:p>
        </w:tc>
        <w:tc>
          <w:tcPr>
            <w:tcW w:w="1250" w:type="pct"/>
            <w:shd w:val="clear" w:color="auto" w:fill="auto"/>
            <w:vAlign w:val="center"/>
          </w:tcPr>
          <w:p w14:paraId="58E240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Ⅰ类项目</w:t>
            </w:r>
          </w:p>
        </w:tc>
        <w:tc>
          <w:tcPr>
            <w:tcW w:w="1250" w:type="pct"/>
            <w:shd w:val="clear" w:color="auto" w:fill="auto"/>
            <w:vAlign w:val="center"/>
          </w:tcPr>
          <w:p w14:paraId="7ACE01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Ⅱ类项目</w:t>
            </w:r>
          </w:p>
        </w:tc>
        <w:tc>
          <w:tcPr>
            <w:tcW w:w="1250" w:type="pct"/>
            <w:shd w:val="clear" w:color="auto" w:fill="auto"/>
            <w:vAlign w:val="center"/>
          </w:tcPr>
          <w:p w14:paraId="4C25AA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Ⅲ类项目</w:t>
            </w:r>
          </w:p>
        </w:tc>
      </w:tr>
      <w:tr w14:paraId="186A7F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shd w:val="clear" w:color="auto" w:fill="auto"/>
            <w:vAlign w:val="center"/>
          </w:tcPr>
          <w:p w14:paraId="402FFF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敏感</w:t>
            </w:r>
          </w:p>
        </w:tc>
        <w:tc>
          <w:tcPr>
            <w:tcW w:w="1250" w:type="pct"/>
            <w:shd w:val="clear" w:color="auto" w:fill="auto"/>
            <w:vAlign w:val="center"/>
          </w:tcPr>
          <w:p w14:paraId="0C7088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w:t>
            </w:r>
          </w:p>
        </w:tc>
        <w:tc>
          <w:tcPr>
            <w:tcW w:w="1250" w:type="pct"/>
            <w:shd w:val="clear" w:color="auto" w:fill="auto"/>
            <w:vAlign w:val="center"/>
          </w:tcPr>
          <w:p w14:paraId="543961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w:t>
            </w:r>
          </w:p>
        </w:tc>
        <w:tc>
          <w:tcPr>
            <w:tcW w:w="1250" w:type="pct"/>
            <w:shd w:val="clear" w:color="auto" w:fill="auto"/>
            <w:vAlign w:val="center"/>
          </w:tcPr>
          <w:p w14:paraId="384DB6C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w:t>
            </w:r>
          </w:p>
        </w:tc>
      </w:tr>
      <w:tr w14:paraId="0E555C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shd w:val="clear" w:color="auto" w:fill="auto"/>
            <w:vAlign w:val="center"/>
          </w:tcPr>
          <w:p w14:paraId="48BCB2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较敏感</w:t>
            </w:r>
          </w:p>
        </w:tc>
        <w:tc>
          <w:tcPr>
            <w:tcW w:w="1250" w:type="pct"/>
            <w:shd w:val="clear" w:color="auto" w:fill="auto"/>
            <w:vAlign w:val="center"/>
          </w:tcPr>
          <w:p w14:paraId="0A0B40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w:t>
            </w:r>
          </w:p>
        </w:tc>
        <w:tc>
          <w:tcPr>
            <w:tcW w:w="1250" w:type="pct"/>
            <w:shd w:val="clear" w:color="auto" w:fill="auto"/>
            <w:vAlign w:val="center"/>
          </w:tcPr>
          <w:p w14:paraId="6CAB1A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w:t>
            </w:r>
          </w:p>
        </w:tc>
        <w:tc>
          <w:tcPr>
            <w:tcW w:w="1250" w:type="pct"/>
            <w:shd w:val="clear" w:color="auto" w:fill="auto"/>
            <w:vAlign w:val="center"/>
          </w:tcPr>
          <w:p w14:paraId="7B1FCF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w:t>
            </w:r>
          </w:p>
        </w:tc>
      </w:tr>
      <w:tr w14:paraId="34DF5B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shd w:val="clear" w:color="auto" w:fill="auto"/>
            <w:vAlign w:val="center"/>
          </w:tcPr>
          <w:p w14:paraId="7BCCDC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不敏感</w:t>
            </w:r>
          </w:p>
        </w:tc>
        <w:tc>
          <w:tcPr>
            <w:tcW w:w="1250" w:type="pct"/>
            <w:shd w:val="clear" w:color="auto" w:fill="auto"/>
            <w:vAlign w:val="center"/>
          </w:tcPr>
          <w:p w14:paraId="7D2A58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w:t>
            </w:r>
          </w:p>
        </w:tc>
        <w:tc>
          <w:tcPr>
            <w:tcW w:w="1250" w:type="pct"/>
            <w:shd w:val="clear" w:color="auto" w:fill="auto"/>
            <w:vAlign w:val="center"/>
          </w:tcPr>
          <w:p w14:paraId="5C8735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w:t>
            </w:r>
          </w:p>
        </w:tc>
        <w:tc>
          <w:tcPr>
            <w:tcW w:w="1250" w:type="pct"/>
            <w:shd w:val="clear" w:color="auto" w:fill="BEBEBE" w:themeFill="background1" w:themeFillShade="BF"/>
            <w:vAlign w:val="center"/>
          </w:tcPr>
          <w:p w14:paraId="4A1F7B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w:t>
            </w:r>
          </w:p>
        </w:tc>
      </w:tr>
    </w:tbl>
    <w:p w14:paraId="77C6EAC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综上述所，本项目地下水环境影响行业类别为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Ⅰ类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项目，地下水环境影响敏感程度为不敏感，地下水环境影响评价等级为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w:t>
      </w:r>
      <w:r>
        <w:rPr>
          <w:rFonts w:hint="default" w:ascii="Times New Roman" w:hAnsi="Times New Roman" w:eastAsia="宋体" w:cs="Times New Roman"/>
          <w:color w:val="000000" w:themeColor="text1"/>
          <w:u w:val="none" w:color="auto"/>
          <w14:textFill>
            <w14:solidFill>
              <w14:schemeClr w14:val="tx1"/>
            </w14:solidFill>
          </w14:textFill>
        </w:rPr>
        <w:t>级</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p>
    <w:p w14:paraId="252A0952">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2.6.1.4 声环境</w:t>
      </w:r>
    </w:p>
    <w:p w14:paraId="58B462A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本项目位于《声环境质量标准》GB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3096-2008中3类区，主要声源为机械设备噪声等，建设项目建设前后评价范围内敏感目标噪声级增高量小于3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dB（A），且受影响人口数量变化不大。根据《环境影响评价技术导则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声环境》（HJ/T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2.4-2021）关于评价等级划分的规定，本项目声环境影响评价工作等级为三级。</w:t>
      </w:r>
    </w:p>
    <w:p w14:paraId="1B38C48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 xml:space="preserve">  环境噪声影响评价工作等级判定依据表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2"/>
        <w:gridCol w:w="1614"/>
        <w:gridCol w:w="2695"/>
        <w:gridCol w:w="2038"/>
      </w:tblGrid>
      <w:tr w14:paraId="1B9D03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79" w:type="pct"/>
            <w:vAlign w:val="center"/>
          </w:tcPr>
          <w:p w14:paraId="6BD779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评价等级</w:t>
            </w:r>
          </w:p>
        </w:tc>
        <w:tc>
          <w:tcPr>
            <w:tcW w:w="946" w:type="pct"/>
            <w:vAlign w:val="center"/>
          </w:tcPr>
          <w:p w14:paraId="444AFE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声环境功能区</w:t>
            </w:r>
          </w:p>
        </w:tc>
        <w:tc>
          <w:tcPr>
            <w:tcW w:w="1579" w:type="pct"/>
            <w:vAlign w:val="center"/>
          </w:tcPr>
          <w:p w14:paraId="0C1333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环境敏感目标噪声级增量</w:t>
            </w:r>
          </w:p>
        </w:tc>
        <w:tc>
          <w:tcPr>
            <w:tcW w:w="1194" w:type="pct"/>
            <w:vAlign w:val="center"/>
          </w:tcPr>
          <w:p w14:paraId="57B025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影响人口数量变化</w:t>
            </w:r>
          </w:p>
        </w:tc>
      </w:tr>
      <w:tr w14:paraId="3DC2D6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vAlign w:val="center"/>
          </w:tcPr>
          <w:p w14:paraId="71A067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946" w:type="pct"/>
            <w:vAlign w:val="center"/>
          </w:tcPr>
          <w:p w14:paraId="31B999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0类</w:t>
            </w:r>
          </w:p>
        </w:tc>
        <w:tc>
          <w:tcPr>
            <w:tcW w:w="1579" w:type="pct"/>
            <w:vAlign w:val="center"/>
          </w:tcPr>
          <w:p w14:paraId="38501D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&gt;5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dB（A）</w:t>
            </w:r>
          </w:p>
        </w:tc>
        <w:tc>
          <w:tcPr>
            <w:tcW w:w="1194" w:type="pct"/>
            <w:vAlign w:val="center"/>
          </w:tcPr>
          <w:p w14:paraId="748217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显著增多</w:t>
            </w:r>
          </w:p>
        </w:tc>
      </w:tr>
      <w:tr w14:paraId="135DA7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vAlign w:val="center"/>
          </w:tcPr>
          <w:p w14:paraId="769D8E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946" w:type="pct"/>
            <w:vAlign w:val="center"/>
          </w:tcPr>
          <w:p w14:paraId="157B13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1类，2类</w:t>
            </w:r>
          </w:p>
        </w:tc>
        <w:tc>
          <w:tcPr>
            <w:tcW w:w="1579" w:type="pct"/>
            <w:vAlign w:val="center"/>
          </w:tcPr>
          <w:p w14:paraId="2D9A95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dB（A），≤5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dB（A）</w:t>
            </w:r>
          </w:p>
        </w:tc>
        <w:tc>
          <w:tcPr>
            <w:tcW w:w="1194" w:type="pct"/>
            <w:vAlign w:val="center"/>
          </w:tcPr>
          <w:p w14:paraId="1E573A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较多</w:t>
            </w:r>
          </w:p>
        </w:tc>
      </w:tr>
      <w:tr w14:paraId="60A738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shd w:val="clear" w:color="auto" w:fill="BEBEBE" w:themeFill="background1" w:themeFillShade="BF"/>
            <w:vAlign w:val="center"/>
          </w:tcPr>
          <w:p w14:paraId="0AE17E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946" w:type="pct"/>
            <w:shd w:val="clear" w:color="auto" w:fill="BEBEBE" w:themeFill="background1" w:themeFillShade="BF"/>
            <w:vAlign w:val="center"/>
          </w:tcPr>
          <w:p w14:paraId="07AF48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3类，4类</w:t>
            </w:r>
          </w:p>
        </w:tc>
        <w:tc>
          <w:tcPr>
            <w:tcW w:w="1579" w:type="pct"/>
            <w:shd w:val="clear" w:color="auto" w:fill="BEBEBE" w:themeFill="background1" w:themeFillShade="BF"/>
            <w:vAlign w:val="center"/>
          </w:tcPr>
          <w:p w14:paraId="6A6F7C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&lt;3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dB（A）</w:t>
            </w:r>
          </w:p>
        </w:tc>
        <w:tc>
          <w:tcPr>
            <w:tcW w:w="1194" w:type="pct"/>
            <w:shd w:val="clear" w:color="auto" w:fill="BEBEBE" w:themeFill="background1" w:themeFillShade="BF"/>
            <w:vAlign w:val="center"/>
          </w:tcPr>
          <w:p w14:paraId="521091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不大</w:t>
            </w:r>
          </w:p>
        </w:tc>
      </w:tr>
    </w:tbl>
    <w:p w14:paraId="710BA3A3">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.5 土壤环境</w:t>
      </w:r>
    </w:p>
    <w:p w14:paraId="6691A46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本项目属于污染影响型项目，根据《环境影响评价技术导则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土壤环境（试行）》（HJ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964-2018），对照附录A</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土壤环境影响评价项目分类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，本项目属于</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环境和公共设施管理业-废旧资源加工、再生利用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项目，属于其中的</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Ⅲ类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w:t>
      </w:r>
    </w:p>
    <w:p w14:paraId="7C5D6E9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本项目用地面积为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3849.6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），属于小型，项目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西侧、西</w:t>
      </w:r>
      <w:r>
        <w:rPr>
          <w:rFonts w:hint="default" w:ascii="Times New Roman" w:hAnsi="Times New Roman" w:eastAsia="宋体" w:cs="Times New Roman"/>
          <w:color w:val="000000" w:themeColor="text1"/>
          <w:u w:val="none" w:color="auto"/>
          <w14:textFill>
            <w14:solidFill>
              <w14:schemeClr w14:val="tx1"/>
            </w14:solidFill>
          </w14:textFill>
        </w:rPr>
        <w:t>北侧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m处，存在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公合村</w:t>
      </w:r>
      <w:r>
        <w:rPr>
          <w:rFonts w:hint="default" w:ascii="Times New Roman" w:hAnsi="Times New Roman" w:eastAsia="宋体" w:cs="Times New Roman"/>
          <w:color w:val="000000" w:themeColor="text1"/>
          <w:u w:val="none" w:color="auto"/>
          <w14:textFill>
            <w14:solidFill>
              <w14:schemeClr w14:val="tx1"/>
            </w14:solidFill>
          </w14:textFill>
        </w:rPr>
        <w:t>居民居住用地、耕地；项目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北</w:t>
      </w:r>
      <w:r>
        <w:rPr>
          <w:rFonts w:hint="default" w:ascii="Times New Roman" w:hAnsi="Times New Roman" w:eastAsia="宋体" w:cs="Times New Roman"/>
          <w:color w:val="000000" w:themeColor="text1"/>
          <w:u w:val="none" w:color="auto"/>
          <w14:textFill>
            <w14:solidFill>
              <w14:schemeClr w14:val="tx1"/>
            </w14:solidFill>
          </w14:textFill>
        </w:rPr>
        <w:t>侧3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0~500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m处，存在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颜家村</w:t>
      </w:r>
      <w:r>
        <w:rPr>
          <w:rFonts w:hint="default" w:ascii="Times New Roman" w:hAnsi="Times New Roman" w:eastAsia="宋体" w:cs="Times New Roman"/>
          <w:color w:val="000000" w:themeColor="text1"/>
          <w:u w:val="none" w:color="auto"/>
          <w14:textFill>
            <w14:solidFill>
              <w14:schemeClr w14:val="tx1"/>
            </w14:solidFill>
          </w14:textFill>
        </w:rPr>
        <w:t>居民居住用地</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耕地</w:t>
      </w:r>
      <w:r>
        <w:rPr>
          <w:rFonts w:hint="default" w:ascii="Times New Roman" w:hAnsi="Times New Roman" w:eastAsia="宋体" w:cs="Times New Roman"/>
          <w:color w:val="000000" w:themeColor="text1"/>
          <w:u w:val="none" w:color="auto"/>
          <w14:textFill>
            <w14:solidFill>
              <w14:schemeClr w14:val="tx1"/>
            </w14:solidFill>
          </w14:textFill>
        </w:rPr>
        <w:t>，土壤环境敏感程度为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敏感</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，本项目土壤环境影响评价工作等级为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w:t>
      </w:r>
      <w:r>
        <w:rPr>
          <w:rFonts w:hint="default" w:ascii="Times New Roman" w:hAnsi="Times New Roman" w:eastAsia="宋体" w:cs="Times New Roman"/>
          <w:color w:val="000000" w:themeColor="text1"/>
          <w:u w:val="none" w:color="auto"/>
          <w14:textFill>
            <w14:solidFill>
              <w14:schemeClr w14:val="tx1"/>
            </w14:solidFill>
          </w14:textFill>
        </w:rPr>
        <w:t>级</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p>
    <w:p w14:paraId="276983C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 xml:space="preserve">  污染影响型评价工作等级划分表</w:t>
      </w:r>
    </w:p>
    <w:tbl>
      <w:tblPr>
        <w:tblStyle w:val="37"/>
        <w:tblW w:w="5000" w:type="pct"/>
        <w:tblInd w:w="-12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02"/>
        <w:gridCol w:w="993"/>
        <w:gridCol w:w="710"/>
        <w:gridCol w:w="849"/>
        <w:gridCol w:w="851"/>
        <w:gridCol w:w="849"/>
        <w:gridCol w:w="851"/>
        <w:gridCol w:w="849"/>
        <w:gridCol w:w="710"/>
        <w:gridCol w:w="765"/>
      </w:tblGrid>
      <w:tr w14:paraId="16761E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blHeader/>
        </w:trPr>
        <w:tc>
          <w:tcPr>
            <w:tcW w:w="646" w:type="pct"/>
            <w:shd w:val="clear" w:color="auto" w:fill="auto"/>
            <w:vAlign w:val="center"/>
          </w:tcPr>
          <w:p w14:paraId="15F073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占地规模</w:t>
            </w:r>
          </w:p>
        </w:tc>
        <w:tc>
          <w:tcPr>
            <w:tcW w:w="1496" w:type="pct"/>
            <w:gridSpan w:val="3"/>
            <w:shd w:val="clear" w:color="auto" w:fill="auto"/>
            <w:vAlign w:val="center"/>
          </w:tcPr>
          <w:p w14:paraId="4494A6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fldChar w:fldCharType="begin"/>
            </w:r>
            <w:r>
              <w:rPr>
                <w:rFonts w:hint="default" w:ascii="Times New Roman" w:hAnsi="Times New Roman" w:eastAsia="宋体" w:cs="Times New Roman"/>
                <w:color w:val="000000" w:themeColor="text1"/>
                <w:u w:val="none" w:color="auto"/>
                <w14:textFill>
                  <w14:solidFill>
                    <w14:schemeClr w14:val="tx1"/>
                  </w14:solidFill>
                </w14:textFill>
              </w:rPr>
              <w:instrText xml:space="preserve"> = 1 \* ROMAN </w:instrText>
            </w:r>
            <w:r>
              <w:rPr>
                <w:rFonts w:hint="default" w:ascii="Times New Roman" w:hAnsi="Times New Roman" w:eastAsia="宋体" w:cs="Times New Roman"/>
                <w:color w:val="000000" w:themeColor="text1"/>
                <w:u w:val="none" w:color="auto"/>
                <w14:textFill>
                  <w14:solidFill>
                    <w14:schemeClr w14:val="tx1"/>
                  </w14:solidFill>
                </w14:textFill>
              </w:rPr>
              <w:fldChar w:fldCharType="separate"/>
            </w:r>
            <w:r>
              <w:rPr>
                <w:rFonts w:hint="default" w:ascii="Times New Roman" w:hAnsi="Times New Roman" w:eastAsia="宋体" w:cs="Times New Roman"/>
                <w:color w:val="000000" w:themeColor="text1"/>
                <w:u w:val="none" w:color="auto"/>
                <w14:textFill>
                  <w14:solidFill>
                    <w14:schemeClr w14:val="tx1"/>
                  </w14:solidFill>
                </w14:textFill>
              </w:rPr>
              <w:t>I</w:t>
            </w:r>
            <w:r>
              <w:rPr>
                <w:rFonts w:hint="default" w:ascii="Times New Roman" w:hAnsi="Times New Roman" w:eastAsia="宋体" w:cs="Times New Roman"/>
                <w:color w:val="000000" w:themeColor="text1"/>
                <w:u w:val="none" w:color="auto"/>
                <w14:textFill>
                  <w14:solidFill>
                    <w14:schemeClr w14:val="tx1"/>
                  </w14:solidFill>
                </w14:textFill>
              </w:rPr>
              <w:fldChar w:fldCharType="end"/>
            </w:r>
            <w:r>
              <w:rPr>
                <w:rFonts w:hint="default" w:ascii="Times New Roman" w:hAnsi="Times New Roman" w:eastAsia="宋体" w:cs="Times New Roman"/>
                <w:color w:val="000000" w:themeColor="text1"/>
                <w:u w:val="none" w:color="auto"/>
                <w14:textFill>
                  <w14:solidFill>
                    <w14:schemeClr w14:val="tx1"/>
                  </w14:solidFill>
                </w14:textFill>
              </w:rPr>
              <w:t>类</w:t>
            </w:r>
          </w:p>
        </w:tc>
        <w:tc>
          <w:tcPr>
            <w:tcW w:w="1496" w:type="pct"/>
            <w:gridSpan w:val="3"/>
            <w:shd w:val="clear" w:color="auto" w:fill="auto"/>
            <w:vAlign w:val="center"/>
          </w:tcPr>
          <w:p w14:paraId="15D76B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fldChar w:fldCharType="begin"/>
            </w:r>
            <w:r>
              <w:rPr>
                <w:rFonts w:hint="default" w:ascii="Times New Roman" w:hAnsi="Times New Roman" w:eastAsia="宋体" w:cs="Times New Roman"/>
                <w:color w:val="000000" w:themeColor="text1"/>
                <w:u w:val="none" w:color="auto"/>
                <w14:textFill>
                  <w14:solidFill>
                    <w14:schemeClr w14:val="tx1"/>
                  </w14:solidFill>
                </w14:textFill>
              </w:rPr>
              <w:instrText xml:space="preserve"> = 2 \* ROMAN </w:instrText>
            </w:r>
            <w:r>
              <w:rPr>
                <w:rFonts w:hint="default" w:ascii="Times New Roman" w:hAnsi="Times New Roman" w:eastAsia="宋体" w:cs="Times New Roman"/>
                <w:color w:val="000000" w:themeColor="text1"/>
                <w:u w:val="none" w:color="auto"/>
                <w14:textFill>
                  <w14:solidFill>
                    <w14:schemeClr w14:val="tx1"/>
                  </w14:solidFill>
                </w14:textFill>
              </w:rPr>
              <w:fldChar w:fldCharType="separate"/>
            </w:r>
            <w:r>
              <w:rPr>
                <w:rFonts w:hint="default" w:ascii="Times New Roman" w:hAnsi="Times New Roman" w:eastAsia="宋体" w:cs="Times New Roman"/>
                <w:color w:val="000000" w:themeColor="text1"/>
                <w:u w:val="none" w:color="auto"/>
                <w14:textFill>
                  <w14:solidFill>
                    <w14:schemeClr w14:val="tx1"/>
                  </w14:solidFill>
                </w14:textFill>
              </w:rPr>
              <w:t>II</w:t>
            </w:r>
            <w:r>
              <w:rPr>
                <w:rFonts w:hint="default" w:ascii="Times New Roman" w:hAnsi="Times New Roman" w:eastAsia="宋体" w:cs="Times New Roman"/>
                <w:color w:val="000000" w:themeColor="text1"/>
                <w:u w:val="none" w:color="auto"/>
                <w14:textFill>
                  <w14:solidFill>
                    <w14:schemeClr w14:val="tx1"/>
                  </w14:solidFill>
                </w14:textFill>
              </w:rPr>
              <w:fldChar w:fldCharType="end"/>
            </w:r>
            <w:r>
              <w:rPr>
                <w:rFonts w:hint="default" w:ascii="Times New Roman" w:hAnsi="Times New Roman" w:eastAsia="宋体" w:cs="Times New Roman"/>
                <w:color w:val="000000" w:themeColor="text1"/>
                <w:u w:val="none" w:color="auto"/>
                <w14:textFill>
                  <w14:solidFill>
                    <w14:schemeClr w14:val="tx1"/>
                  </w14:solidFill>
                </w14:textFill>
              </w:rPr>
              <w:t>类</w:t>
            </w:r>
          </w:p>
        </w:tc>
        <w:tc>
          <w:tcPr>
            <w:tcW w:w="1363" w:type="pct"/>
            <w:gridSpan w:val="3"/>
            <w:shd w:val="clear" w:color="auto" w:fill="auto"/>
            <w:vAlign w:val="center"/>
          </w:tcPr>
          <w:p w14:paraId="0438EA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fldChar w:fldCharType="begin"/>
            </w:r>
            <w:r>
              <w:rPr>
                <w:rFonts w:hint="default" w:ascii="Times New Roman" w:hAnsi="Times New Roman" w:eastAsia="宋体" w:cs="Times New Roman"/>
                <w:color w:val="000000" w:themeColor="text1"/>
                <w:u w:val="none" w:color="auto"/>
                <w14:textFill>
                  <w14:solidFill>
                    <w14:schemeClr w14:val="tx1"/>
                  </w14:solidFill>
                </w14:textFill>
              </w:rPr>
              <w:instrText xml:space="preserve"> = 3 \* ROMAN </w:instrText>
            </w:r>
            <w:r>
              <w:rPr>
                <w:rFonts w:hint="default" w:ascii="Times New Roman" w:hAnsi="Times New Roman" w:eastAsia="宋体" w:cs="Times New Roman"/>
                <w:color w:val="000000" w:themeColor="text1"/>
                <w:u w:val="none" w:color="auto"/>
                <w14:textFill>
                  <w14:solidFill>
                    <w14:schemeClr w14:val="tx1"/>
                  </w14:solidFill>
                </w14:textFill>
              </w:rPr>
              <w:fldChar w:fldCharType="separate"/>
            </w:r>
            <w:r>
              <w:rPr>
                <w:rFonts w:hint="default" w:ascii="Times New Roman" w:hAnsi="Times New Roman" w:eastAsia="宋体" w:cs="Times New Roman"/>
                <w:color w:val="000000" w:themeColor="text1"/>
                <w:u w:val="none" w:color="auto"/>
                <w14:textFill>
                  <w14:solidFill>
                    <w14:schemeClr w14:val="tx1"/>
                  </w14:solidFill>
                </w14:textFill>
              </w:rPr>
              <w:t>III</w:t>
            </w:r>
            <w:r>
              <w:rPr>
                <w:rFonts w:hint="default" w:ascii="Times New Roman" w:hAnsi="Times New Roman" w:eastAsia="宋体" w:cs="Times New Roman"/>
                <w:color w:val="000000" w:themeColor="text1"/>
                <w:u w:val="none" w:color="auto"/>
                <w14:textFill>
                  <w14:solidFill>
                    <w14:schemeClr w14:val="tx1"/>
                  </w14:solidFill>
                </w14:textFill>
              </w:rPr>
              <w:fldChar w:fldCharType="end"/>
            </w:r>
            <w:r>
              <w:rPr>
                <w:rFonts w:hint="default" w:ascii="Times New Roman" w:hAnsi="Times New Roman" w:eastAsia="宋体" w:cs="Times New Roman"/>
                <w:color w:val="000000" w:themeColor="text1"/>
                <w:u w:val="none" w:color="auto"/>
                <w14:textFill>
                  <w14:solidFill>
                    <w14:schemeClr w14:val="tx1"/>
                  </w14:solidFill>
                </w14:textFill>
              </w:rPr>
              <w:t>类</w:t>
            </w:r>
          </w:p>
        </w:tc>
      </w:tr>
      <w:tr w14:paraId="52AEEA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shd w:val="clear" w:color="auto" w:fill="auto"/>
            <w:vAlign w:val="center"/>
          </w:tcPr>
          <w:p w14:paraId="4C6CA6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敏感程度</w:t>
            </w:r>
          </w:p>
        </w:tc>
        <w:tc>
          <w:tcPr>
            <w:tcW w:w="582" w:type="pct"/>
            <w:shd w:val="clear" w:color="auto" w:fill="auto"/>
            <w:vAlign w:val="center"/>
          </w:tcPr>
          <w:p w14:paraId="7F3A8B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大</w:t>
            </w:r>
          </w:p>
        </w:tc>
        <w:tc>
          <w:tcPr>
            <w:tcW w:w="416" w:type="pct"/>
            <w:shd w:val="clear" w:color="auto" w:fill="auto"/>
            <w:vAlign w:val="center"/>
          </w:tcPr>
          <w:p w14:paraId="03F472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中</w:t>
            </w:r>
          </w:p>
        </w:tc>
        <w:tc>
          <w:tcPr>
            <w:tcW w:w="498" w:type="pct"/>
            <w:shd w:val="clear" w:color="auto" w:fill="auto"/>
            <w:vAlign w:val="center"/>
          </w:tcPr>
          <w:p w14:paraId="53C7FC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小</w:t>
            </w:r>
          </w:p>
        </w:tc>
        <w:tc>
          <w:tcPr>
            <w:tcW w:w="499" w:type="pct"/>
            <w:shd w:val="clear" w:color="auto" w:fill="auto"/>
            <w:vAlign w:val="center"/>
          </w:tcPr>
          <w:p w14:paraId="3A2B68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大</w:t>
            </w:r>
          </w:p>
        </w:tc>
        <w:tc>
          <w:tcPr>
            <w:tcW w:w="498" w:type="pct"/>
            <w:shd w:val="clear" w:color="auto" w:fill="auto"/>
            <w:vAlign w:val="center"/>
          </w:tcPr>
          <w:p w14:paraId="2E4EB8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中</w:t>
            </w:r>
          </w:p>
        </w:tc>
        <w:tc>
          <w:tcPr>
            <w:tcW w:w="499" w:type="pct"/>
            <w:shd w:val="clear" w:color="auto" w:fill="auto"/>
            <w:vAlign w:val="center"/>
          </w:tcPr>
          <w:p w14:paraId="1D13AF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小</w:t>
            </w:r>
          </w:p>
        </w:tc>
        <w:tc>
          <w:tcPr>
            <w:tcW w:w="498" w:type="pct"/>
            <w:shd w:val="clear" w:color="auto" w:fill="auto"/>
            <w:vAlign w:val="center"/>
          </w:tcPr>
          <w:p w14:paraId="172FF3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大</w:t>
            </w:r>
          </w:p>
        </w:tc>
        <w:tc>
          <w:tcPr>
            <w:tcW w:w="416" w:type="pct"/>
            <w:shd w:val="clear" w:color="auto" w:fill="auto"/>
            <w:vAlign w:val="center"/>
          </w:tcPr>
          <w:p w14:paraId="25AD68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中</w:t>
            </w:r>
          </w:p>
        </w:tc>
        <w:tc>
          <w:tcPr>
            <w:tcW w:w="449" w:type="pct"/>
            <w:shd w:val="clear" w:color="auto" w:fill="auto"/>
            <w:vAlign w:val="center"/>
          </w:tcPr>
          <w:p w14:paraId="089EE4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小</w:t>
            </w:r>
          </w:p>
        </w:tc>
      </w:tr>
      <w:tr w14:paraId="0E14F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shd w:val="clear" w:color="auto" w:fill="auto"/>
            <w:vAlign w:val="center"/>
          </w:tcPr>
          <w:p w14:paraId="1B7601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敏感</w:t>
            </w:r>
          </w:p>
        </w:tc>
        <w:tc>
          <w:tcPr>
            <w:tcW w:w="582" w:type="pct"/>
            <w:shd w:val="clear" w:color="auto" w:fill="auto"/>
            <w:vAlign w:val="center"/>
          </w:tcPr>
          <w:p w14:paraId="1932A8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416" w:type="pct"/>
            <w:shd w:val="clear" w:color="auto" w:fill="auto"/>
            <w:vAlign w:val="center"/>
          </w:tcPr>
          <w:p w14:paraId="47668F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498" w:type="pct"/>
            <w:shd w:val="clear" w:color="auto" w:fill="auto"/>
            <w:vAlign w:val="center"/>
          </w:tcPr>
          <w:p w14:paraId="448DE7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499" w:type="pct"/>
            <w:shd w:val="clear" w:color="auto" w:fill="auto"/>
            <w:vAlign w:val="center"/>
          </w:tcPr>
          <w:p w14:paraId="1308B5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8" w:type="pct"/>
            <w:shd w:val="clear" w:color="auto" w:fill="auto"/>
            <w:vAlign w:val="center"/>
          </w:tcPr>
          <w:p w14:paraId="502EFB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9" w:type="pct"/>
            <w:shd w:val="clear" w:color="auto" w:fill="auto"/>
            <w:vAlign w:val="center"/>
          </w:tcPr>
          <w:p w14:paraId="356B95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8" w:type="pct"/>
            <w:shd w:val="clear" w:color="auto" w:fill="auto"/>
            <w:vAlign w:val="center"/>
          </w:tcPr>
          <w:p w14:paraId="7B4243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416" w:type="pct"/>
            <w:shd w:val="clear" w:color="auto" w:fill="auto"/>
            <w:vAlign w:val="center"/>
          </w:tcPr>
          <w:p w14:paraId="381ECAE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449" w:type="pct"/>
            <w:shd w:val="clear" w:color="auto" w:fill="BEBEBE" w:themeFill="background1" w:themeFillShade="BF"/>
            <w:vAlign w:val="center"/>
          </w:tcPr>
          <w:p w14:paraId="105AFF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r>
      <w:tr w14:paraId="1351BD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shd w:val="clear" w:color="auto" w:fill="auto"/>
            <w:vAlign w:val="center"/>
          </w:tcPr>
          <w:p w14:paraId="5565E0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较敏感</w:t>
            </w:r>
          </w:p>
        </w:tc>
        <w:tc>
          <w:tcPr>
            <w:tcW w:w="582" w:type="pct"/>
            <w:shd w:val="clear" w:color="auto" w:fill="auto"/>
            <w:vAlign w:val="center"/>
          </w:tcPr>
          <w:p w14:paraId="406833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416" w:type="pct"/>
            <w:shd w:val="clear" w:color="auto" w:fill="auto"/>
            <w:vAlign w:val="center"/>
          </w:tcPr>
          <w:p w14:paraId="788883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498" w:type="pct"/>
            <w:shd w:val="clear" w:color="auto" w:fill="auto"/>
            <w:vAlign w:val="center"/>
          </w:tcPr>
          <w:p w14:paraId="282ACA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9" w:type="pct"/>
            <w:shd w:val="clear" w:color="auto" w:fill="auto"/>
            <w:vAlign w:val="center"/>
          </w:tcPr>
          <w:p w14:paraId="0C973A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8" w:type="pct"/>
            <w:shd w:val="clear" w:color="auto" w:fill="auto"/>
            <w:vAlign w:val="center"/>
          </w:tcPr>
          <w:p w14:paraId="20B7CD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9" w:type="pct"/>
            <w:shd w:val="clear" w:color="auto" w:fill="auto"/>
            <w:vAlign w:val="center"/>
          </w:tcPr>
          <w:p w14:paraId="46403C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498" w:type="pct"/>
            <w:shd w:val="clear" w:color="auto" w:fill="auto"/>
            <w:vAlign w:val="center"/>
          </w:tcPr>
          <w:p w14:paraId="295E3A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416" w:type="pct"/>
            <w:shd w:val="clear" w:color="auto" w:fill="auto"/>
            <w:vAlign w:val="center"/>
          </w:tcPr>
          <w:p w14:paraId="1EF00F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449" w:type="pct"/>
            <w:shd w:val="clear" w:color="auto" w:fill="auto"/>
            <w:vAlign w:val="center"/>
          </w:tcPr>
          <w:p w14:paraId="7A8675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0CC454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shd w:val="clear" w:color="auto" w:fill="auto"/>
            <w:vAlign w:val="center"/>
          </w:tcPr>
          <w:p w14:paraId="41D6A8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不敏感</w:t>
            </w:r>
          </w:p>
        </w:tc>
        <w:tc>
          <w:tcPr>
            <w:tcW w:w="582" w:type="pct"/>
            <w:shd w:val="clear" w:color="auto" w:fill="auto"/>
            <w:vAlign w:val="center"/>
          </w:tcPr>
          <w:p w14:paraId="62F801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一级</w:t>
            </w:r>
          </w:p>
        </w:tc>
        <w:tc>
          <w:tcPr>
            <w:tcW w:w="416" w:type="pct"/>
            <w:shd w:val="clear" w:color="auto" w:fill="auto"/>
            <w:vAlign w:val="center"/>
          </w:tcPr>
          <w:p w14:paraId="5F4E70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8" w:type="pct"/>
            <w:shd w:val="clear" w:color="auto" w:fill="auto"/>
            <w:vAlign w:val="center"/>
          </w:tcPr>
          <w:p w14:paraId="5F4C16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9" w:type="pct"/>
            <w:shd w:val="clear" w:color="auto" w:fill="auto"/>
            <w:vAlign w:val="center"/>
          </w:tcPr>
          <w:p w14:paraId="04F841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二级</w:t>
            </w:r>
          </w:p>
        </w:tc>
        <w:tc>
          <w:tcPr>
            <w:tcW w:w="498" w:type="pct"/>
            <w:shd w:val="clear" w:color="auto" w:fill="auto"/>
            <w:vAlign w:val="center"/>
          </w:tcPr>
          <w:p w14:paraId="42F001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499" w:type="pct"/>
            <w:shd w:val="clear" w:color="auto" w:fill="auto"/>
            <w:vAlign w:val="center"/>
          </w:tcPr>
          <w:p w14:paraId="0C66E9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498" w:type="pct"/>
            <w:shd w:val="clear" w:color="auto" w:fill="auto"/>
            <w:vAlign w:val="center"/>
          </w:tcPr>
          <w:p w14:paraId="6306C6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416" w:type="pct"/>
            <w:shd w:val="clear" w:color="auto" w:fill="auto"/>
            <w:vAlign w:val="center"/>
          </w:tcPr>
          <w:p w14:paraId="15FFB9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49" w:type="pct"/>
            <w:shd w:val="clear" w:color="auto" w:fill="auto"/>
            <w:vAlign w:val="center"/>
          </w:tcPr>
          <w:p w14:paraId="0E8E86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bl>
    <w:p w14:paraId="62F9FC9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2.6.1.6 生态环境</w:t>
      </w:r>
    </w:p>
    <w:p w14:paraId="2B5BB1B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本项目为污染影响类项目，建设地点位于平江高新技术产业园区，属于已批准规划环评的产业园区内且符合规划环评要求，不涉及生态敏感区，根据《环境影响评价技术导则 生态影响》（HJ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19-2022），本项目可不确定评价等级，直接进行生态影响简单分析。</w:t>
      </w:r>
    </w:p>
    <w:p w14:paraId="77BDFEFD">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.7 环境风险</w:t>
      </w:r>
    </w:p>
    <w:p w14:paraId="0380AE3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本项目涉及的风险物质主要为加工区暂存的废弃油脂、成品油储罐贮存的油类、危废暂存间暂存的</w:t>
      </w:r>
      <w:r>
        <w:rPr>
          <w:rFonts w:hint="default" w:ascii="Times New Roman" w:hAnsi="Times New Roman" w:eastAsia="宋体" w:cs="Times New Roman"/>
          <w:color w:val="000000" w:themeColor="text1"/>
          <w:u w:val="none" w:color="auto"/>
          <w14:textFill>
            <w14:solidFill>
              <w14:schemeClr w14:val="tx1"/>
            </w14:solidFill>
          </w14:textFill>
        </w:rPr>
        <w:t>危险废物</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auto"/>
          <w:sz w:val="24"/>
          <w:u w:val="none" w:color="auto"/>
        </w:rPr>
        <w:t>根据《建设项目环境风险评价技术导则》（HJ</w:t>
      </w:r>
      <w:r>
        <w:rPr>
          <w:rFonts w:hint="default" w:ascii="Times New Roman" w:hAnsi="Times New Roman" w:eastAsia="宋体" w:cs="Times New Roman"/>
          <w:color w:val="auto"/>
          <w:sz w:val="24"/>
          <w:u w:val="none" w:color="auto"/>
          <w:lang w:val="en-US" w:eastAsia="zh-CN"/>
        </w:rPr>
        <w:t xml:space="preserve"> </w:t>
      </w:r>
      <w:r>
        <w:rPr>
          <w:rFonts w:hint="default" w:ascii="Times New Roman" w:hAnsi="Times New Roman" w:eastAsia="宋体" w:cs="Times New Roman"/>
          <w:color w:val="auto"/>
          <w:sz w:val="24"/>
          <w:u w:val="none" w:color="auto"/>
        </w:rPr>
        <w:t>169-2018）中关于环境风险潜势初判方式</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000000" w:themeColor="text1"/>
          <w:u w:val="none" w:color="auto"/>
          <w14:textFill>
            <w14:solidFill>
              <w14:schemeClr w14:val="tx1"/>
            </w14:solidFill>
          </w14:textFill>
        </w:rPr>
        <w:t>计算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当只涉及一种危险物质时，计算该物质的总量与其临界量比值，即为Q；当存在多种危险物质时，则按</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下式</w:t>
      </w:r>
      <w:r>
        <w:rPr>
          <w:rFonts w:hint="default" w:ascii="Times New Roman" w:hAnsi="Times New Roman" w:eastAsia="宋体" w:cs="Times New Roman"/>
          <w:color w:val="000000" w:themeColor="text1"/>
          <w:u w:val="none" w:color="auto"/>
          <w14:textFill>
            <w14:solidFill>
              <w14:schemeClr w14:val="tx1"/>
            </w14:solidFill>
          </w14:textFill>
        </w:rPr>
        <w:t>计算物质总量与其临界量比值（Q）：</w:t>
      </w:r>
    </w:p>
    <w:p w14:paraId="1AF47DCE">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26" o:spt="75" type="#_x0000_t75" style="height:34pt;width:100pt;" o:ole="t" filled="f" o:preferrelative="t" stroked="f" coordsize="21600,21600">
            <v:path/>
            <v:fill on="f" focussize="0,0"/>
            <v:stroke on="f" joinstyle="miter"/>
            <v:imagedata r:id="rId29" o:title=""/>
            <o:lock v:ext="edit" aspectratio="t"/>
            <w10:wrap type="none"/>
            <w10:anchorlock/>
          </v:shape>
          <o:OLEObject Type="Embed" ProgID="Equation.KSEE3" ShapeID="_x0000_i1026" DrawAspect="Content" ObjectID="_1468075726" r:id="rId28">
            <o:LockedField>false</o:LockedField>
          </o:OLEObject>
        </w:object>
      </w:r>
    </w:p>
    <w:p w14:paraId="00BED5E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式中：q</w:t>
      </w:r>
      <w:r>
        <w:rPr>
          <w:rFonts w:hint="default" w:ascii="Times New Roman" w:hAnsi="Times New Roman" w:eastAsia="宋体" w:cs="Times New Roman"/>
          <w:color w:val="000000" w:themeColor="text1"/>
          <w:u w:val="none" w:color="auto"/>
          <w:vertAlign w:val="subscript"/>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n</w:t>
      </w:r>
      <w:r>
        <w:rPr>
          <w:rFonts w:hint="default" w:ascii="Times New Roman" w:hAnsi="Times New Roman" w:eastAsia="宋体" w:cs="Times New Roman"/>
          <w:color w:val="000000" w:themeColor="text1"/>
          <w:u w:val="none" w:color="auto"/>
          <w14:textFill>
            <w14:solidFill>
              <w14:schemeClr w14:val="tx1"/>
            </w14:solidFill>
          </w14:textFill>
        </w:rPr>
        <w:t>——每种危险物质的最大存在量，t；</w:t>
      </w:r>
    </w:p>
    <w:p w14:paraId="12F829EA">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n</w:t>
      </w:r>
      <w:r>
        <w:rPr>
          <w:rFonts w:hint="default" w:ascii="Times New Roman" w:hAnsi="Times New Roman" w:eastAsia="宋体" w:cs="Times New Roman"/>
          <w:color w:val="000000" w:themeColor="text1"/>
          <w:u w:val="none" w:color="auto"/>
          <w14:textFill>
            <w14:solidFill>
              <w14:schemeClr w14:val="tx1"/>
            </w14:solidFill>
          </w14:textFill>
        </w:rPr>
        <w:t>——每种危险物质的临界量，t；</w:t>
      </w:r>
    </w:p>
    <w:p w14:paraId="44F1104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当Q&lt;1时，该项目环境风险潜势为I；</w:t>
      </w:r>
    </w:p>
    <w:p w14:paraId="75BCB46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当Q≥1时，将Q值划分为：（1）1≤Q&lt;10；（2）10≤Q&lt;100；（3）Q≥100；</w:t>
      </w:r>
    </w:p>
    <w:p w14:paraId="5E17F8C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本项目风险物质储存情况及风险临界量比值情况详见下表</w:t>
      </w:r>
      <w:r>
        <w:rPr>
          <w:rFonts w:hint="default" w:ascii="Times New Roman" w:hAnsi="Times New Roman" w:eastAsia="宋体" w:cs="Times New Roman"/>
          <w:color w:val="000000" w:themeColor="text1"/>
          <w:u w:val="none" w:color="auto"/>
          <w14:textFill>
            <w14:solidFill>
              <w14:schemeClr w14:val="tx1"/>
            </w14:solidFill>
          </w14:textFill>
        </w:rPr>
        <w:t>。</w:t>
      </w:r>
    </w:p>
    <w:p w14:paraId="7919EB7D">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表2.6-12  风险物质情况一览表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814"/>
        <w:gridCol w:w="1815"/>
        <w:gridCol w:w="1820"/>
        <w:gridCol w:w="2891"/>
      </w:tblGrid>
      <w:tr w14:paraId="1009DC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87" w:type="pct"/>
            <w:vAlign w:val="center"/>
          </w:tcPr>
          <w:p w14:paraId="3F0B7A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1088" w:type="pct"/>
            <w:vAlign w:val="center"/>
          </w:tcPr>
          <w:p w14:paraId="7991E3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最大存在量（t）</w:t>
            </w:r>
          </w:p>
        </w:tc>
        <w:tc>
          <w:tcPr>
            <w:tcW w:w="1091" w:type="pct"/>
            <w:vAlign w:val="center"/>
          </w:tcPr>
          <w:p w14:paraId="3F021B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临界量（t）</w:t>
            </w:r>
          </w:p>
        </w:tc>
        <w:tc>
          <w:tcPr>
            <w:tcW w:w="1732" w:type="pct"/>
            <w:vAlign w:val="center"/>
          </w:tcPr>
          <w:p w14:paraId="20CBBA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b w:val="0"/>
                <w:bCs w:val="0"/>
                <w:sz w:val="21"/>
                <w:szCs w:val="21"/>
                <w:u w:val="none" w:color="auto"/>
              </w:rPr>
              <w:t>风险物质数量/临界量（Q）</w:t>
            </w:r>
          </w:p>
        </w:tc>
      </w:tr>
      <w:tr w14:paraId="25E9DD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13" w:type="dxa"/>
            <w:vAlign w:val="center"/>
          </w:tcPr>
          <w:p w14:paraId="1C02FA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w:t>
            </w:r>
          </w:p>
        </w:tc>
        <w:tc>
          <w:tcPr>
            <w:tcW w:w="1815" w:type="dxa"/>
            <w:vAlign w:val="center"/>
          </w:tcPr>
          <w:p w14:paraId="283D9B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97</w:t>
            </w:r>
          </w:p>
        </w:tc>
        <w:tc>
          <w:tcPr>
            <w:tcW w:w="1822" w:type="dxa"/>
            <w:vAlign w:val="center"/>
          </w:tcPr>
          <w:p w14:paraId="6F6D85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2500</w:t>
            </w:r>
          </w:p>
        </w:tc>
        <w:tc>
          <w:tcPr>
            <w:tcW w:w="2890" w:type="dxa"/>
            <w:vAlign w:val="center"/>
          </w:tcPr>
          <w:p w14:paraId="6877F2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w:t>
            </w:r>
            <w:r>
              <w:rPr>
                <w:rFonts w:hint="eastAsia" w:eastAsia="宋体" w:cs="Times New Roman"/>
                <w:color w:val="000000" w:themeColor="text1"/>
                <w:u w:val="none" w:color="auto"/>
                <w:lang w:val="en-US" w:eastAsia="zh-CN"/>
                <w14:textFill>
                  <w14:solidFill>
                    <w14:schemeClr w14:val="tx1"/>
                  </w14:solidFill>
                </w14:textFill>
              </w:rPr>
              <w:t>388</w:t>
            </w:r>
          </w:p>
        </w:tc>
      </w:tr>
      <w:tr w14:paraId="2A95D6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13" w:type="dxa"/>
            <w:vAlign w:val="center"/>
          </w:tcPr>
          <w:p w14:paraId="27E6CD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21"/>
                <w:u w:val="none" w:color="auto"/>
                <w:shd w:val="clear" w:color="auto" w:fill="FFFFFF"/>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成品油脂</w:t>
            </w:r>
          </w:p>
        </w:tc>
        <w:tc>
          <w:tcPr>
            <w:tcW w:w="1815" w:type="dxa"/>
            <w:vAlign w:val="center"/>
          </w:tcPr>
          <w:p w14:paraId="6BF626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234</w:t>
            </w:r>
          </w:p>
        </w:tc>
        <w:tc>
          <w:tcPr>
            <w:tcW w:w="1822" w:type="dxa"/>
            <w:vAlign w:val="center"/>
          </w:tcPr>
          <w:p w14:paraId="4C8770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2500</w:t>
            </w:r>
          </w:p>
        </w:tc>
        <w:tc>
          <w:tcPr>
            <w:tcW w:w="2890" w:type="dxa"/>
            <w:vAlign w:val="center"/>
          </w:tcPr>
          <w:p w14:paraId="69FAE6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0.0936</w:t>
            </w:r>
          </w:p>
        </w:tc>
      </w:tr>
      <w:tr w14:paraId="1F0AFE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13" w:type="dxa"/>
            <w:vAlign w:val="center"/>
          </w:tcPr>
          <w:p w14:paraId="1E008F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w:t>
            </w:r>
          </w:p>
        </w:tc>
        <w:tc>
          <w:tcPr>
            <w:tcW w:w="1815" w:type="dxa"/>
            <w:vAlign w:val="center"/>
          </w:tcPr>
          <w:p w14:paraId="48871B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1.784</w:t>
            </w:r>
          </w:p>
        </w:tc>
        <w:tc>
          <w:tcPr>
            <w:tcW w:w="1822" w:type="dxa"/>
            <w:vAlign w:val="center"/>
          </w:tcPr>
          <w:p w14:paraId="43C5EC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w:t>
            </w:r>
          </w:p>
        </w:tc>
        <w:tc>
          <w:tcPr>
            <w:tcW w:w="2890" w:type="dxa"/>
            <w:vAlign w:val="center"/>
          </w:tcPr>
          <w:p w14:paraId="01E500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eastAsia" w:eastAsia="宋体" w:cs="Times New Roman"/>
                <w:color w:val="000000" w:themeColor="text1"/>
                <w:u w:val="none" w:color="auto"/>
                <w:lang w:val="en-US" w:eastAsia="zh-CN"/>
                <w14:textFill>
                  <w14:solidFill>
                    <w14:schemeClr w14:val="tx1"/>
                  </w14:solidFill>
                </w14:textFill>
              </w:rPr>
              <w:t>03568</w:t>
            </w:r>
          </w:p>
        </w:tc>
      </w:tr>
      <w:tr w14:paraId="4675AD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50" w:type="dxa"/>
            <w:gridSpan w:val="3"/>
            <w:vAlign w:val="center"/>
          </w:tcPr>
          <w:p w14:paraId="6926DD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合计</w:t>
            </w:r>
          </w:p>
        </w:tc>
        <w:tc>
          <w:tcPr>
            <w:tcW w:w="2890" w:type="dxa"/>
            <w:vAlign w:val="center"/>
          </w:tcPr>
          <w:p w14:paraId="2C2225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0.1</w:t>
            </w:r>
            <w:r>
              <w:rPr>
                <w:rFonts w:hint="eastAsia" w:eastAsia="宋体" w:cs="Times New Roman"/>
                <w:color w:val="000000" w:themeColor="text1"/>
                <w:u w:val="none" w:color="auto"/>
                <w:lang w:val="en-US" w:eastAsia="zh-CN"/>
                <w14:textFill>
                  <w14:solidFill>
                    <w14:schemeClr w14:val="tx1"/>
                  </w14:solidFill>
                </w14:textFill>
              </w:rPr>
              <w:t>6808</w:t>
            </w:r>
          </w:p>
        </w:tc>
      </w:tr>
    </w:tbl>
    <w:p w14:paraId="21C2542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000000" w:themeColor="text1"/>
          <w:u w:val="none" w:color="auto"/>
          <w14:textFill>
            <w14:solidFill>
              <w14:schemeClr w14:val="tx1"/>
            </w14:solidFill>
          </w14:textFill>
        </w:rPr>
        <w:t>本项目风险物质数量与临界量比值Q&lt;1，环境风险潜势为I</w:t>
      </w:r>
      <w:r>
        <w:rPr>
          <w:rFonts w:hint="default" w:ascii="Times New Roman" w:hAnsi="Times New Roman" w:eastAsia="宋体" w:cs="Times New Roman"/>
          <w:color w:val="auto"/>
          <w:sz w:val="24"/>
          <w:u w:val="none" w:color="auto"/>
        </w:rPr>
        <w:t>。</w:t>
      </w:r>
    </w:p>
    <w:p w14:paraId="6B746C4C">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表2.6-13  风险评价工作级别划分</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66"/>
        <w:gridCol w:w="1665"/>
        <w:gridCol w:w="1665"/>
        <w:gridCol w:w="1665"/>
        <w:gridCol w:w="1668"/>
      </w:tblGrid>
      <w:tr w14:paraId="0015C1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pct"/>
            <w:noWrap w:val="0"/>
            <w:vAlign w:val="center"/>
          </w:tcPr>
          <w:p w14:paraId="243B44D8">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环境风险潜势</w:t>
            </w:r>
          </w:p>
        </w:tc>
        <w:tc>
          <w:tcPr>
            <w:tcW w:w="976" w:type="pct"/>
            <w:noWrap w:val="0"/>
            <w:vAlign w:val="center"/>
          </w:tcPr>
          <w:p w14:paraId="5CF38813">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Ⅳ</w:t>
            </w:r>
            <w:r>
              <w:rPr>
                <w:rFonts w:hint="default" w:ascii="Times New Roman" w:hAnsi="Times New Roman" w:eastAsia="宋体" w:cs="Times New Roman"/>
                <w:b w:val="0"/>
                <w:bCs/>
                <w:color w:val="auto"/>
                <w:szCs w:val="21"/>
                <w:u w:val="none" w:color="auto"/>
                <w:vertAlign w:val="superscript"/>
              </w:rPr>
              <w:t>+</w:t>
            </w:r>
            <w:r>
              <w:rPr>
                <w:rFonts w:hint="default" w:ascii="Times New Roman" w:hAnsi="Times New Roman" w:eastAsia="宋体" w:cs="Times New Roman"/>
                <w:b w:val="0"/>
                <w:bCs/>
                <w:color w:val="auto"/>
                <w:szCs w:val="21"/>
                <w:u w:val="none" w:color="auto"/>
              </w:rPr>
              <w:t>、Ⅳ</w:t>
            </w:r>
          </w:p>
        </w:tc>
        <w:tc>
          <w:tcPr>
            <w:tcW w:w="976" w:type="pct"/>
            <w:noWrap w:val="0"/>
            <w:vAlign w:val="center"/>
          </w:tcPr>
          <w:p w14:paraId="3378CE45">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Ⅲ</w:t>
            </w:r>
          </w:p>
        </w:tc>
        <w:tc>
          <w:tcPr>
            <w:tcW w:w="976" w:type="pct"/>
            <w:noWrap w:val="0"/>
            <w:vAlign w:val="center"/>
          </w:tcPr>
          <w:p w14:paraId="19A4D1E1">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Ⅱ</w:t>
            </w:r>
          </w:p>
        </w:tc>
        <w:tc>
          <w:tcPr>
            <w:tcW w:w="976" w:type="pct"/>
            <w:noWrap w:val="0"/>
            <w:vAlign w:val="center"/>
          </w:tcPr>
          <w:p w14:paraId="30DFF051">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Ⅰ</w:t>
            </w:r>
          </w:p>
        </w:tc>
      </w:tr>
      <w:tr w14:paraId="6C9E07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4" w:type="pct"/>
            <w:noWrap w:val="0"/>
            <w:vAlign w:val="center"/>
          </w:tcPr>
          <w:p w14:paraId="10DB5771">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评价工作等级</w:t>
            </w:r>
          </w:p>
        </w:tc>
        <w:tc>
          <w:tcPr>
            <w:tcW w:w="976" w:type="pct"/>
            <w:noWrap w:val="0"/>
            <w:vAlign w:val="center"/>
          </w:tcPr>
          <w:p w14:paraId="4672B8F3">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一</w:t>
            </w:r>
          </w:p>
        </w:tc>
        <w:tc>
          <w:tcPr>
            <w:tcW w:w="976" w:type="pct"/>
            <w:noWrap w:val="0"/>
            <w:vAlign w:val="center"/>
          </w:tcPr>
          <w:p w14:paraId="419C2C87">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二</w:t>
            </w:r>
          </w:p>
        </w:tc>
        <w:tc>
          <w:tcPr>
            <w:tcW w:w="976" w:type="pct"/>
            <w:noWrap w:val="0"/>
            <w:vAlign w:val="center"/>
          </w:tcPr>
          <w:p w14:paraId="096FE4A0">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三</w:t>
            </w:r>
          </w:p>
        </w:tc>
        <w:tc>
          <w:tcPr>
            <w:tcW w:w="976" w:type="pct"/>
            <w:noWrap w:val="0"/>
            <w:vAlign w:val="center"/>
          </w:tcPr>
          <w:p w14:paraId="7413B4DC">
            <w:pPr>
              <w:jc w:val="center"/>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szCs w:val="21"/>
                <w:u w:val="none" w:color="auto"/>
              </w:rPr>
              <w:t>简单分析</w:t>
            </w:r>
            <w:r>
              <w:rPr>
                <w:rFonts w:hint="default" w:ascii="Times New Roman" w:hAnsi="Times New Roman" w:eastAsia="宋体" w:cs="Times New Roman"/>
                <w:b w:val="0"/>
                <w:bCs/>
                <w:color w:val="auto"/>
                <w:szCs w:val="21"/>
                <w:u w:val="none" w:color="auto"/>
                <w:vertAlign w:val="superscript"/>
              </w:rPr>
              <w:t>a</w:t>
            </w:r>
          </w:p>
        </w:tc>
      </w:tr>
      <w:tr w14:paraId="318FB8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noWrap w:val="0"/>
            <w:vAlign w:val="center"/>
          </w:tcPr>
          <w:p w14:paraId="714C51AD">
            <w:pPr>
              <w:autoSpaceDE w:val="0"/>
              <w:autoSpaceDN w:val="0"/>
              <w:jc w:val="left"/>
              <w:rPr>
                <w:rFonts w:hint="default" w:ascii="Times New Roman" w:hAnsi="Times New Roman" w:eastAsia="宋体" w:cs="Times New Roman"/>
                <w:b w:val="0"/>
                <w:bCs/>
                <w:color w:val="auto"/>
                <w:szCs w:val="21"/>
                <w:u w:val="none" w:color="auto"/>
              </w:rPr>
            </w:pPr>
            <w:r>
              <w:rPr>
                <w:rFonts w:hint="default" w:ascii="Times New Roman" w:hAnsi="Times New Roman" w:eastAsia="宋体" w:cs="Times New Roman"/>
                <w:b w:val="0"/>
                <w:bCs/>
                <w:color w:val="auto"/>
                <w:kern w:val="0"/>
                <w:szCs w:val="21"/>
                <w:u w:val="none" w:color="auto"/>
                <w:vertAlign w:val="superscript"/>
              </w:rPr>
              <w:t>a</w:t>
            </w:r>
            <w:r>
              <w:rPr>
                <w:rFonts w:hint="default" w:ascii="Times New Roman" w:hAnsi="Times New Roman" w:eastAsia="宋体" w:cs="Times New Roman"/>
                <w:b w:val="0"/>
                <w:bCs/>
                <w:color w:val="auto"/>
                <w:kern w:val="0"/>
                <w:szCs w:val="21"/>
                <w:u w:val="none" w:color="auto"/>
              </w:rPr>
              <w:t>是相对于详细评价工作内容而言，在描述危险物质、环境影响途径、环境危害后果、风险防范措施等方面给出定性说明。见附录A。</w:t>
            </w:r>
          </w:p>
        </w:tc>
      </w:tr>
    </w:tbl>
    <w:p w14:paraId="570FC88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bookmarkStart w:id="128" w:name="_Toc204350661"/>
      <w:r>
        <w:rPr>
          <w:rFonts w:hint="default" w:ascii="Times New Roman" w:hAnsi="Times New Roman" w:eastAsia="宋体" w:cs="Times New Roman"/>
          <w:color w:val="000000" w:themeColor="text1"/>
          <w:u w:val="none" w:color="auto"/>
          <w14:textFill>
            <w14:solidFill>
              <w14:schemeClr w14:val="tx1"/>
            </w14:solidFill>
          </w14:textFill>
        </w:rPr>
        <w:t>对照《建设项目环境风险评价导则》（HJ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169-2018）附录B，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本项目环境风险</w:t>
      </w:r>
      <w:r>
        <w:rPr>
          <w:rFonts w:hint="default" w:ascii="Times New Roman" w:hAnsi="Times New Roman" w:eastAsia="宋体" w:cs="Times New Roman"/>
          <w:color w:val="000000" w:themeColor="text1"/>
          <w:u w:val="none" w:color="auto"/>
          <w14:textFill>
            <w14:solidFill>
              <w14:schemeClr w14:val="tx1"/>
            </w14:solidFill>
          </w14:textFill>
        </w:rPr>
        <w:t>评价等级为简单分析。</w:t>
      </w:r>
    </w:p>
    <w:p w14:paraId="722F02A6">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29" w:name="_Toc630"/>
      <w:r>
        <w:rPr>
          <w:rFonts w:hint="default" w:ascii="Times New Roman" w:hAnsi="Times New Roman" w:eastAsia="宋体" w:cs="Times New Roman"/>
          <w:color w:val="000000" w:themeColor="text1"/>
          <w:u w:val="none" w:color="auto"/>
          <w14:textFill>
            <w14:solidFill>
              <w14:schemeClr w14:val="tx1"/>
            </w14:solidFill>
          </w14:textFill>
        </w:rPr>
        <w:t>2.6.2 评价范围</w:t>
      </w:r>
      <w:bookmarkEnd w:id="128"/>
      <w:bookmarkEnd w:id="129"/>
    </w:p>
    <w:p w14:paraId="10859903">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2.6.2.1 环境空气</w:t>
      </w:r>
    </w:p>
    <w:p w14:paraId="704BC18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大气环境》（HJ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2.2-2018）中5.4节评价范围的确定方法，本项目D10%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小于2.5 km</w:t>
      </w:r>
      <w:r>
        <w:rPr>
          <w:rFonts w:hint="default" w:ascii="Times New Roman" w:hAnsi="Times New Roman" w:eastAsia="宋体" w:cs="Times New Roman"/>
          <w:color w:val="000000" w:themeColor="text1"/>
          <w:u w:val="none" w:color="auto"/>
          <w14:textFill>
            <w14:solidFill>
              <w14:schemeClr w14:val="tx1"/>
            </w14:solidFill>
          </w14:textFill>
        </w:rPr>
        <w:t>，因此</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w:t>
      </w:r>
      <w:r>
        <w:rPr>
          <w:rFonts w:hint="default" w:ascii="Times New Roman" w:hAnsi="Times New Roman" w:eastAsia="宋体" w:cs="Times New Roman"/>
          <w:color w:val="000000" w:themeColor="text1"/>
          <w:u w:val="none" w:color="auto"/>
          <w14:textFill>
            <w14:solidFill>
              <w14:schemeClr w14:val="tx1"/>
            </w14:solidFill>
          </w14:textFill>
        </w:rPr>
        <w:t>大气环境影响评价范围边长取5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w:t>
      </w:r>
    </w:p>
    <w:p w14:paraId="254D7101">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2.6.2.2 地表水环境</w:t>
      </w:r>
    </w:p>
    <w:p w14:paraId="26F4F62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地表水环境》（HJ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2.3-2018），本项目地表水环境影响评价等级为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三级B</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，评价范围为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涉及地表水环境风险的，应覆盖环境风险影响范围所及的水环境保护目标水域</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p>
    <w:p w14:paraId="1E92FD6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因此本项目地表水环境评价范围，为应论证生产废水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依托平江高新区污水处理厂处置</w:t>
      </w:r>
      <w:r>
        <w:rPr>
          <w:rFonts w:hint="default" w:ascii="Times New Roman" w:hAnsi="Times New Roman" w:eastAsia="宋体" w:cs="Times New Roman"/>
          <w:color w:val="000000" w:themeColor="text1"/>
          <w:u w:val="none" w:color="auto"/>
          <w14:textFill>
            <w14:solidFill>
              <w14:schemeClr w14:val="tx1"/>
            </w14:solidFill>
          </w14:textFill>
        </w:rPr>
        <w:t>可行性，同时涵盖水环境风险事故评价范围，主要为雨水排放口汇入汨罗江河段。</w:t>
      </w:r>
    </w:p>
    <w:p w14:paraId="080FE862">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2.6.2.3 地下水</w:t>
      </w:r>
    </w:p>
    <w:p w14:paraId="702DA8BA">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根据《环境影响评价技术导则-地下水环境》(HJ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610-2016)，地下水环境影响现状调查评价范围可采用公式计算法、查表法和自定义法确定。以能说明地下水环境的基本情况，并满足环境影响预测和分析的要求为原则。本项目地下水调查范围以自定义法进行确定</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p>
    <w:p w14:paraId="19F9035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根据现场勘察，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本项目所在地地势东高西低，</w:t>
      </w:r>
      <w:r>
        <w:rPr>
          <w:rFonts w:hint="default" w:ascii="Times New Roman" w:hAnsi="Times New Roman" w:eastAsia="宋体" w:cs="Times New Roman"/>
          <w:color w:val="000000" w:themeColor="text1"/>
          <w:u w:val="none" w:color="auto"/>
          <w14:textFill>
            <w14:solidFill>
              <w14:schemeClr w14:val="tx1"/>
            </w14:solidFill>
          </w14:textFill>
        </w:rPr>
        <w:t>地下水的流向由</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东</w:t>
      </w:r>
      <w:r>
        <w:rPr>
          <w:rFonts w:hint="default" w:ascii="Times New Roman" w:hAnsi="Times New Roman" w:eastAsia="宋体" w:cs="Times New Roman"/>
          <w:color w:val="000000" w:themeColor="text1"/>
          <w:u w:val="none" w:color="auto"/>
          <w14:textFill>
            <w14:solidFill>
              <w14:schemeClr w14:val="tx1"/>
            </w14:solidFill>
          </w14:textFill>
        </w:rPr>
        <w:t>向</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w:t>
      </w:r>
      <w:r>
        <w:rPr>
          <w:rFonts w:hint="default" w:ascii="Times New Roman" w:hAnsi="Times New Roman" w:eastAsia="宋体" w:cs="Times New Roman"/>
          <w:color w:val="000000" w:themeColor="text1"/>
          <w:u w:val="none" w:color="auto"/>
          <w14:textFill>
            <w14:solidFill>
              <w14:schemeClr w14:val="tx1"/>
            </w14:solidFill>
          </w14:textFill>
        </w:rPr>
        <w:t>与地形坡度趋于一致</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东南</w:t>
      </w:r>
      <w:r>
        <w:rPr>
          <w:rFonts w:hint="default" w:ascii="Times New Roman" w:hAnsi="Times New Roman" w:eastAsia="宋体" w:cs="Times New Roman"/>
          <w:color w:val="000000" w:themeColor="text1"/>
          <w:u w:val="none" w:color="auto"/>
          <w14:textFill>
            <w14:solidFill>
              <w14:schemeClr w14:val="tx1"/>
            </w14:solidFill>
          </w14:textFill>
        </w:rPr>
        <w:t>面约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1500 </w:t>
      </w:r>
      <w:r>
        <w:rPr>
          <w:rFonts w:hint="default" w:ascii="Times New Roman" w:hAnsi="Times New Roman" w:eastAsia="宋体" w:cs="Times New Roman"/>
          <w:color w:val="000000" w:themeColor="text1"/>
          <w:u w:val="none" w:color="auto"/>
          <w14:textFill>
            <w14:solidFill>
              <w14:schemeClr w14:val="tx1"/>
            </w14:solidFill>
          </w14:textFill>
        </w:rPr>
        <w:t>m为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山脉</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西南面</w:t>
      </w:r>
      <w:r>
        <w:rPr>
          <w:rFonts w:hint="default" w:ascii="Times New Roman" w:hAnsi="Times New Roman" w:eastAsia="宋体" w:cs="Times New Roman"/>
          <w:color w:val="000000" w:themeColor="text1"/>
          <w:u w:val="none" w:color="auto"/>
          <w14:textFill>
            <w14:solidFill>
              <w14:schemeClr w14:val="tx1"/>
            </w14:solidFill>
          </w14:textFill>
        </w:rPr>
        <w:t>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400 </w:t>
      </w:r>
      <w:r>
        <w:rPr>
          <w:rFonts w:hint="default" w:ascii="Times New Roman" w:hAnsi="Times New Roman" w:eastAsia="宋体" w:cs="Times New Roman"/>
          <w:color w:val="000000" w:themeColor="text1"/>
          <w:u w:val="none" w:color="auto"/>
          <w14:textFill>
            <w14:solidFill>
              <w14:schemeClr w14:val="tx1"/>
            </w14:solidFill>
          </w14:textFill>
        </w:rPr>
        <w:t>m为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凌公桥河</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西北面约800 m为汨罗江，东</w:t>
      </w:r>
      <w:r>
        <w:rPr>
          <w:rFonts w:hint="default" w:ascii="Times New Roman" w:hAnsi="Times New Roman" w:eastAsia="宋体" w:cs="Times New Roman"/>
          <w:color w:val="000000" w:themeColor="text1"/>
          <w:u w:val="none" w:color="auto"/>
          <w14:textFill>
            <w14:solidFill>
              <w14:schemeClr w14:val="tx1"/>
            </w14:solidFill>
          </w14:textFill>
        </w:rPr>
        <w:t>北面约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2000 </w:t>
      </w:r>
      <w:r>
        <w:rPr>
          <w:rFonts w:hint="default" w:ascii="Times New Roman" w:hAnsi="Times New Roman" w:eastAsia="宋体" w:cs="Times New Roman"/>
          <w:color w:val="000000" w:themeColor="text1"/>
          <w:u w:val="none" w:color="auto"/>
          <w14:textFill>
            <w14:solidFill>
              <w14:schemeClr w14:val="tx1"/>
            </w14:solidFill>
          </w14:textFill>
        </w:rPr>
        <w:t>m为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小溪</w:t>
      </w:r>
      <w:r>
        <w:rPr>
          <w:rFonts w:hint="default" w:ascii="Times New Roman" w:hAnsi="Times New Roman" w:eastAsia="宋体" w:cs="Times New Roman"/>
          <w:color w:val="000000" w:themeColor="text1"/>
          <w:u w:val="none" w:color="auto"/>
          <w14:textFill>
            <w14:solidFill>
              <w14:schemeClr w14:val="tx1"/>
            </w14:solidFill>
          </w14:textFill>
        </w:rPr>
        <w:t>。因此本次地下水评价范围最终确定为：沿区域地下水流向，东</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南</w:t>
      </w:r>
      <w:r>
        <w:rPr>
          <w:rFonts w:hint="default" w:ascii="Times New Roman" w:hAnsi="Times New Roman" w:eastAsia="宋体" w:cs="Times New Roman"/>
          <w:color w:val="000000" w:themeColor="text1"/>
          <w:u w:val="none" w:color="auto"/>
          <w14:textFill>
            <w14:solidFill>
              <w14:schemeClr w14:val="tx1"/>
            </w14:solidFill>
          </w14:textFill>
        </w:rPr>
        <w:t>以山脊线为界，西</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南</w:t>
      </w:r>
      <w:r>
        <w:rPr>
          <w:rFonts w:hint="default" w:ascii="Times New Roman" w:hAnsi="Times New Roman" w:eastAsia="宋体" w:cs="Times New Roman"/>
          <w:color w:val="000000" w:themeColor="text1"/>
          <w:u w:val="none" w:color="auto"/>
          <w14:textFill>
            <w14:solidFill>
              <w14:schemeClr w14:val="tx1"/>
            </w14:solidFill>
          </w14:textFill>
        </w:rPr>
        <w:t>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凌公桥河为</w:t>
      </w:r>
      <w:r>
        <w:rPr>
          <w:rFonts w:hint="default" w:ascii="Times New Roman" w:hAnsi="Times New Roman" w:eastAsia="宋体" w:cs="Times New Roman"/>
          <w:color w:val="000000" w:themeColor="text1"/>
          <w:u w:val="none" w:color="auto"/>
          <w14:textFill>
            <w14:solidFill>
              <w14:schemeClr w14:val="tx1"/>
            </w14:solidFill>
          </w14:textFill>
        </w:rPr>
        <w:t>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西北以汨罗江为界，东北以小溪为界，</w:t>
      </w:r>
      <w:r>
        <w:rPr>
          <w:rFonts w:hint="default" w:ascii="Times New Roman" w:hAnsi="Times New Roman" w:eastAsia="宋体" w:cs="Times New Roman"/>
          <w:color w:val="000000" w:themeColor="text1"/>
          <w:u w:val="none" w:color="auto"/>
          <w14:textFill>
            <w14:solidFill>
              <w14:schemeClr w14:val="tx1"/>
            </w14:solidFill>
          </w14:textFill>
        </w:rPr>
        <w:t>划定为小型水文地质单元，</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调查范围及评价范围与本项目所在地均为同一水文地质单元内。</w:t>
      </w:r>
      <w:r>
        <w:rPr>
          <w:rFonts w:hint="default" w:ascii="Times New Roman" w:hAnsi="Times New Roman" w:eastAsia="宋体" w:cs="Times New Roman"/>
          <w:color w:val="000000" w:themeColor="text1"/>
          <w:u w:val="none" w:color="auto"/>
          <w14:textFill>
            <w14:solidFill>
              <w14:schemeClr w14:val="tx1"/>
            </w14:solidFill>
          </w14:textFill>
        </w:rPr>
        <w:t>总评价区面积约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6.77 </w:t>
      </w:r>
      <w:r>
        <w:rPr>
          <w:rFonts w:hint="default" w:ascii="Times New Roman" w:hAnsi="Times New Roman" w:eastAsia="宋体" w:cs="Times New Roman"/>
          <w:color w:val="000000" w:themeColor="text1"/>
          <w:u w:val="none" w:color="auto"/>
          <w14:textFill>
            <w14:solidFill>
              <w14:schemeClr w14:val="tx1"/>
            </w14:solidFill>
          </w14:textFill>
        </w:rPr>
        <w:t>km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，评价范围见附图所示。</w:t>
      </w:r>
    </w:p>
    <w:p w14:paraId="0100E72A">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2.6.2.4 声环境</w:t>
      </w:r>
    </w:p>
    <w:p w14:paraId="1AB0D43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声环境》（HJ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2.4-2021），本项目声评价等级为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三级</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，声环境影响评价范围为项目厂界外200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m的区域。</w:t>
      </w:r>
    </w:p>
    <w:p w14:paraId="0CCAA817">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2.6.2.5 生态环境</w:t>
      </w:r>
    </w:p>
    <w:p w14:paraId="559F325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《环境影响评价技术导则 生态影响》</w:t>
      </w:r>
      <w:r>
        <w:rPr>
          <w:rFonts w:hint="default" w:ascii="Times New Roman" w:hAnsi="Times New Roman" w:eastAsia="宋体" w:cs="Times New Roman"/>
          <w:color w:val="000000" w:themeColor="text1"/>
          <w:kern w:val="0"/>
          <w:u w:val="none" w:color="auto"/>
          <w:lang w:bidi="ar"/>
          <w14:textFill>
            <w14:solidFill>
              <w14:schemeClr w14:val="tx1"/>
            </w14:solidFill>
          </w14:textFill>
        </w:rPr>
        <w:t>（HJ</w:t>
      </w:r>
      <w:r>
        <w:rPr>
          <w:rFonts w:hint="default" w:ascii="Times New Roman" w:hAnsi="Times New Roman" w:eastAsia="宋体" w:cs="Times New Roman"/>
          <w:color w:val="000000" w:themeColor="text1"/>
          <w:kern w:val="0"/>
          <w:u w:val="none" w:color="auto"/>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u w:val="none" w:color="auto"/>
          <w:lang w:bidi="ar"/>
          <w14:textFill>
            <w14:solidFill>
              <w14:schemeClr w14:val="tx1"/>
            </w14:solidFill>
          </w14:textFill>
        </w:rPr>
        <w:t>19-2022）</w:t>
      </w:r>
      <w:r>
        <w:rPr>
          <w:rFonts w:hint="default" w:ascii="Times New Roman" w:hAnsi="Times New Roman" w:eastAsia="宋体" w:cs="Times New Roman"/>
          <w:color w:val="000000" w:themeColor="text1"/>
          <w:u w:val="none" w:color="auto"/>
          <w14:textFill>
            <w14:solidFill>
              <w14:schemeClr w14:val="tx1"/>
            </w14:solidFill>
          </w14:textFill>
        </w:rPr>
        <w:t>可知，本项目</w:t>
      </w:r>
      <w:r>
        <w:rPr>
          <w:rFonts w:hint="default" w:ascii="Times New Roman" w:hAnsi="Times New Roman" w:eastAsia="宋体" w:cs="Times New Roman"/>
          <w:color w:val="000000" w:themeColor="text1"/>
          <w:kern w:val="0"/>
          <w:u w:val="none" w:color="auto"/>
          <w:lang w:bidi="ar"/>
          <w14:textFill>
            <w14:solidFill>
              <w14:schemeClr w14:val="tx1"/>
            </w14:solidFill>
          </w14:textFill>
        </w:rPr>
        <w:t>直接进行生态影响简单分析，不设置生态评价范围。</w:t>
      </w:r>
    </w:p>
    <w:p w14:paraId="575BFE3A">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2.6.2.6 土壤环境</w:t>
      </w:r>
    </w:p>
    <w:p w14:paraId="7F34D08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土壤环境（试行）》（HJ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964-2018），本项目土壤环境影响评价等级为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w:t>
      </w:r>
      <w:r>
        <w:rPr>
          <w:rFonts w:hint="default" w:ascii="Times New Roman" w:hAnsi="Times New Roman" w:eastAsia="宋体" w:cs="Times New Roman"/>
          <w:color w:val="000000" w:themeColor="text1"/>
          <w:u w:val="none" w:color="auto"/>
          <w14:textFill>
            <w14:solidFill>
              <w14:schemeClr w14:val="tx1"/>
            </w14:solidFill>
          </w14:textFill>
        </w:rPr>
        <w:t>级</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，因此本项目土壤环境影响评价范围为厂界外</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50 </w:t>
      </w:r>
      <w:r>
        <w:rPr>
          <w:rFonts w:hint="default" w:ascii="Times New Roman" w:hAnsi="Times New Roman" w:eastAsia="宋体" w:cs="Times New Roman"/>
          <w:color w:val="000000" w:themeColor="text1"/>
          <w:u w:val="none" w:color="auto"/>
          <w14:textFill>
            <w14:solidFill>
              <w14:schemeClr w14:val="tx1"/>
            </w14:solidFill>
          </w14:textFill>
        </w:rPr>
        <w:t>m。</w:t>
      </w:r>
    </w:p>
    <w:p w14:paraId="2830ECF7">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2.6.2.7 环境风险</w:t>
      </w:r>
    </w:p>
    <w:p w14:paraId="77FF876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根据《建设项目环境风险评价技术导则》（HJ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169-2018），本项目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环境风险等级为简单分析，不设置环境风险评价范围</w:t>
      </w:r>
      <w:r>
        <w:rPr>
          <w:rFonts w:hint="default" w:ascii="Times New Roman" w:hAnsi="Times New Roman" w:eastAsia="宋体" w:cs="Times New Roman"/>
          <w:color w:val="000000" w:themeColor="text1"/>
          <w:u w:val="none" w:color="auto"/>
          <w14:textFill>
            <w14:solidFill>
              <w14:schemeClr w14:val="tx1"/>
            </w14:solidFill>
          </w14:textFill>
        </w:rPr>
        <w:t>。</w:t>
      </w:r>
    </w:p>
    <w:p w14:paraId="20FBA703">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2.6.2.8 评价范围汇总</w:t>
      </w:r>
    </w:p>
    <w:p w14:paraId="7142D0F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表2.6-19  环境影响评价等级和范围一览表</w:t>
      </w:r>
    </w:p>
    <w:tbl>
      <w:tblPr>
        <w:tblStyle w:val="37"/>
        <w:tblW w:w="5036" w:type="pct"/>
        <w:tblInd w:w="-3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358"/>
        <w:gridCol w:w="1377"/>
        <w:gridCol w:w="4668"/>
      </w:tblGrid>
      <w:tr w14:paraId="3458D5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0" w:hRule="atLeast"/>
          <w:tblHeader/>
        </w:trPr>
        <w:tc>
          <w:tcPr>
            <w:tcW w:w="1403" w:type="pct"/>
            <w:vAlign w:val="center"/>
          </w:tcPr>
          <w:p w14:paraId="2B577A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内容</w:t>
            </w:r>
          </w:p>
        </w:tc>
        <w:tc>
          <w:tcPr>
            <w:tcW w:w="819" w:type="pct"/>
            <w:vAlign w:val="center"/>
          </w:tcPr>
          <w:p w14:paraId="55FED5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评价等级</w:t>
            </w:r>
          </w:p>
        </w:tc>
        <w:tc>
          <w:tcPr>
            <w:tcW w:w="2777" w:type="pct"/>
            <w:vAlign w:val="center"/>
          </w:tcPr>
          <w:p w14:paraId="2C5AD9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评价范围</w:t>
            </w:r>
          </w:p>
        </w:tc>
      </w:tr>
      <w:tr w14:paraId="278E3A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403" w:type="pct"/>
            <w:vAlign w:val="center"/>
          </w:tcPr>
          <w:p w14:paraId="4F12FD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环境空气</w:t>
            </w:r>
          </w:p>
        </w:tc>
        <w:tc>
          <w:tcPr>
            <w:tcW w:w="819" w:type="pct"/>
            <w:vAlign w:val="center"/>
          </w:tcPr>
          <w:p w14:paraId="268FFC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二</w:t>
            </w:r>
            <w:r>
              <w:rPr>
                <w:rFonts w:hint="default" w:ascii="Times New Roman" w:hAnsi="Times New Roman" w:eastAsia="宋体" w:cs="Times New Roman"/>
                <w:color w:val="000000" w:themeColor="text1"/>
                <w:u w:val="none" w:color="auto"/>
                <w14:textFill>
                  <w14:solidFill>
                    <w14:schemeClr w14:val="tx1"/>
                  </w14:solidFill>
                </w14:textFill>
              </w:rPr>
              <w:t>级</w:t>
            </w:r>
          </w:p>
        </w:tc>
        <w:tc>
          <w:tcPr>
            <w:tcW w:w="2777" w:type="pct"/>
            <w:vAlign w:val="center"/>
          </w:tcPr>
          <w:p w14:paraId="7CE63B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以项目厂界外延，边长为5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km的矩形区域</w:t>
            </w:r>
          </w:p>
        </w:tc>
      </w:tr>
      <w:tr w14:paraId="7E9D72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403" w:type="pct"/>
            <w:vAlign w:val="center"/>
          </w:tcPr>
          <w:p w14:paraId="1668B6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地表水环境</w:t>
            </w:r>
          </w:p>
        </w:tc>
        <w:tc>
          <w:tcPr>
            <w:tcW w:w="819" w:type="pct"/>
            <w:vAlign w:val="center"/>
          </w:tcPr>
          <w:p w14:paraId="4A31C5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三级B</w:t>
            </w:r>
          </w:p>
        </w:tc>
        <w:tc>
          <w:tcPr>
            <w:tcW w:w="2777" w:type="pct"/>
            <w:vAlign w:val="center"/>
          </w:tcPr>
          <w:p w14:paraId="727B48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依托平江高新区污水处理厂处置</w:t>
            </w:r>
            <w:r>
              <w:rPr>
                <w:rFonts w:hint="default" w:ascii="Times New Roman" w:hAnsi="Times New Roman" w:eastAsia="宋体" w:cs="Times New Roman"/>
                <w:color w:val="000000" w:themeColor="text1"/>
                <w:u w:val="none" w:color="auto"/>
                <w14:textFill>
                  <w14:solidFill>
                    <w14:schemeClr w14:val="tx1"/>
                  </w14:solidFill>
                </w14:textFill>
              </w:rPr>
              <w:t>可行性，同时涵盖水环境风险事故评价范围，主要为雨水排放口汇入汨罗江</w:t>
            </w:r>
          </w:p>
        </w:tc>
      </w:tr>
      <w:tr w14:paraId="4BCE98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403" w:type="pct"/>
            <w:vAlign w:val="center"/>
          </w:tcPr>
          <w:p w14:paraId="794E91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地下水环境</w:t>
            </w:r>
          </w:p>
        </w:tc>
        <w:tc>
          <w:tcPr>
            <w:tcW w:w="819" w:type="pct"/>
            <w:vAlign w:val="center"/>
          </w:tcPr>
          <w:p w14:paraId="5620F2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2777" w:type="pct"/>
            <w:vAlign w:val="center"/>
          </w:tcPr>
          <w:p w14:paraId="4907D0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评价区面积为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6.77 </w:t>
            </w:r>
            <w:r>
              <w:rPr>
                <w:rFonts w:hint="default" w:ascii="Times New Roman" w:hAnsi="Times New Roman" w:eastAsia="宋体" w:cs="Times New Roman"/>
                <w:color w:val="000000" w:themeColor="text1"/>
                <w:u w:val="none" w:color="auto"/>
                <w14:textFill>
                  <w14:solidFill>
                    <w14:schemeClr w14:val="tx1"/>
                  </w14:solidFill>
                </w14:textFill>
              </w:rPr>
              <w:t>km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p>
        </w:tc>
      </w:tr>
      <w:tr w14:paraId="27C233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403" w:type="pct"/>
            <w:vAlign w:val="center"/>
          </w:tcPr>
          <w:p w14:paraId="4FC201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声环境</w:t>
            </w:r>
          </w:p>
        </w:tc>
        <w:tc>
          <w:tcPr>
            <w:tcW w:w="819" w:type="pct"/>
            <w:vAlign w:val="center"/>
          </w:tcPr>
          <w:p w14:paraId="60C526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2777" w:type="pct"/>
            <w:vAlign w:val="center"/>
          </w:tcPr>
          <w:p w14:paraId="065937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本项目厂界外200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m内的区域</w:t>
            </w:r>
          </w:p>
        </w:tc>
      </w:tr>
      <w:tr w14:paraId="5A992A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403" w:type="pct"/>
            <w:vAlign w:val="center"/>
          </w:tcPr>
          <w:p w14:paraId="603C5B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生态</w:t>
            </w:r>
          </w:p>
        </w:tc>
        <w:tc>
          <w:tcPr>
            <w:tcW w:w="819" w:type="pct"/>
            <w:vAlign w:val="center"/>
          </w:tcPr>
          <w:p w14:paraId="068C5B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简单分析</w:t>
            </w:r>
          </w:p>
        </w:tc>
        <w:tc>
          <w:tcPr>
            <w:tcW w:w="2777" w:type="pct"/>
            <w:vAlign w:val="center"/>
          </w:tcPr>
          <w:p w14:paraId="51A24E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78F81D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403" w:type="pct"/>
            <w:vAlign w:val="center"/>
          </w:tcPr>
          <w:p w14:paraId="40F7D2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土壤环境</w:t>
            </w:r>
          </w:p>
        </w:tc>
        <w:tc>
          <w:tcPr>
            <w:tcW w:w="819" w:type="pct"/>
            <w:vAlign w:val="center"/>
          </w:tcPr>
          <w:p w14:paraId="7E599A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三级</w:t>
            </w:r>
          </w:p>
        </w:tc>
        <w:tc>
          <w:tcPr>
            <w:tcW w:w="2777" w:type="pct"/>
            <w:vAlign w:val="center"/>
          </w:tcPr>
          <w:p w14:paraId="4E8FAD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本项目厂界外</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m内的区域</w:t>
            </w:r>
          </w:p>
        </w:tc>
      </w:tr>
      <w:tr w14:paraId="0C07DD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403" w:type="pct"/>
            <w:vAlign w:val="center"/>
          </w:tcPr>
          <w:p w14:paraId="194C22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环境风险</w:t>
            </w:r>
          </w:p>
        </w:tc>
        <w:tc>
          <w:tcPr>
            <w:tcW w:w="819" w:type="pct"/>
            <w:vAlign w:val="center"/>
          </w:tcPr>
          <w:p w14:paraId="18CB16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简单分析</w:t>
            </w:r>
          </w:p>
        </w:tc>
        <w:tc>
          <w:tcPr>
            <w:tcW w:w="2777" w:type="pct"/>
            <w:vAlign w:val="center"/>
          </w:tcPr>
          <w:p w14:paraId="422121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5BE500B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7" w:h="16840"/>
          <w:pgMar w:top="1440" w:right="1797" w:bottom="1440" w:left="1797" w:header="851" w:footer="992" w:gutter="0"/>
          <w:pgBorders>
            <w:top w:val="none" w:sz="0" w:space="0"/>
            <w:left w:val="none" w:sz="0" w:space="0"/>
            <w:bottom w:val="none" w:sz="0" w:space="0"/>
            <w:right w:val="none" w:sz="0" w:space="0"/>
          </w:pgBorders>
          <w:cols w:space="720" w:num="1"/>
          <w:docGrid w:linePitch="326" w:charSpace="0"/>
        </w:sectPr>
      </w:pPr>
    </w:p>
    <w:p w14:paraId="7B590248">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30" w:name="_Toc204350662"/>
      <w:bookmarkStart w:id="131" w:name="_Toc19434"/>
      <w:r>
        <w:rPr>
          <w:rFonts w:hint="default" w:ascii="Times New Roman" w:hAnsi="Times New Roman" w:eastAsia="宋体" w:cs="Times New Roman"/>
          <w:color w:val="000000" w:themeColor="text1"/>
          <w:u w:val="none" w:color="auto"/>
          <w14:textFill>
            <w14:solidFill>
              <w14:schemeClr w14:val="tx1"/>
            </w14:solidFill>
          </w14:textFill>
        </w:rPr>
        <w:t>2.7 环境保护目标</w:t>
      </w:r>
      <w:bookmarkEnd w:id="130"/>
      <w:bookmarkEnd w:id="131"/>
    </w:p>
    <w:p w14:paraId="20B97EE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本工程不涉及生态红线，不在自然保护区、风景名胜区内，评价区域内无珍稀动植物资源，根据项目性质及周边环境特征，具体环境保护目标见下表所示。</w:t>
      </w:r>
    </w:p>
    <w:p w14:paraId="0745B8B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表2.7-1  主要大气环境保护目标</w:t>
      </w:r>
    </w:p>
    <w:tbl>
      <w:tblPr>
        <w:tblStyle w:val="37"/>
        <w:tblW w:w="4996" w:type="pct"/>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301"/>
        <w:gridCol w:w="1534"/>
        <w:gridCol w:w="1466"/>
        <w:gridCol w:w="2084"/>
        <w:gridCol w:w="2083"/>
        <w:gridCol w:w="2417"/>
        <w:gridCol w:w="2527"/>
      </w:tblGrid>
      <w:tr w14:paraId="326E8D6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50" w:hRule="atLeast"/>
          <w:tblHeader/>
          <w:jc w:val="center"/>
        </w:trPr>
        <w:tc>
          <w:tcPr>
            <w:tcW w:w="265" w:type="pct"/>
            <w:vMerge w:val="restart"/>
            <w:vAlign w:val="center"/>
          </w:tcPr>
          <w:p w14:paraId="18CAF2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序号</w:t>
            </w:r>
          </w:p>
        </w:tc>
        <w:tc>
          <w:tcPr>
            <w:tcW w:w="459" w:type="pct"/>
            <w:vMerge w:val="restart"/>
            <w:vAlign w:val="center"/>
          </w:tcPr>
          <w:p w14:paraId="3CD2A6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名称</w:t>
            </w:r>
          </w:p>
        </w:tc>
        <w:tc>
          <w:tcPr>
            <w:tcW w:w="1059" w:type="pct"/>
            <w:gridSpan w:val="2"/>
            <w:vAlign w:val="center"/>
          </w:tcPr>
          <w:p w14:paraId="7845984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位置坐标</w:t>
            </w:r>
          </w:p>
        </w:tc>
        <w:tc>
          <w:tcPr>
            <w:tcW w:w="735" w:type="pct"/>
            <w:vMerge w:val="restart"/>
            <w:vAlign w:val="center"/>
          </w:tcPr>
          <w:p w14:paraId="25296F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相对厂址方位</w:t>
            </w:r>
          </w:p>
        </w:tc>
        <w:tc>
          <w:tcPr>
            <w:tcW w:w="735" w:type="pct"/>
            <w:vMerge w:val="restart"/>
            <w:vAlign w:val="center"/>
          </w:tcPr>
          <w:p w14:paraId="41B47D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相对厂址距离/m</w:t>
            </w:r>
          </w:p>
        </w:tc>
        <w:tc>
          <w:tcPr>
            <w:tcW w:w="853" w:type="pct"/>
            <w:vMerge w:val="restart"/>
            <w:vAlign w:val="center"/>
          </w:tcPr>
          <w:p w14:paraId="3A9762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保护内容</w:t>
            </w:r>
          </w:p>
        </w:tc>
        <w:tc>
          <w:tcPr>
            <w:tcW w:w="892" w:type="pct"/>
            <w:vMerge w:val="restart"/>
            <w:vAlign w:val="center"/>
          </w:tcPr>
          <w:p w14:paraId="5CB1F7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环境功能区</w:t>
            </w:r>
          </w:p>
        </w:tc>
      </w:tr>
      <w:tr w14:paraId="3EB477B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433" w:hRule="atLeast"/>
          <w:tblHeader/>
          <w:jc w:val="center"/>
        </w:trPr>
        <w:tc>
          <w:tcPr>
            <w:tcW w:w="265" w:type="pct"/>
            <w:vMerge w:val="continue"/>
            <w:vAlign w:val="center"/>
          </w:tcPr>
          <w:p w14:paraId="5633A313">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459" w:type="pct"/>
            <w:vMerge w:val="continue"/>
            <w:vAlign w:val="center"/>
          </w:tcPr>
          <w:p w14:paraId="1603F702">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541" w:type="pct"/>
            <w:vAlign w:val="center"/>
          </w:tcPr>
          <w:p w14:paraId="3127B8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经度</w:t>
            </w:r>
          </w:p>
        </w:tc>
        <w:tc>
          <w:tcPr>
            <w:tcW w:w="517" w:type="pct"/>
            <w:vAlign w:val="center"/>
          </w:tcPr>
          <w:p w14:paraId="5BE98F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纬度</w:t>
            </w:r>
          </w:p>
        </w:tc>
        <w:tc>
          <w:tcPr>
            <w:tcW w:w="735" w:type="pct"/>
            <w:vMerge w:val="continue"/>
            <w:vAlign w:val="center"/>
          </w:tcPr>
          <w:p w14:paraId="4A7B2458">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35" w:type="pct"/>
            <w:vMerge w:val="continue"/>
            <w:vAlign w:val="center"/>
          </w:tcPr>
          <w:p w14:paraId="712E1723">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853" w:type="pct"/>
            <w:vMerge w:val="continue"/>
            <w:vAlign w:val="center"/>
          </w:tcPr>
          <w:p w14:paraId="3101F735">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892" w:type="pct"/>
            <w:vMerge w:val="continue"/>
            <w:vAlign w:val="center"/>
          </w:tcPr>
          <w:p w14:paraId="33758678">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6CBB34A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2C629F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p>
        </w:tc>
        <w:tc>
          <w:tcPr>
            <w:tcW w:w="459" w:type="pct"/>
            <w:vAlign w:val="center"/>
          </w:tcPr>
          <w:p w14:paraId="5E812B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公合村</w:t>
            </w:r>
          </w:p>
        </w:tc>
        <w:tc>
          <w:tcPr>
            <w:tcW w:w="541" w:type="pct"/>
            <w:vAlign w:val="center"/>
          </w:tcPr>
          <w:p w14:paraId="1C5EA5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113°16′18.734″</w:t>
            </w:r>
          </w:p>
        </w:tc>
        <w:tc>
          <w:tcPr>
            <w:tcW w:w="517" w:type="pct"/>
            <w:vAlign w:val="center"/>
          </w:tcPr>
          <w:p w14:paraId="75F207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28°47′14.367″</w:t>
            </w:r>
          </w:p>
        </w:tc>
        <w:tc>
          <w:tcPr>
            <w:tcW w:w="735" w:type="pct"/>
            <w:vAlign w:val="center"/>
          </w:tcPr>
          <w:p w14:paraId="744696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w:t>
            </w:r>
          </w:p>
        </w:tc>
        <w:tc>
          <w:tcPr>
            <w:tcW w:w="735" w:type="pct"/>
            <w:vAlign w:val="center"/>
          </w:tcPr>
          <w:p w14:paraId="52FEE0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120~500</w:t>
            </w:r>
          </w:p>
        </w:tc>
        <w:tc>
          <w:tcPr>
            <w:tcW w:w="853" w:type="pct"/>
            <w:vAlign w:val="center"/>
          </w:tcPr>
          <w:p w14:paraId="7A51E2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892" w:type="pct"/>
            <w:vMerge w:val="restart"/>
            <w:vAlign w:val="center"/>
          </w:tcPr>
          <w:p w14:paraId="0870DC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《环境空气质量标准》（GB</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3095-20</w:t>
            </w:r>
            <w:r>
              <w:rPr>
                <w:rFonts w:hint="eastAsia" w:eastAsia="宋体" w:cs="Times New Roman"/>
                <w:color w:val="000000" w:themeColor="text1"/>
                <w:sz w:val="21"/>
                <w:szCs w:val="21"/>
                <w:u w:val="none" w:color="auto"/>
                <w:lang w:val="en-US" w:eastAsia="zh-CN"/>
                <w14:textFill>
                  <w14:solidFill>
                    <w14:schemeClr w14:val="tx1"/>
                  </w14:solidFill>
                </w14:textFill>
              </w:rPr>
              <w:t>26</w:t>
            </w:r>
            <w:r>
              <w:rPr>
                <w:rFonts w:hint="default" w:ascii="Times New Roman" w:hAnsi="Times New Roman" w:eastAsia="宋体" w:cs="Times New Roman"/>
                <w:color w:val="000000" w:themeColor="text1"/>
                <w:sz w:val="21"/>
                <w:szCs w:val="21"/>
                <w:u w:val="none" w:color="auto"/>
                <w14:textFill>
                  <w14:solidFill>
                    <w14:schemeClr w14:val="tx1"/>
                  </w14:solidFill>
                </w14:textFill>
              </w:rPr>
              <w:t>）二级</w:t>
            </w:r>
          </w:p>
        </w:tc>
      </w:tr>
      <w:tr w14:paraId="05C237B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64E120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w:t>
            </w:r>
          </w:p>
        </w:tc>
        <w:tc>
          <w:tcPr>
            <w:tcW w:w="459" w:type="pct"/>
            <w:vAlign w:val="center"/>
          </w:tcPr>
          <w:p w14:paraId="2BA1E8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颜家村</w:t>
            </w:r>
          </w:p>
        </w:tc>
        <w:tc>
          <w:tcPr>
            <w:tcW w:w="541" w:type="pct"/>
            <w:vAlign w:val="center"/>
          </w:tcPr>
          <w:p w14:paraId="7D66C9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113°16′28.892″</w:t>
            </w:r>
          </w:p>
        </w:tc>
        <w:tc>
          <w:tcPr>
            <w:tcW w:w="517" w:type="pct"/>
            <w:vAlign w:val="center"/>
          </w:tcPr>
          <w:p w14:paraId="6B4459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28°47′26.765″</w:t>
            </w:r>
          </w:p>
        </w:tc>
        <w:tc>
          <w:tcPr>
            <w:tcW w:w="735" w:type="pct"/>
            <w:vAlign w:val="center"/>
          </w:tcPr>
          <w:p w14:paraId="09D4B2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w:t>
            </w:r>
          </w:p>
        </w:tc>
        <w:tc>
          <w:tcPr>
            <w:tcW w:w="735" w:type="pct"/>
            <w:vAlign w:val="center"/>
          </w:tcPr>
          <w:p w14:paraId="3FD479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370~1200</w:t>
            </w:r>
          </w:p>
        </w:tc>
        <w:tc>
          <w:tcPr>
            <w:tcW w:w="853" w:type="pct"/>
            <w:vAlign w:val="center"/>
          </w:tcPr>
          <w:p w14:paraId="0CA702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892" w:type="pct"/>
            <w:vMerge w:val="continue"/>
            <w:vAlign w:val="center"/>
          </w:tcPr>
          <w:p w14:paraId="7E25A8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1EDC3BD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06E07F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3</w:t>
            </w:r>
          </w:p>
        </w:tc>
        <w:tc>
          <w:tcPr>
            <w:tcW w:w="459" w:type="pct"/>
            <w:vAlign w:val="center"/>
          </w:tcPr>
          <w:p w14:paraId="6D99CC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周屋场</w:t>
            </w:r>
          </w:p>
        </w:tc>
        <w:tc>
          <w:tcPr>
            <w:tcW w:w="541" w:type="pct"/>
            <w:vAlign w:val="center"/>
          </w:tcPr>
          <w:p w14:paraId="40412C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113°16′44.872″</w:t>
            </w:r>
          </w:p>
        </w:tc>
        <w:tc>
          <w:tcPr>
            <w:tcW w:w="517" w:type="pct"/>
            <w:vAlign w:val="center"/>
          </w:tcPr>
          <w:p w14:paraId="1F627B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28°47′05.242″</w:t>
            </w:r>
          </w:p>
        </w:tc>
        <w:tc>
          <w:tcPr>
            <w:tcW w:w="735" w:type="pct"/>
            <w:vAlign w:val="center"/>
          </w:tcPr>
          <w:p w14:paraId="4775DA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w:t>
            </w:r>
          </w:p>
        </w:tc>
        <w:tc>
          <w:tcPr>
            <w:tcW w:w="735" w:type="pct"/>
            <w:vAlign w:val="center"/>
          </w:tcPr>
          <w:p w14:paraId="0F4F62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450~620</w:t>
            </w:r>
          </w:p>
        </w:tc>
        <w:tc>
          <w:tcPr>
            <w:tcW w:w="853" w:type="pct"/>
            <w:vAlign w:val="center"/>
          </w:tcPr>
          <w:p w14:paraId="2FD63B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居民约30人</w:t>
            </w:r>
          </w:p>
        </w:tc>
        <w:tc>
          <w:tcPr>
            <w:tcW w:w="892" w:type="pct"/>
            <w:vMerge w:val="continue"/>
            <w:vAlign w:val="center"/>
          </w:tcPr>
          <w:p w14:paraId="48A5E2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68B0ECF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01F0B4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4</w:t>
            </w:r>
          </w:p>
        </w:tc>
        <w:tc>
          <w:tcPr>
            <w:tcW w:w="459" w:type="pct"/>
            <w:vAlign w:val="center"/>
          </w:tcPr>
          <w:p w14:paraId="0A493C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水屋场</w:t>
            </w:r>
          </w:p>
        </w:tc>
        <w:tc>
          <w:tcPr>
            <w:tcW w:w="541" w:type="pct"/>
            <w:vAlign w:val="center"/>
          </w:tcPr>
          <w:p w14:paraId="36A709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113°16′58.082″</w:t>
            </w:r>
          </w:p>
        </w:tc>
        <w:tc>
          <w:tcPr>
            <w:tcW w:w="517" w:type="pct"/>
            <w:vAlign w:val="center"/>
          </w:tcPr>
          <w:p w14:paraId="412A72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28°47′08.023″</w:t>
            </w:r>
          </w:p>
        </w:tc>
        <w:tc>
          <w:tcPr>
            <w:tcW w:w="735" w:type="pct"/>
            <w:vAlign w:val="center"/>
          </w:tcPr>
          <w:p w14:paraId="5D52E6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w:t>
            </w:r>
          </w:p>
        </w:tc>
        <w:tc>
          <w:tcPr>
            <w:tcW w:w="735" w:type="pct"/>
            <w:vAlign w:val="center"/>
          </w:tcPr>
          <w:p w14:paraId="5067B7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670~1000</w:t>
            </w:r>
          </w:p>
        </w:tc>
        <w:tc>
          <w:tcPr>
            <w:tcW w:w="853" w:type="pct"/>
            <w:vAlign w:val="center"/>
          </w:tcPr>
          <w:p w14:paraId="3D1200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居民约30人</w:t>
            </w:r>
          </w:p>
        </w:tc>
        <w:tc>
          <w:tcPr>
            <w:tcW w:w="892" w:type="pct"/>
            <w:vMerge w:val="continue"/>
            <w:vAlign w:val="center"/>
          </w:tcPr>
          <w:p w14:paraId="769FBA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851FA6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667FD0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5</w:t>
            </w:r>
          </w:p>
        </w:tc>
        <w:tc>
          <w:tcPr>
            <w:tcW w:w="459" w:type="pct"/>
            <w:vAlign w:val="center"/>
          </w:tcPr>
          <w:p w14:paraId="505FE9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余家湾</w:t>
            </w:r>
          </w:p>
        </w:tc>
        <w:tc>
          <w:tcPr>
            <w:tcW w:w="541" w:type="pct"/>
            <w:vAlign w:val="center"/>
          </w:tcPr>
          <w:p w14:paraId="0A900A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113°16′20.351″</w:t>
            </w:r>
          </w:p>
        </w:tc>
        <w:tc>
          <w:tcPr>
            <w:tcW w:w="517" w:type="pct"/>
            <w:vAlign w:val="center"/>
          </w:tcPr>
          <w:p w14:paraId="52FF5F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28°46′41.006″</w:t>
            </w:r>
          </w:p>
        </w:tc>
        <w:tc>
          <w:tcPr>
            <w:tcW w:w="735" w:type="pct"/>
            <w:vAlign w:val="center"/>
          </w:tcPr>
          <w:p w14:paraId="7EEC17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w:t>
            </w:r>
          </w:p>
        </w:tc>
        <w:tc>
          <w:tcPr>
            <w:tcW w:w="735" w:type="pct"/>
            <w:vAlign w:val="center"/>
          </w:tcPr>
          <w:p w14:paraId="425F94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800~1100</w:t>
            </w:r>
          </w:p>
        </w:tc>
        <w:tc>
          <w:tcPr>
            <w:tcW w:w="853" w:type="pct"/>
            <w:vAlign w:val="center"/>
          </w:tcPr>
          <w:p w14:paraId="3F6E7B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居民约100人</w:t>
            </w:r>
          </w:p>
        </w:tc>
        <w:tc>
          <w:tcPr>
            <w:tcW w:w="892" w:type="pct"/>
            <w:vMerge w:val="continue"/>
            <w:vAlign w:val="center"/>
          </w:tcPr>
          <w:p w14:paraId="0C73FA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68B7228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5C00EC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w:t>
            </w:r>
          </w:p>
        </w:tc>
        <w:tc>
          <w:tcPr>
            <w:tcW w:w="459" w:type="pct"/>
            <w:vAlign w:val="center"/>
          </w:tcPr>
          <w:p w14:paraId="2A709C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艾家里</w:t>
            </w:r>
          </w:p>
        </w:tc>
        <w:tc>
          <w:tcPr>
            <w:tcW w:w="541" w:type="pct"/>
            <w:vAlign w:val="center"/>
          </w:tcPr>
          <w:p w14:paraId="3D20E4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113°16′33.266″</w:t>
            </w:r>
          </w:p>
        </w:tc>
        <w:tc>
          <w:tcPr>
            <w:tcW w:w="517" w:type="pct"/>
            <w:vAlign w:val="center"/>
          </w:tcPr>
          <w:p w14:paraId="31F8C9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28°47′54.024″</w:t>
            </w:r>
          </w:p>
        </w:tc>
        <w:tc>
          <w:tcPr>
            <w:tcW w:w="735" w:type="pct"/>
            <w:vAlign w:val="center"/>
          </w:tcPr>
          <w:p w14:paraId="6D4200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w:t>
            </w:r>
          </w:p>
        </w:tc>
        <w:tc>
          <w:tcPr>
            <w:tcW w:w="735" w:type="pct"/>
            <w:vAlign w:val="center"/>
          </w:tcPr>
          <w:p w14:paraId="181305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900~1500</w:t>
            </w:r>
          </w:p>
        </w:tc>
        <w:tc>
          <w:tcPr>
            <w:tcW w:w="853" w:type="pct"/>
            <w:vAlign w:val="center"/>
          </w:tcPr>
          <w:p w14:paraId="7F6FB1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居民约120人</w:t>
            </w:r>
          </w:p>
        </w:tc>
        <w:tc>
          <w:tcPr>
            <w:tcW w:w="892" w:type="pct"/>
            <w:vMerge w:val="continue"/>
            <w:vAlign w:val="center"/>
          </w:tcPr>
          <w:p w14:paraId="7AF374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B38EED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54B3B9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7</w:t>
            </w:r>
          </w:p>
        </w:tc>
        <w:tc>
          <w:tcPr>
            <w:tcW w:w="459" w:type="pct"/>
            <w:vAlign w:val="center"/>
          </w:tcPr>
          <w:p w14:paraId="0DE81E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保楼屋</w:t>
            </w:r>
          </w:p>
        </w:tc>
        <w:tc>
          <w:tcPr>
            <w:tcW w:w="541" w:type="pct"/>
            <w:vAlign w:val="center"/>
          </w:tcPr>
          <w:p w14:paraId="1CE64A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113°17′0.399″</w:t>
            </w:r>
          </w:p>
        </w:tc>
        <w:tc>
          <w:tcPr>
            <w:tcW w:w="517" w:type="pct"/>
            <w:vAlign w:val="center"/>
          </w:tcPr>
          <w:p w14:paraId="49CC6B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28°46′53.076″</w:t>
            </w:r>
          </w:p>
        </w:tc>
        <w:tc>
          <w:tcPr>
            <w:tcW w:w="735" w:type="pct"/>
            <w:vAlign w:val="center"/>
          </w:tcPr>
          <w:p w14:paraId="34F486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735" w:type="pct"/>
            <w:vAlign w:val="center"/>
          </w:tcPr>
          <w:p w14:paraId="23E5B3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1100~1200</w:t>
            </w:r>
          </w:p>
        </w:tc>
        <w:tc>
          <w:tcPr>
            <w:tcW w:w="853" w:type="pct"/>
            <w:vAlign w:val="center"/>
          </w:tcPr>
          <w:p w14:paraId="393353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居民约20人</w:t>
            </w:r>
          </w:p>
        </w:tc>
        <w:tc>
          <w:tcPr>
            <w:tcW w:w="892" w:type="pct"/>
            <w:vMerge w:val="continue"/>
            <w:vAlign w:val="center"/>
          </w:tcPr>
          <w:p w14:paraId="01169A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3C338D3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32304C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8</w:t>
            </w:r>
          </w:p>
        </w:tc>
        <w:tc>
          <w:tcPr>
            <w:tcW w:w="459" w:type="pct"/>
            <w:vAlign w:val="center"/>
          </w:tcPr>
          <w:p w14:paraId="01E499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普庆村</w:t>
            </w:r>
          </w:p>
        </w:tc>
        <w:tc>
          <w:tcPr>
            <w:tcW w:w="541" w:type="pct"/>
            <w:vAlign w:val="center"/>
          </w:tcPr>
          <w:p w14:paraId="39E0A5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113°16′50.337″</w:t>
            </w:r>
          </w:p>
        </w:tc>
        <w:tc>
          <w:tcPr>
            <w:tcW w:w="517" w:type="pct"/>
            <w:vAlign w:val="center"/>
          </w:tcPr>
          <w:p w14:paraId="7A476F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28°47′48.153″</w:t>
            </w:r>
          </w:p>
        </w:tc>
        <w:tc>
          <w:tcPr>
            <w:tcW w:w="735" w:type="pct"/>
            <w:vAlign w:val="center"/>
          </w:tcPr>
          <w:p w14:paraId="5F6CDC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735" w:type="pct"/>
            <w:vAlign w:val="center"/>
          </w:tcPr>
          <w:p w14:paraId="6E49DA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1200~2000</w:t>
            </w:r>
          </w:p>
        </w:tc>
        <w:tc>
          <w:tcPr>
            <w:tcW w:w="853" w:type="pct"/>
            <w:vAlign w:val="center"/>
          </w:tcPr>
          <w:p w14:paraId="3582E5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892" w:type="pct"/>
            <w:vMerge w:val="continue"/>
            <w:vAlign w:val="center"/>
          </w:tcPr>
          <w:p w14:paraId="79A4A3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6069521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20BCE6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w:t>
            </w:r>
          </w:p>
        </w:tc>
        <w:tc>
          <w:tcPr>
            <w:tcW w:w="459" w:type="pct"/>
            <w:vAlign w:val="center"/>
          </w:tcPr>
          <w:p w14:paraId="09E651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新屋里</w:t>
            </w:r>
          </w:p>
        </w:tc>
        <w:tc>
          <w:tcPr>
            <w:tcW w:w="541" w:type="pct"/>
            <w:vAlign w:val="center"/>
          </w:tcPr>
          <w:p w14:paraId="63CB82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113°15′20.252″</w:t>
            </w:r>
          </w:p>
        </w:tc>
        <w:tc>
          <w:tcPr>
            <w:tcW w:w="517" w:type="pct"/>
            <w:vAlign w:val="center"/>
          </w:tcPr>
          <w:p w14:paraId="1165A0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28°47′19.861″</w:t>
            </w:r>
          </w:p>
        </w:tc>
        <w:tc>
          <w:tcPr>
            <w:tcW w:w="735" w:type="pct"/>
            <w:vAlign w:val="center"/>
          </w:tcPr>
          <w:p w14:paraId="442431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w:t>
            </w:r>
          </w:p>
        </w:tc>
        <w:tc>
          <w:tcPr>
            <w:tcW w:w="735" w:type="pct"/>
            <w:vAlign w:val="center"/>
          </w:tcPr>
          <w:p w14:paraId="3B94DE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1200~2200</w:t>
            </w:r>
          </w:p>
        </w:tc>
        <w:tc>
          <w:tcPr>
            <w:tcW w:w="853" w:type="pct"/>
            <w:vAlign w:val="center"/>
          </w:tcPr>
          <w:p w14:paraId="0A07DD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居民约60人</w:t>
            </w:r>
          </w:p>
        </w:tc>
        <w:tc>
          <w:tcPr>
            <w:tcW w:w="892" w:type="pct"/>
            <w:vMerge w:val="continue"/>
            <w:vAlign w:val="center"/>
          </w:tcPr>
          <w:p w14:paraId="6AC9F282">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6D2D310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437F60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459" w:type="pct"/>
            <w:vAlign w:val="center"/>
          </w:tcPr>
          <w:p w14:paraId="08958E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洞子塝</w:t>
            </w:r>
          </w:p>
        </w:tc>
        <w:tc>
          <w:tcPr>
            <w:tcW w:w="541" w:type="pct"/>
            <w:vAlign w:val="center"/>
          </w:tcPr>
          <w:p w14:paraId="6C81BC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113°16′20.737″</w:t>
            </w:r>
          </w:p>
        </w:tc>
        <w:tc>
          <w:tcPr>
            <w:tcW w:w="517" w:type="pct"/>
            <w:vAlign w:val="center"/>
          </w:tcPr>
          <w:p w14:paraId="4822A2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28°46′24.861″</w:t>
            </w:r>
          </w:p>
        </w:tc>
        <w:tc>
          <w:tcPr>
            <w:tcW w:w="735" w:type="pct"/>
            <w:vAlign w:val="center"/>
          </w:tcPr>
          <w:p w14:paraId="4FB7BF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w:t>
            </w:r>
          </w:p>
        </w:tc>
        <w:tc>
          <w:tcPr>
            <w:tcW w:w="735" w:type="pct"/>
            <w:vAlign w:val="center"/>
          </w:tcPr>
          <w:p w14:paraId="5734D3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1300~1600</w:t>
            </w:r>
          </w:p>
        </w:tc>
        <w:tc>
          <w:tcPr>
            <w:tcW w:w="853" w:type="pct"/>
            <w:vAlign w:val="center"/>
          </w:tcPr>
          <w:p w14:paraId="07F68E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居民约30人</w:t>
            </w:r>
          </w:p>
        </w:tc>
        <w:tc>
          <w:tcPr>
            <w:tcW w:w="892" w:type="pct"/>
            <w:vMerge w:val="continue"/>
            <w:vAlign w:val="center"/>
          </w:tcPr>
          <w:p w14:paraId="18B4DA73">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720BF82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79C010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w:t>
            </w:r>
          </w:p>
        </w:tc>
        <w:tc>
          <w:tcPr>
            <w:tcW w:w="459" w:type="pct"/>
            <w:vAlign w:val="center"/>
          </w:tcPr>
          <w:p w14:paraId="5858EC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茅岭</w:t>
            </w:r>
          </w:p>
        </w:tc>
        <w:tc>
          <w:tcPr>
            <w:tcW w:w="541" w:type="pct"/>
            <w:vAlign w:val="center"/>
          </w:tcPr>
          <w:p w14:paraId="6685A4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113°16′47.619″</w:t>
            </w:r>
          </w:p>
        </w:tc>
        <w:tc>
          <w:tcPr>
            <w:tcW w:w="517" w:type="pct"/>
            <w:vAlign w:val="center"/>
          </w:tcPr>
          <w:p w14:paraId="300868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28°46′28.260″</w:t>
            </w:r>
          </w:p>
        </w:tc>
        <w:tc>
          <w:tcPr>
            <w:tcW w:w="735" w:type="pct"/>
            <w:vAlign w:val="center"/>
          </w:tcPr>
          <w:p w14:paraId="725997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735" w:type="pct"/>
            <w:vAlign w:val="center"/>
          </w:tcPr>
          <w:p w14:paraId="7220F0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1400~1600</w:t>
            </w:r>
          </w:p>
        </w:tc>
        <w:tc>
          <w:tcPr>
            <w:tcW w:w="853" w:type="pct"/>
            <w:vAlign w:val="center"/>
          </w:tcPr>
          <w:p w14:paraId="630D90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居民约20人</w:t>
            </w:r>
          </w:p>
        </w:tc>
        <w:tc>
          <w:tcPr>
            <w:tcW w:w="892" w:type="pct"/>
            <w:vMerge w:val="continue"/>
            <w:vAlign w:val="center"/>
          </w:tcPr>
          <w:p w14:paraId="1A70BCE9">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B2611D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503B00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w:t>
            </w:r>
          </w:p>
        </w:tc>
        <w:tc>
          <w:tcPr>
            <w:tcW w:w="459" w:type="pct"/>
            <w:vAlign w:val="center"/>
          </w:tcPr>
          <w:p w14:paraId="02989B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安洞里</w:t>
            </w:r>
          </w:p>
        </w:tc>
        <w:tc>
          <w:tcPr>
            <w:tcW w:w="541" w:type="pct"/>
            <w:vAlign w:val="center"/>
          </w:tcPr>
          <w:p w14:paraId="339F7B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113°15′36.011″</w:t>
            </w:r>
          </w:p>
        </w:tc>
        <w:tc>
          <w:tcPr>
            <w:tcW w:w="517" w:type="pct"/>
            <w:vAlign w:val="center"/>
          </w:tcPr>
          <w:p w14:paraId="0864A6E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28°46′47.108″</w:t>
            </w:r>
          </w:p>
        </w:tc>
        <w:tc>
          <w:tcPr>
            <w:tcW w:w="735" w:type="pct"/>
            <w:vAlign w:val="center"/>
          </w:tcPr>
          <w:p w14:paraId="43F482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WS</w:t>
            </w:r>
          </w:p>
        </w:tc>
        <w:tc>
          <w:tcPr>
            <w:tcW w:w="735" w:type="pct"/>
            <w:vAlign w:val="center"/>
          </w:tcPr>
          <w:p w14:paraId="164EF4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1400~2000</w:t>
            </w:r>
          </w:p>
        </w:tc>
        <w:tc>
          <w:tcPr>
            <w:tcW w:w="853" w:type="pct"/>
            <w:vAlign w:val="center"/>
          </w:tcPr>
          <w:p w14:paraId="2BAAE4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居民约100人</w:t>
            </w:r>
          </w:p>
        </w:tc>
        <w:tc>
          <w:tcPr>
            <w:tcW w:w="892" w:type="pct"/>
            <w:vMerge w:val="continue"/>
            <w:vAlign w:val="center"/>
          </w:tcPr>
          <w:p w14:paraId="5617690E">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783811B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3A0A4D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13</w:t>
            </w:r>
          </w:p>
        </w:tc>
        <w:tc>
          <w:tcPr>
            <w:tcW w:w="459" w:type="pct"/>
            <w:vAlign w:val="center"/>
          </w:tcPr>
          <w:p w14:paraId="31F3BF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同康医院</w:t>
            </w:r>
          </w:p>
        </w:tc>
        <w:tc>
          <w:tcPr>
            <w:tcW w:w="541" w:type="pct"/>
            <w:vAlign w:val="center"/>
          </w:tcPr>
          <w:p w14:paraId="5E84D9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113°17′07.583″</w:t>
            </w:r>
          </w:p>
        </w:tc>
        <w:tc>
          <w:tcPr>
            <w:tcW w:w="517" w:type="pct"/>
            <w:vAlign w:val="center"/>
          </w:tcPr>
          <w:p w14:paraId="418816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28°47′44.909″</w:t>
            </w:r>
          </w:p>
        </w:tc>
        <w:tc>
          <w:tcPr>
            <w:tcW w:w="735" w:type="pct"/>
            <w:vAlign w:val="center"/>
          </w:tcPr>
          <w:p w14:paraId="7D02A9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735" w:type="pct"/>
            <w:vAlign w:val="center"/>
          </w:tcPr>
          <w:p w14:paraId="09A842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1500~1600</w:t>
            </w:r>
          </w:p>
        </w:tc>
        <w:tc>
          <w:tcPr>
            <w:tcW w:w="853" w:type="pct"/>
            <w:vAlign w:val="center"/>
          </w:tcPr>
          <w:p w14:paraId="22B624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医院约100人</w:t>
            </w:r>
          </w:p>
        </w:tc>
        <w:tc>
          <w:tcPr>
            <w:tcW w:w="892" w:type="pct"/>
            <w:vMerge w:val="continue"/>
            <w:vAlign w:val="center"/>
          </w:tcPr>
          <w:p w14:paraId="2C9C45D0">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A2EB81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36DDE9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14</w:t>
            </w:r>
          </w:p>
        </w:tc>
        <w:tc>
          <w:tcPr>
            <w:tcW w:w="459" w:type="pct"/>
            <w:vAlign w:val="center"/>
          </w:tcPr>
          <w:p w14:paraId="3B66B2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秀水村</w:t>
            </w:r>
          </w:p>
        </w:tc>
        <w:tc>
          <w:tcPr>
            <w:tcW w:w="541" w:type="pct"/>
            <w:vAlign w:val="center"/>
          </w:tcPr>
          <w:p w14:paraId="425E75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113°17′15.559″</w:t>
            </w:r>
          </w:p>
        </w:tc>
        <w:tc>
          <w:tcPr>
            <w:tcW w:w="517" w:type="pct"/>
            <w:vAlign w:val="center"/>
          </w:tcPr>
          <w:p w14:paraId="0D0A67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28°47′39.038″</w:t>
            </w:r>
          </w:p>
        </w:tc>
        <w:tc>
          <w:tcPr>
            <w:tcW w:w="735" w:type="pct"/>
            <w:vAlign w:val="center"/>
          </w:tcPr>
          <w:p w14:paraId="7829D6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735" w:type="pct"/>
            <w:vAlign w:val="center"/>
          </w:tcPr>
          <w:p w14:paraId="422E57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1500~2800</w:t>
            </w:r>
          </w:p>
        </w:tc>
        <w:tc>
          <w:tcPr>
            <w:tcW w:w="853" w:type="pct"/>
            <w:vAlign w:val="center"/>
          </w:tcPr>
          <w:p w14:paraId="05879C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892" w:type="pct"/>
            <w:vMerge w:val="continue"/>
            <w:vAlign w:val="center"/>
          </w:tcPr>
          <w:p w14:paraId="2CB43DD7">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737AB0B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4C968E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15</w:t>
            </w:r>
          </w:p>
        </w:tc>
        <w:tc>
          <w:tcPr>
            <w:tcW w:w="459" w:type="pct"/>
            <w:vAlign w:val="center"/>
          </w:tcPr>
          <w:p w14:paraId="1FD9CC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普庆小学</w:t>
            </w:r>
          </w:p>
        </w:tc>
        <w:tc>
          <w:tcPr>
            <w:tcW w:w="541" w:type="pct"/>
            <w:vAlign w:val="center"/>
          </w:tcPr>
          <w:p w14:paraId="09E2A0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113°16′57.927″</w:t>
            </w:r>
          </w:p>
        </w:tc>
        <w:tc>
          <w:tcPr>
            <w:tcW w:w="517" w:type="pct"/>
            <w:vAlign w:val="center"/>
          </w:tcPr>
          <w:p w14:paraId="3ECF36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28°47′56.651″</w:t>
            </w:r>
          </w:p>
        </w:tc>
        <w:tc>
          <w:tcPr>
            <w:tcW w:w="735" w:type="pct"/>
            <w:vAlign w:val="center"/>
          </w:tcPr>
          <w:p w14:paraId="1F38F1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735" w:type="pct"/>
            <w:vAlign w:val="center"/>
          </w:tcPr>
          <w:p w14:paraId="6EE4A6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1600~1700</w:t>
            </w:r>
          </w:p>
        </w:tc>
        <w:tc>
          <w:tcPr>
            <w:tcW w:w="853" w:type="pct"/>
            <w:vAlign w:val="center"/>
          </w:tcPr>
          <w:p w14:paraId="73AC31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师生约200人</w:t>
            </w:r>
          </w:p>
        </w:tc>
        <w:tc>
          <w:tcPr>
            <w:tcW w:w="892" w:type="pct"/>
            <w:vMerge w:val="continue"/>
            <w:vAlign w:val="center"/>
          </w:tcPr>
          <w:p w14:paraId="0D361FE1">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9823D8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4AD68C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w:t>
            </w:r>
          </w:p>
        </w:tc>
        <w:tc>
          <w:tcPr>
            <w:tcW w:w="459" w:type="pct"/>
            <w:vAlign w:val="center"/>
          </w:tcPr>
          <w:p w14:paraId="6BD676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垄墈上</w:t>
            </w:r>
          </w:p>
        </w:tc>
        <w:tc>
          <w:tcPr>
            <w:tcW w:w="541" w:type="pct"/>
            <w:vAlign w:val="center"/>
          </w:tcPr>
          <w:p w14:paraId="1263D1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113°16′50.685″</w:t>
            </w:r>
          </w:p>
        </w:tc>
        <w:tc>
          <w:tcPr>
            <w:tcW w:w="517" w:type="pct"/>
            <w:vAlign w:val="center"/>
          </w:tcPr>
          <w:p w14:paraId="4172F9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28°48′06.693″</w:t>
            </w:r>
          </w:p>
        </w:tc>
        <w:tc>
          <w:tcPr>
            <w:tcW w:w="735" w:type="pct"/>
            <w:vAlign w:val="center"/>
          </w:tcPr>
          <w:p w14:paraId="6D1306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w:t>
            </w:r>
          </w:p>
        </w:tc>
        <w:tc>
          <w:tcPr>
            <w:tcW w:w="735" w:type="pct"/>
            <w:vAlign w:val="center"/>
          </w:tcPr>
          <w:p w14:paraId="186B63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1600~2000</w:t>
            </w:r>
          </w:p>
        </w:tc>
        <w:tc>
          <w:tcPr>
            <w:tcW w:w="853" w:type="pct"/>
            <w:vAlign w:val="center"/>
          </w:tcPr>
          <w:p w14:paraId="0D030B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居民约50人</w:t>
            </w:r>
          </w:p>
        </w:tc>
        <w:tc>
          <w:tcPr>
            <w:tcW w:w="892" w:type="pct"/>
            <w:vMerge w:val="continue"/>
            <w:vAlign w:val="center"/>
          </w:tcPr>
          <w:p w14:paraId="022A86AE">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8ED6DD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72C4B6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17</w:t>
            </w:r>
          </w:p>
        </w:tc>
        <w:tc>
          <w:tcPr>
            <w:tcW w:w="459" w:type="pct"/>
            <w:vAlign w:val="center"/>
          </w:tcPr>
          <w:p w14:paraId="59421A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楠竹山</w:t>
            </w:r>
          </w:p>
        </w:tc>
        <w:tc>
          <w:tcPr>
            <w:tcW w:w="541" w:type="pct"/>
            <w:vAlign w:val="center"/>
          </w:tcPr>
          <w:p w14:paraId="378F52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113°17′28.054″</w:t>
            </w:r>
          </w:p>
        </w:tc>
        <w:tc>
          <w:tcPr>
            <w:tcW w:w="517" w:type="pct"/>
            <w:vAlign w:val="center"/>
          </w:tcPr>
          <w:p w14:paraId="7E30F0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28°47′25.365″</w:t>
            </w:r>
          </w:p>
        </w:tc>
        <w:tc>
          <w:tcPr>
            <w:tcW w:w="735" w:type="pct"/>
            <w:vAlign w:val="center"/>
          </w:tcPr>
          <w:p w14:paraId="3E20B7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w:t>
            </w:r>
          </w:p>
        </w:tc>
        <w:tc>
          <w:tcPr>
            <w:tcW w:w="735" w:type="pct"/>
            <w:vAlign w:val="center"/>
          </w:tcPr>
          <w:p w14:paraId="7EFF3A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1700~2000</w:t>
            </w:r>
          </w:p>
        </w:tc>
        <w:tc>
          <w:tcPr>
            <w:tcW w:w="853" w:type="pct"/>
            <w:vAlign w:val="center"/>
          </w:tcPr>
          <w:p w14:paraId="459804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居民约50人</w:t>
            </w:r>
          </w:p>
        </w:tc>
        <w:tc>
          <w:tcPr>
            <w:tcW w:w="892" w:type="pct"/>
            <w:vMerge w:val="continue"/>
            <w:vAlign w:val="center"/>
          </w:tcPr>
          <w:p w14:paraId="4D100824">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243DDE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21B419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18</w:t>
            </w:r>
          </w:p>
        </w:tc>
        <w:tc>
          <w:tcPr>
            <w:tcW w:w="459" w:type="pct"/>
            <w:vAlign w:val="center"/>
          </w:tcPr>
          <w:p w14:paraId="02E9DB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大旗村</w:t>
            </w:r>
          </w:p>
        </w:tc>
        <w:tc>
          <w:tcPr>
            <w:tcW w:w="541" w:type="pct"/>
            <w:vAlign w:val="center"/>
          </w:tcPr>
          <w:p w14:paraId="25B3ED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113°15′25.235″</w:t>
            </w:r>
          </w:p>
        </w:tc>
        <w:tc>
          <w:tcPr>
            <w:tcW w:w="517" w:type="pct"/>
            <w:vAlign w:val="center"/>
          </w:tcPr>
          <w:p w14:paraId="030C7E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28°47′41.877″</w:t>
            </w:r>
          </w:p>
        </w:tc>
        <w:tc>
          <w:tcPr>
            <w:tcW w:w="735" w:type="pct"/>
            <w:vAlign w:val="center"/>
          </w:tcPr>
          <w:p w14:paraId="465A16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WN</w:t>
            </w:r>
          </w:p>
        </w:tc>
        <w:tc>
          <w:tcPr>
            <w:tcW w:w="735" w:type="pct"/>
            <w:vAlign w:val="center"/>
          </w:tcPr>
          <w:p w14:paraId="4400EE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1700~2100</w:t>
            </w:r>
          </w:p>
        </w:tc>
        <w:tc>
          <w:tcPr>
            <w:tcW w:w="853" w:type="pct"/>
            <w:vAlign w:val="center"/>
          </w:tcPr>
          <w:p w14:paraId="443296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居民约200人</w:t>
            </w:r>
          </w:p>
        </w:tc>
        <w:tc>
          <w:tcPr>
            <w:tcW w:w="892" w:type="pct"/>
            <w:vMerge w:val="continue"/>
            <w:vAlign w:val="center"/>
          </w:tcPr>
          <w:p w14:paraId="6E8E0A3D">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1375B1A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3C4467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19</w:t>
            </w:r>
          </w:p>
        </w:tc>
        <w:tc>
          <w:tcPr>
            <w:tcW w:w="459" w:type="pct"/>
            <w:vAlign w:val="center"/>
          </w:tcPr>
          <w:p w14:paraId="370860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马头村</w:t>
            </w:r>
          </w:p>
        </w:tc>
        <w:tc>
          <w:tcPr>
            <w:tcW w:w="541" w:type="pct"/>
            <w:vAlign w:val="center"/>
          </w:tcPr>
          <w:p w14:paraId="749452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113°16′20.737″</w:t>
            </w:r>
          </w:p>
        </w:tc>
        <w:tc>
          <w:tcPr>
            <w:tcW w:w="517" w:type="pct"/>
            <w:vAlign w:val="center"/>
          </w:tcPr>
          <w:p w14:paraId="06BE55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28°45′54.271″</w:t>
            </w:r>
          </w:p>
        </w:tc>
        <w:tc>
          <w:tcPr>
            <w:tcW w:w="735" w:type="pct"/>
            <w:vAlign w:val="center"/>
          </w:tcPr>
          <w:p w14:paraId="412D84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w:t>
            </w:r>
          </w:p>
        </w:tc>
        <w:tc>
          <w:tcPr>
            <w:tcW w:w="735" w:type="pct"/>
            <w:vAlign w:val="center"/>
          </w:tcPr>
          <w:p w14:paraId="45C096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1900~2500</w:t>
            </w:r>
          </w:p>
        </w:tc>
        <w:tc>
          <w:tcPr>
            <w:tcW w:w="853" w:type="pct"/>
            <w:vAlign w:val="center"/>
          </w:tcPr>
          <w:p w14:paraId="48F5E2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居民约20人</w:t>
            </w:r>
          </w:p>
        </w:tc>
        <w:tc>
          <w:tcPr>
            <w:tcW w:w="892" w:type="pct"/>
            <w:vMerge w:val="continue"/>
            <w:vAlign w:val="center"/>
          </w:tcPr>
          <w:p w14:paraId="2BC81014">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22DAEC5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560B93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w:t>
            </w:r>
          </w:p>
        </w:tc>
        <w:tc>
          <w:tcPr>
            <w:tcW w:w="459" w:type="pct"/>
            <w:vAlign w:val="center"/>
          </w:tcPr>
          <w:p w14:paraId="52CA21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窑洞坡</w:t>
            </w:r>
          </w:p>
        </w:tc>
        <w:tc>
          <w:tcPr>
            <w:tcW w:w="541" w:type="pct"/>
            <w:vAlign w:val="center"/>
          </w:tcPr>
          <w:p w14:paraId="26052F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113°15′48.370″</w:t>
            </w:r>
          </w:p>
        </w:tc>
        <w:tc>
          <w:tcPr>
            <w:tcW w:w="517" w:type="pct"/>
            <w:vAlign w:val="center"/>
          </w:tcPr>
          <w:p w14:paraId="4AC1FA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28°48′07.446″</w:t>
            </w:r>
          </w:p>
        </w:tc>
        <w:tc>
          <w:tcPr>
            <w:tcW w:w="735" w:type="pct"/>
            <w:vAlign w:val="center"/>
          </w:tcPr>
          <w:p w14:paraId="59EDF1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WN</w:t>
            </w:r>
          </w:p>
        </w:tc>
        <w:tc>
          <w:tcPr>
            <w:tcW w:w="735" w:type="pct"/>
            <w:vAlign w:val="center"/>
          </w:tcPr>
          <w:p w14:paraId="7B240C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1900~2500</w:t>
            </w:r>
          </w:p>
        </w:tc>
        <w:tc>
          <w:tcPr>
            <w:tcW w:w="853" w:type="pct"/>
            <w:vAlign w:val="center"/>
          </w:tcPr>
          <w:p w14:paraId="78B754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居民约50人</w:t>
            </w:r>
          </w:p>
        </w:tc>
        <w:tc>
          <w:tcPr>
            <w:tcW w:w="892" w:type="pct"/>
            <w:vMerge w:val="continue"/>
            <w:vAlign w:val="center"/>
          </w:tcPr>
          <w:p w14:paraId="095F07D2">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3A0262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395AF2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21</w:t>
            </w:r>
          </w:p>
        </w:tc>
        <w:tc>
          <w:tcPr>
            <w:tcW w:w="459" w:type="pct"/>
            <w:vAlign w:val="center"/>
          </w:tcPr>
          <w:p w14:paraId="7D9CC4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何家源</w:t>
            </w:r>
          </w:p>
        </w:tc>
        <w:tc>
          <w:tcPr>
            <w:tcW w:w="541" w:type="pct"/>
            <w:vAlign w:val="center"/>
          </w:tcPr>
          <w:p w14:paraId="45FE93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113°16′53.143″</w:t>
            </w:r>
          </w:p>
        </w:tc>
        <w:tc>
          <w:tcPr>
            <w:tcW w:w="517" w:type="pct"/>
            <w:vAlign w:val="center"/>
          </w:tcPr>
          <w:p w14:paraId="7507E3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28°46′07.017″</w:t>
            </w:r>
          </w:p>
        </w:tc>
        <w:tc>
          <w:tcPr>
            <w:tcW w:w="735" w:type="pct"/>
            <w:vAlign w:val="center"/>
          </w:tcPr>
          <w:p w14:paraId="5BBC13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735" w:type="pct"/>
            <w:vAlign w:val="center"/>
          </w:tcPr>
          <w:p w14:paraId="09D0DC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2000~2100</w:t>
            </w:r>
          </w:p>
        </w:tc>
        <w:tc>
          <w:tcPr>
            <w:tcW w:w="853" w:type="pct"/>
            <w:vAlign w:val="center"/>
          </w:tcPr>
          <w:p w14:paraId="3F597D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居民约20人</w:t>
            </w:r>
          </w:p>
        </w:tc>
        <w:tc>
          <w:tcPr>
            <w:tcW w:w="892" w:type="pct"/>
            <w:vMerge w:val="continue"/>
            <w:vAlign w:val="center"/>
          </w:tcPr>
          <w:p w14:paraId="42DD996C">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18EC7F9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53C7CC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22</w:t>
            </w:r>
          </w:p>
        </w:tc>
        <w:tc>
          <w:tcPr>
            <w:tcW w:w="459" w:type="pct"/>
            <w:vAlign w:val="center"/>
          </w:tcPr>
          <w:p w14:paraId="7E6803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金坑垄</w:t>
            </w:r>
          </w:p>
        </w:tc>
        <w:tc>
          <w:tcPr>
            <w:tcW w:w="541" w:type="pct"/>
            <w:vAlign w:val="center"/>
          </w:tcPr>
          <w:p w14:paraId="68E640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113°14′58.623″</w:t>
            </w:r>
          </w:p>
        </w:tc>
        <w:tc>
          <w:tcPr>
            <w:tcW w:w="517" w:type="pct"/>
            <w:vAlign w:val="center"/>
          </w:tcPr>
          <w:p w14:paraId="02D64D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28°47′03.639″</w:t>
            </w:r>
          </w:p>
        </w:tc>
        <w:tc>
          <w:tcPr>
            <w:tcW w:w="735" w:type="pct"/>
            <w:vAlign w:val="center"/>
          </w:tcPr>
          <w:p w14:paraId="720AE8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w:t>
            </w:r>
          </w:p>
        </w:tc>
        <w:tc>
          <w:tcPr>
            <w:tcW w:w="735" w:type="pct"/>
            <w:vAlign w:val="center"/>
          </w:tcPr>
          <w:p w14:paraId="219051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2100~2500</w:t>
            </w:r>
          </w:p>
        </w:tc>
        <w:tc>
          <w:tcPr>
            <w:tcW w:w="853" w:type="pct"/>
            <w:vAlign w:val="center"/>
          </w:tcPr>
          <w:p w14:paraId="5959B7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居民约50人</w:t>
            </w:r>
          </w:p>
        </w:tc>
        <w:tc>
          <w:tcPr>
            <w:tcW w:w="892" w:type="pct"/>
            <w:vMerge w:val="continue"/>
            <w:vAlign w:val="center"/>
          </w:tcPr>
          <w:p w14:paraId="4376E2C0">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B01F23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37C1E8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23</w:t>
            </w:r>
          </w:p>
        </w:tc>
        <w:tc>
          <w:tcPr>
            <w:tcW w:w="459" w:type="pct"/>
            <w:vAlign w:val="center"/>
          </w:tcPr>
          <w:p w14:paraId="3CBB3D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张上湾</w:t>
            </w:r>
          </w:p>
        </w:tc>
        <w:tc>
          <w:tcPr>
            <w:tcW w:w="541" w:type="pct"/>
            <w:vAlign w:val="center"/>
          </w:tcPr>
          <w:p w14:paraId="29C754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113°17′49.108″</w:t>
            </w:r>
          </w:p>
        </w:tc>
        <w:tc>
          <w:tcPr>
            <w:tcW w:w="517" w:type="pct"/>
            <w:vAlign w:val="center"/>
          </w:tcPr>
          <w:p w14:paraId="28D9BF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28°46′44.946″</w:t>
            </w:r>
          </w:p>
        </w:tc>
        <w:tc>
          <w:tcPr>
            <w:tcW w:w="735" w:type="pct"/>
            <w:vAlign w:val="center"/>
          </w:tcPr>
          <w:p w14:paraId="5C3AF8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735" w:type="pct"/>
            <w:vAlign w:val="center"/>
          </w:tcPr>
          <w:p w14:paraId="551B7F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2300~2400</w:t>
            </w:r>
          </w:p>
        </w:tc>
        <w:tc>
          <w:tcPr>
            <w:tcW w:w="853" w:type="pct"/>
            <w:vAlign w:val="center"/>
          </w:tcPr>
          <w:p w14:paraId="750824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居民约10人</w:t>
            </w:r>
          </w:p>
        </w:tc>
        <w:tc>
          <w:tcPr>
            <w:tcW w:w="892" w:type="pct"/>
            <w:vMerge w:val="continue"/>
            <w:vAlign w:val="center"/>
          </w:tcPr>
          <w:p w14:paraId="0D7488A6">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40DC0B4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5A999C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24</w:t>
            </w:r>
          </w:p>
        </w:tc>
        <w:tc>
          <w:tcPr>
            <w:tcW w:w="459" w:type="pct"/>
            <w:vAlign w:val="center"/>
          </w:tcPr>
          <w:p w14:paraId="41D1B2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九斗塝</w:t>
            </w:r>
          </w:p>
        </w:tc>
        <w:tc>
          <w:tcPr>
            <w:tcW w:w="541" w:type="pct"/>
            <w:vAlign w:val="center"/>
          </w:tcPr>
          <w:p w14:paraId="454794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113°17′43.547″</w:t>
            </w:r>
          </w:p>
        </w:tc>
        <w:tc>
          <w:tcPr>
            <w:tcW w:w="517" w:type="pct"/>
            <w:vAlign w:val="center"/>
          </w:tcPr>
          <w:p w14:paraId="6C2594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28°46′23.934″</w:t>
            </w:r>
          </w:p>
        </w:tc>
        <w:tc>
          <w:tcPr>
            <w:tcW w:w="735" w:type="pct"/>
            <w:vAlign w:val="center"/>
          </w:tcPr>
          <w:p w14:paraId="2CF170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735" w:type="pct"/>
            <w:vAlign w:val="center"/>
          </w:tcPr>
          <w:p w14:paraId="3D1F5D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2400~2700</w:t>
            </w:r>
          </w:p>
        </w:tc>
        <w:tc>
          <w:tcPr>
            <w:tcW w:w="853" w:type="pct"/>
            <w:vAlign w:val="center"/>
          </w:tcPr>
          <w:p w14:paraId="2017E1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居民约30人</w:t>
            </w:r>
          </w:p>
        </w:tc>
        <w:tc>
          <w:tcPr>
            <w:tcW w:w="892" w:type="pct"/>
            <w:vMerge w:val="continue"/>
            <w:vAlign w:val="center"/>
          </w:tcPr>
          <w:p w14:paraId="161623EE">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31D7254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621D4E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w:t>
            </w:r>
          </w:p>
        </w:tc>
        <w:tc>
          <w:tcPr>
            <w:tcW w:w="459" w:type="pct"/>
            <w:vAlign w:val="center"/>
          </w:tcPr>
          <w:p w14:paraId="6C16E1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大旗小学</w:t>
            </w:r>
          </w:p>
        </w:tc>
        <w:tc>
          <w:tcPr>
            <w:tcW w:w="541" w:type="pct"/>
            <w:vAlign w:val="center"/>
          </w:tcPr>
          <w:p w14:paraId="2C571F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113°15′00.979″</w:t>
            </w:r>
          </w:p>
        </w:tc>
        <w:tc>
          <w:tcPr>
            <w:tcW w:w="517" w:type="pct"/>
            <w:vAlign w:val="center"/>
          </w:tcPr>
          <w:p w14:paraId="197FF6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28°47′52.151″</w:t>
            </w:r>
          </w:p>
        </w:tc>
        <w:tc>
          <w:tcPr>
            <w:tcW w:w="735" w:type="pct"/>
            <w:vAlign w:val="center"/>
          </w:tcPr>
          <w:p w14:paraId="0C4862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WN</w:t>
            </w:r>
          </w:p>
        </w:tc>
        <w:tc>
          <w:tcPr>
            <w:tcW w:w="735" w:type="pct"/>
            <w:vAlign w:val="center"/>
          </w:tcPr>
          <w:p w14:paraId="646562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2500~2600</w:t>
            </w:r>
          </w:p>
        </w:tc>
        <w:tc>
          <w:tcPr>
            <w:tcW w:w="853" w:type="pct"/>
            <w:vAlign w:val="center"/>
          </w:tcPr>
          <w:p w14:paraId="7319EF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师生约200人</w:t>
            </w:r>
          </w:p>
        </w:tc>
        <w:tc>
          <w:tcPr>
            <w:tcW w:w="892" w:type="pct"/>
            <w:vMerge w:val="continue"/>
            <w:vAlign w:val="center"/>
          </w:tcPr>
          <w:p w14:paraId="1D9BDFAE">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2E42D88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5" w:type="pct"/>
            <w:vAlign w:val="center"/>
          </w:tcPr>
          <w:p w14:paraId="2F66F4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26</w:t>
            </w:r>
          </w:p>
        </w:tc>
        <w:tc>
          <w:tcPr>
            <w:tcW w:w="459" w:type="pct"/>
            <w:vAlign w:val="center"/>
          </w:tcPr>
          <w:p w14:paraId="3E38AA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新屋塅</w:t>
            </w:r>
          </w:p>
        </w:tc>
        <w:tc>
          <w:tcPr>
            <w:tcW w:w="541" w:type="pct"/>
            <w:vAlign w:val="center"/>
          </w:tcPr>
          <w:p w14:paraId="420B32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113°17′18.185″</w:t>
            </w:r>
          </w:p>
        </w:tc>
        <w:tc>
          <w:tcPr>
            <w:tcW w:w="517" w:type="pct"/>
            <w:vAlign w:val="center"/>
          </w:tcPr>
          <w:p w14:paraId="5CF53F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28°48′17.855″</w:t>
            </w:r>
          </w:p>
        </w:tc>
        <w:tc>
          <w:tcPr>
            <w:tcW w:w="735" w:type="pct"/>
            <w:vAlign w:val="center"/>
          </w:tcPr>
          <w:p w14:paraId="199FD9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735" w:type="pct"/>
            <w:vAlign w:val="center"/>
          </w:tcPr>
          <w:p w14:paraId="0989C0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2500~3200</w:t>
            </w:r>
          </w:p>
        </w:tc>
        <w:tc>
          <w:tcPr>
            <w:tcW w:w="853" w:type="pct"/>
            <w:vAlign w:val="center"/>
          </w:tcPr>
          <w:p w14:paraId="286D06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892" w:type="pct"/>
            <w:vMerge w:val="continue"/>
            <w:vAlign w:val="center"/>
          </w:tcPr>
          <w:p w14:paraId="68BC07A0">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bl>
    <w:p w14:paraId="5E87DB3E">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表2.7-2  主要声环境保护目标</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1293"/>
        <w:gridCol w:w="1532"/>
        <w:gridCol w:w="1475"/>
        <w:gridCol w:w="2082"/>
        <w:gridCol w:w="2082"/>
        <w:gridCol w:w="2414"/>
        <w:gridCol w:w="2536"/>
      </w:tblGrid>
      <w:tr w14:paraId="369C59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blHeader/>
          <w:jc w:val="center"/>
        </w:trPr>
        <w:tc>
          <w:tcPr>
            <w:tcW w:w="268" w:type="pct"/>
            <w:vAlign w:val="center"/>
          </w:tcPr>
          <w:p w14:paraId="1CF2CD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456" w:type="pct"/>
            <w:vAlign w:val="center"/>
          </w:tcPr>
          <w:p w14:paraId="29CE7A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1060" w:type="pct"/>
            <w:gridSpan w:val="2"/>
            <w:vAlign w:val="center"/>
          </w:tcPr>
          <w:p w14:paraId="714A0D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位置坐标</w:t>
            </w:r>
          </w:p>
        </w:tc>
        <w:tc>
          <w:tcPr>
            <w:tcW w:w="734" w:type="pct"/>
            <w:vAlign w:val="center"/>
          </w:tcPr>
          <w:p w14:paraId="40ECFB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相对厂址方位</w:t>
            </w:r>
          </w:p>
        </w:tc>
        <w:tc>
          <w:tcPr>
            <w:tcW w:w="734" w:type="pct"/>
            <w:vAlign w:val="center"/>
          </w:tcPr>
          <w:p w14:paraId="5E8C21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相对厂址距离/m</w:t>
            </w:r>
          </w:p>
        </w:tc>
        <w:tc>
          <w:tcPr>
            <w:tcW w:w="851" w:type="pct"/>
            <w:vAlign w:val="center"/>
          </w:tcPr>
          <w:p w14:paraId="40FF6F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保护内容</w:t>
            </w:r>
          </w:p>
        </w:tc>
        <w:tc>
          <w:tcPr>
            <w:tcW w:w="894" w:type="pct"/>
            <w:vAlign w:val="center"/>
          </w:tcPr>
          <w:p w14:paraId="22767C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保护级别/要求</w:t>
            </w:r>
          </w:p>
        </w:tc>
      </w:tr>
      <w:tr w14:paraId="55F13D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vAlign w:val="center"/>
          </w:tcPr>
          <w:p w14:paraId="2712BF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456" w:type="pct"/>
            <w:vAlign w:val="center"/>
          </w:tcPr>
          <w:p w14:paraId="155957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公合村</w:t>
            </w:r>
          </w:p>
        </w:tc>
        <w:tc>
          <w:tcPr>
            <w:tcW w:w="540" w:type="pct"/>
            <w:vAlign w:val="center"/>
          </w:tcPr>
          <w:p w14:paraId="1F8A9E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113°16′20.274″</w:t>
            </w:r>
          </w:p>
        </w:tc>
        <w:tc>
          <w:tcPr>
            <w:tcW w:w="520" w:type="pct"/>
            <w:vAlign w:val="center"/>
          </w:tcPr>
          <w:p w14:paraId="23E7E4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28°47′13.513″</w:t>
            </w:r>
          </w:p>
        </w:tc>
        <w:tc>
          <w:tcPr>
            <w:tcW w:w="734" w:type="pct"/>
            <w:vAlign w:val="center"/>
          </w:tcPr>
          <w:p w14:paraId="123DF3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SW</w:t>
            </w:r>
          </w:p>
        </w:tc>
        <w:tc>
          <w:tcPr>
            <w:tcW w:w="734" w:type="pct"/>
            <w:vAlign w:val="center"/>
          </w:tcPr>
          <w:p w14:paraId="6DBF0F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u w:val="none" w:color="auto"/>
                <w14:textFill>
                  <w14:solidFill>
                    <w14:schemeClr w14:val="tx1"/>
                  </w14:solidFill>
                </w14:textFill>
              </w:rPr>
              <w:t>~200</w:t>
            </w:r>
          </w:p>
        </w:tc>
        <w:tc>
          <w:tcPr>
            <w:tcW w:w="851" w:type="pct"/>
            <w:vAlign w:val="center"/>
          </w:tcPr>
          <w:p w14:paraId="55D325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居民约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60</w:t>
            </w:r>
            <w:r>
              <w:rPr>
                <w:rFonts w:hint="default" w:ascii="Times New Roman" w:hAnsi="Times New Roman" w:eastAsia="宋体" w:cs="Times New Roman"/>
                <w:color w:val="000000" w:themeColor="text1"/>
                <w:u w:val="none" w:color="auto"/>
                <w14:textFill>
                  <w14:solidFill>
                    <w14:schemeClr w14:val="tx1"/>
                  </w14:solidFill>
                </w14:textFill>
              </w:rPr>
              <w:t>人</w:t>
            </w:r>
          </w:p>
        </w:tc>
        <w:tc>
          <w:tcPr>
            <w:tcW w:w="894" w:type="pct"/>
            <w:vAlign w:val="center"/>
          </w:tcPr>
          <w:p w14:paraId="2050C7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3096-2008中2类标准</w:t>
            </w:r>
          </w:p>
        </w:tc>
      </w:tr>
    </w:tbl>
    <w:p w14:paraId="22DE9EE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表2.7-3  主要水环境保护目标</w:t>
      </w:r>
    </w:p>
    <w:tbl>
      <w:tblPr>
        <w:tblStyle w:val="37"/>
        <w:tblW w:w="5000" w:type="pct"/>
        <w:jc w:val="right"/>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65"/>
        <w:gridCol w:w="2986"/>
        <w:gridCol w:w="4172"/>
        <w:gridCol w:w="2416"/>
        <w:gridCol w:w="2535"/>
      </w:tblGrid>
      <w:tr w14:paraId="7946B7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90" w:hRule="atLeast"/>
          <w:tblHeader/>
          <w:jc w:val="right"/>
        </w:trPr>
        <w:tc>
          <w:tcPr>
            <w:tcW w:w="728" w:type="pct"/>
            <w:vAlign w:val="center"/>
          </w:tcPr>
          <w:p w14:paraId="5182BB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要素</w:t>
            </w:r>
          </w:p>
        </w:tc>
        <w:tc>
          <w:tcPr>
            <w:tcW w:w="1053" w:type="pct"/>
            <w:vAlign w:val="center"/>
          </w:tcPr>
          <w:p w14:paraId="1F4F49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1471" w:type="pct"/>
            <w:vAlign w:val="center"/>
          </w:tcPr>
          <w:p w14:paraId="3FB160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相对位置及最近距离</w:t>
            </w:r>
          </w:p>
        </w:tc>
        <w:tc>
          <w:tcPr>
            <w:tcW w:w="852" w:type="pct"/>
            <w:vAlign w:val="center"/>
          </w:tcPr>
          <w:p w14:paraId="12DC12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功能及规模</w:t>
            </w:r>
          </w:p>
        </w:tc>
        <w:tc>
          <w:tcPr>
            <w:tcW w:w="894" w:type="pct"/>
            <w:vAlign w:val="center"/>
          </w:tcPr>
          <w:p w14:paraId="1FBEE4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保护级别/要求</w:t>
            </w:r>
          </w:p>
        </w:tc>
      </w:tr>
      <w:tr w14:paraId="656A03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right"/>
        </w:trPr>
        <w:tc>
          <w:tcPr>
            <w:tcW w:w="728" w:type="pct"/>
            <w:vMerge w:val="restart"/>
            <w:vAlign w:val="center"/>
          </w:tcPr>
          <w:p w14:paraId="290AC8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地表水环境</w:t>
            </w:r>
          </w:p>
        </w:tc>
        <w:tc>
          <w:tcPr>
            <w:tcW w:w="1053" w:type="pct"/>
            <w:vAlign w:val="center"/>
          </w:tcPr>
          <w:p w14:paraId="1DC17D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凌公桥河</w:t>
            </w:r>
          </w:p>
        </w:tc>
        <w:tc>
          <w:tcPr>
            <w:tcW w:w="1471" w:type="pct"/>
            <w:vAlign w:val="center"/>
          </w:tcPr>
          <w:p w14:paraId="22E80EC8">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位于项目西南侧约400 m</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852" w:type="pct"/>
            <w:vAlign w:val="center"/>
          </w:tcPr>
          <w:p w14:paraId="3B8BD012">
            <w:pPr>
              <w:pStyle w:val="92"/>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农灌用水</w:t>
            </w:r>
          </w:p>
        </w:tc>
        <w:tc>
          <w:tcPr>
            <w:tcW w:w="894" w:type="pct"/>
            <w:vMerge w:val="restart"/>
            <w:vAlign w:val="center"/>
          </w:tcPr>
          <w:p w14:paraId="7DBA0B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3838-2002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Ⅲ类</w:t>
            </w:r>
          </w:p>
        </w:tc>
      </w:tr>
      <w:tr w14:paraId="6473C5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right"/>
        </w:trPr>
        <w:tc>
          <w:tcPr>
            <w:tcW w:w="728" w:type="pct"/>
            <w:vMerge w:val="continue"/>
            <w:vAlign w:val="center"/>
          </w:tcPr>
          <w:p w14:paraId="2F0ADC0E">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c>
          <w:tcPr>
            <w:tcW w:w="1053" w:type="pct"/>
            <w:vAlign w:val="center"/>
          </w:tcPr>
          <w:p w14:paraId="4EA8D4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汨罗江</w:t>
            </w:r>
          </w:p>
        </w:tc>
        <w:tc>
          <w:tcPr>
            <w:tcW w:w="1471" w:type="pct"/>
            <w:vAlign w:val="center"/>
          </w:tcPr>
          <w:p w14:paraId="3DFEACF8">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位于项目西北侧约800 m</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852" w:type="pct"/>
            <w:vAlign w:val="center"/>
          </w:tcPr>
          <w:p w14:paraId="6E3E8A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渔业用水区</w:t>
            </w:r>
          </w:p>
        </w:tc>
        <w:tc>
          <w:tcPr>
            <w:tcW w:w="894" w:type="pct"/>
            <w:vMerge w:val="continue"/>
            <w:vAlign w:val="center"/>
          </w:tcPr>
          <w:p w14:paraId="70541342">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r>
      <w:tr w14:paraId="190776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right"/>
        </w:trPr>
        <w:tc>
          <w:tcPr>
            <w:tcW w:w="728" w:type="pct"/>
            <w:vMerge w:val="continue"/>
            <w:vAlign w:val="center"/>
          </w:tcPr>
          <w:p w14:paraId="48607FCE">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c>
          <w:tcPr>
            <w:tcW w:w="1053" w:type="pct"/>
            <w:vAlign w:val="center"/>
          </w:tcPr>
          <w:p w14:paraId="3913D2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岳阳市汨罗市新市自来水厂汨罗江饮用水水源保护区（应急备用水源）</w:t>
            </w:r>
          </w:p>
        </w:tc>
        <w:tc>
          <w:tcPr>
            <w:tcW w:w="1471" w:type="pct"/>
            <w:vAlign w:val="center"/>
          </w:tcPr>
          <w:p w14:paraId="48837D2B">
            <w:pPr>
              <w:pStyle w:val="92"/>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凌公桥河与汨罗江交汇口距离饮用水源二级保护区水域顶端距离6.53</w:t>
            </w:r>
            <w:r>
              <w:rPr>
                <w:rFonts w:hint="eastAsia"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km凌公桥河与汨罗江交汇口距离饮用水源一级保护区水域顶端距离8.53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km，距离取水口9.53km。</w:t>
            </w:r>
          </w:p>
        </w:tc>
        <w:tc>
          <w:tcPr>
            <w:tcW w:w="852" w:type="pct"/>
            <w:vAlign w:val="center"/>
          </w:tcPr>
          <w:p w14:paraId="7765B3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饮用水水源保护区</w:t>
            </w:r>
          </w:p>
        </w:tc>
        <w:tc>
          <w:tcPr>
            <w:tcW w:w="894" w:type="pct"/>
            <w:vMerge w:val="continue"/>
            <w:vAlign w:val="center"/>
          </w:tcPr>
          <w:p w14:paraId="13B4C573">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r>
      <w:tr w14:paraId="2CD54A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right"/>
        </w:trPr>
        <w:tc>
          <w:tcPr>
            <w:tcW w:w="728" w:type="pct"/>
            <w:vMerge w:val="continue"/>
            <w:vAlign w:val="center"/>
          </w:tcPr>
          <w:p w14:paraId="4E54A05B">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c>
          <w:tcPr>
            <w:tcW w:w="1053" w:type="pct"/>
            <w:vAlign w:val="center"/>
          </w:tcPr>
          <w:p w14:paraId="1F98A3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汩罗江平江段斑鳜黄颡鱼国家级水产种质资源保护区</w:t>
            </w:r>
          </w:p>
        </w:tc>
        <w:tc>
          <w:tcPr>
            <w:tcW w:w="1471" w:type="pct"/>
            <w:vAlign w:val="center"/>
          </w:tcPr>
          <w:p w14:paraId="3DBF2A1B">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浯口大桥（113°21′08″E，28°46′23″N）至伍市镇（113°14′18″E，28°47′08″N）江段，长30公里，面积为500公顷。</w:t>
            </w:r>
          </w:p>
        </w:tc>
        <w:tc>
          <w:tcPr>
            <w:tcW w:w="852" w:type="pct"/>
            <w:vAlign w:val="center"/>
          </w:tcPr>
          <w:p w14:paraId="69BF1E0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渔业用水区</w:t>
            </w:r>
          </w:p>
        </w:tc>
        <w:tc>
          <w:tcPr>
            <w:tcW w:w="894" w:type="pct"/>
            <w:vMerge w:val="continue"/>
            <w:vAlign w:val="center"/>
          </w:tcPr>
          <w:p w14:paraId="63F0ED87">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r>
      <w:tr w14:paraId="48BB0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8" w:hRule="atLeast"/>
          <w:jc w:val="right"/>
        </w:trPr>
        <w:tc>
          <w:tcPr>
            <w:tcW w:w="728" w:type="pct"/>
            <w:vAlign w:val="center"/>
          </w:tcPr>
          <w:p w14:paraId="0D8C97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w:t>
            </w:r>
            <w:r>
              <w:rPr>
                <w:rFonts w:hint="eastAsia" w:eastAsia="宋体" w:cs="Times New Roman"/>
                <w:color w:val="000000" w:themeColor="text1"/>
                <w:u w:val="none" w:color="auto"/>
                <w:lang w:val="en-US" w:eastAsia="zh-CN"/>
                <w14:textFill>
                  <w14:solidFill>
                    <w14:schemeClr w14:val="tx1"/>
                  </w14:solidFill>
                </w14:textFill>
              </w:rPr>
              <w:t>下水</w:t>
            </w:r>
            <w:r>
              <w:rPr>
                <w:rFonts w:hint="default" w:ascii="Times New Roman" w:hAnsi="Times New Roman" w:eastAsia="宋体" w:cs="Times New Roman"/>
                <w:color w:val="000000" w:themeColor="text1"/>
                <w:u w:val="none" w:color="auto"/>
                <w14:textFill>
                  <w14:solidFill>
                    <w14:schemeClr w14:val="tx1"/>
                  </w14:solidFill>
                </w14:textFill>
              </w:rPr>
              <w:t>环境</w:t>
            </w:r>
          </w:p>
        </w:tc>
        <w:tc>
          <w:tcPr>
            <w:tcW w:w="1053" w:type="pct"/>
            <w:vAlign w:val="center"/>
          </w:tcPr>
          <w:p w14:paraId="65ABC7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潜水含水层</w:t>
            </w:r>
          </w:p>
        </w:tc>
        <w:tc>
          <w:tcPr>
            <w:tcW w:w="1471" w:type="pct"/>
            <w:vAlign w:val="center"/>
          </w:tcPr>
          <w:p w14:paraId="0A241DAA">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园区及周边已开发区域已使用自来水。</w:t>
            </w:r>
          </w:p>
        </w:tc>
        <w:tc>
          <w:tcPr>
            <w:tcW w:w="852" w:type="pct"/>
            <w:vAlign w:val="center"/>
          </w:tcPr>
          <w:p w14:paraId="2692B3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894" w:type="pct"/>
            <w:vAlign w:val="center"/>
          </w:tcPr>
          <w:p w14:paraId="6CF9DD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14848-2017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Ⅲ类</w:t>
            </w:r>
          </w:p>
        </w:tc>
      </w:tr>
    </w:tbl>
    <w:p w14:paraId="49909F4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表2.7-4  主要土壤环境保护目标</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67"/>
        <w:gridCol w:w="9572"/>
        <w:gridCol w:w="2535"/>
      </w:tblGrid>
      <w:tr w14:paraId="69D929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729" w:type="pct"/>
            <w:tcBorders>
              <w:top w:val="single" w:color="auto" w:sz="12" w:space="0"/>
              <w:left w:val="single" w:color="auto" w:sz="12" w:space="0"/>
              <w:bottom w:val="single" w:color="auto" w:sz="4" w:space="0"/>
              <w:right w:val="single" w:color="auto" w:sz="4" w:space="0"/>
            </w:tcBorders>
            <w:vAlign w:val="center"/>
          </w:tcPr>
          <w:p w14:paraId="4C3B97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类别</w:t>
            </w:r>
          </w:p>
        </w:tc>
        <w:tc>
          <w:tcPr>
            <w:tcW w:w="3375" w:type="pct"/>
            <w:tcBorders>
              <w:top w:val="single" w:color="auto" w:sz="12" w:space="0"/>
              <w:left w:val="single" w:color="auto" w:sz="4" w:space="0"/>
              <w:bottom w:val="single" w:color="auto" w:sz="4" w:space="0"/>
              <w:right w:val="single" w:color="auto" w:sz="4" w:space="0"/>
            </w:tcBorders>
            <w:vAlign w:val="center"/>
          </w:tcPr>
          <w:p w14:paraId="252EE2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保护目标</w:t>
            </w:r>
          </w:p>
        </w:tc>
        <w:tc>
          <w:tcPr>
            <w:tcW w:w="894" w:type="pct"/>
            <w:tcBorders>
              <w:top w:val="single" w:color="auto" w:sz="12" w:space="0"/>
              <w:left w:val="single" w:color="auto" w:sz="4" w:space="0"/>
              <w:bottom w:val="single" w:color="auto" w:sz="4" w:space="0"/>
              <w:right w:val="single" w:color="auto" w:sz="12" w:space="0"/>
            </w:tcBorders>
            <w:vAlign w:val="center"/>
          </w:tcPr>
          <w:p w14:paraId="12B94D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执行标准</w:t>
            </w:r>
          </w:p>
        </w:tc>
      </w:tr>
      <w:tr w14:paraId="40BD79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29" w:type="pct"/>
            <w:tcBorders>
              <w:top w:val="single" w:color="auto" w:sz="4" w:space="0"/>
              <w:left w:val="single" w:color="auto" w:sz="12" w:space="0"/>
              <w:bottom w:val="single" w:color="auto" w:sz="12" w:space="0"/>
              <w:right w:val="single" w:color="auto" w:sz="4" w:space="0"/>
            </w:tcBorders>
            <w:vAlign w:val="center"/>
          </w:tcPr>
          <w:p w14:paraId="4B244D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土壤环境</w:t>
            </w:r>
          </w:p>
        </w:tc>
        <w:tc>
          <w:tcPr>
            <w:tcW w:w="3375" w:type="pct"/>
            <w:tcBorders>
              <w:top w:val="single" w:color="auto" w:sz="4" w:space="0"/>
              <w:left w:val="single" w:color="auto" w:sz="4" w:space="0"/>
              <w:bottom w:val="single" w:color="auto" w:sz="12" w:space="0"/>
              <w:right w:val="single" w:color="auto" w:sz="4" w:space="0"/>
            </w:tcBorders>
            <w:vAlign w:val="center"/>
          </w:tcPr>
          <w:p w14:paraId="293BEB15">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西侧、西</w:t>
            </w:r>
            <w:r>
              <w:rPr>
                <w:rFonts w:hint="default" w:ascii="Times New Roman" w:hAnsi="Times New Roman" w:eastAsia="宋体" w:cs="Times New Roman"/>
                <w:color w:val="000000" w:themeColor="text1"/>
                <w:u w:val="none" w:color="auto"/>
                <w14:textFill>
                  <w14:solidFill>
                    <w14:schemeClr w14:val="tx1"/>
                  </w14:solidFill>
                </w14:textFill>
              </w:rPr>
              <w:t>北侧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m处，存在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公合村</w:t>
            </w:r>
            <w:r>
              <w:rPr>
                <w:rFonts w:hint="default" w:ascii="Times New Roman" w:hAnsi="Times New Roman" w:eastAsia="宋体" w:cs="Times New Roman"/>
                <w:color w:val="000000" w:themeColor="text1"/>
                <w:u w:val="none" w:color="auto"/>
                <w14:textFill>
                  <w14:solidFill>
                    <w14:schemeClr w14:val="tx1"/>
                  </w14:solidFill>
                </w14:textFill>
              </w:rPr>
              <w:t>居民居住用地、耕地；项目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北</w:t>
            </w:r>
            <w:r>
              <w:rPr>
                <w:rFonts w:hint="default" w:ascii="Times New Roman" w:hAnsi="Times New Roman" w:eastAsia="宋体" w:cs="Times New Roman"/>
                <w:color w:val="000000" w:themeColor="text1"/>
                <w:u w:val="none" w:color="auto"/>
                <w14:textFill>
                  <w14:solidFill>
                    <w14:schemeClr w14:val="tx1"/>
                  </w14:solidFill>
                </w14:textFill>
              </w:rPr>
              <w:t>侧3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0~500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m处，存在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颜家村</w:t>
            </w:r>
            <w:r>
              <w:rPr>
                <w:rFonts w:hint="default" w:ascii="Times New Roman" w:hAnsi="Times New Roman" w:eastAsia="宋体" w:cs="Times New Roman"/>
                <w:color w:val="000000" w:themeColor="text1"/>
                <w:u w:val="none" w:color="auto"/>
                <w14:textFill>
                  <w14:solidFill>
                    <w14:schemeClr w14:val="tx1"/>
                  </w14:solidFill>
                </w14:textFill>
              </w:rPr>
              <w:t>居民居住用地</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耕地。</w:t>
            </w:r>
          </w:p>
        </w:tc>
        <w:tc>
          <w:tcPr>
            <w:tcW w:w="894" w:type="pct"/>
            <w:tcBorders>
              <w:top w:val="single" w:color="auto" w:sz="4" w:space="0"/>
              <w:left w:val="single" w:color="auto" w:sz="4" w:space="0"/>
              <w:bottom w:val="single" w:color="auto" w:sz="12" w:space="0"/>
              <w:right w:val="single" w:color="auto" w:sz="12" w:space="0"/>
            </w:tcBorders>
            <w:vAlign w:val="center"/>
          </w:tcPr>
          <w:p w14:paraId="7AB65A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15618-2018</w:t>
            </w:r>
          </w:p>
        </w:tc>
      </w:tr>
    </w:tbl>
    <w:p w14:paraId="3FFDCEEE">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表2.7-5  主要生态环境保护目标</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65"/>
        <w:gridCol w:w="9574"/>
        <w:gridCol w:w="2535"/>
      </w:tblGrid>
      <w:tr w14:paraId="15C668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pct"/>
            <w:tcBorders>
              <w:top w:val="single" w:color="auto" w:sz="12" w:space="0"/>
              <w:left w:val="single" w:color="auto" w:sz="12" w:space="0"/>
              <w:bottom w:val="single" w:color="auto" w:sz="4" w:space="0"/>
              <w:right w:val="single" w:color="auto" w:sz="4" w:space="0"/>
            </w:tcBorders>
            <w:vAlign w:val="center"/>
          </w:tcPr>
          <w:p w14:paraId="06F849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生态资源</w:t>
            </w:r>
          </w:p>
        </w:tc>
        <w:tc>
          <w:tcPr>
            <w:tcW w:w="3376" w:type="pct"/>
            <w:tcBorders>
              <w:top w:val="single" w:color="auto" w:sz="12" w:space="0"/>
              <w:left w:val="single" w:color="auto" w:sz="4" w:space="0"/>
              <w:bottom w:val="single" w:color="auto" w:sz="4" w:space="0"/>
              <w:right w:val="single" w:color="auto" w:sz="4" w:space="0"/>
            </w:tcBorders>
            <w:vAlign w:val="center"/>
          </w:tcPr>
          <w:p w14:paraId="7E1ACB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规划与环境特征</w:t>
            </w:r>
          </w:p>
        </w:tc>
        <w:tc>
          <w:tcPr>
            <w:tcW w:w="894" w:type="pct"/>
            <w:tcBorders>
              <w:top w:val="single" w:color="auto" w:sz="12" w:space="0"/>
              <w:left w:val="single" w:color="auto" w:sz="4" w:space="0"/>
              <w:bottom w:val="single" w:color="auto" w:sz="4" w:space="0"/>
              <w:right w:val="single" w:color="auto" w:sz="12" w:space="0"/>
            </w:tcBorders>
            <w:vAlign w:val="center"/>
          </w:tcPr>
          <w:p w14:paraId="64F493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环保目标</w:t>
            </w:r>
          </w:p>
        </w:tc>
      </w:tr>
      <w:tr w14:paraId="66AA89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pct"/>
            <w:tcBorders>
              <w:top w:val="single" w:color="auto" w:sz="4" w:space="0"/>
              <w:left w:val="single" w:color="auto" w:sz="12" w:space="0"/>
              <w:bottom w:val="single" w:color="auto" w:sz="4" w:space="0"/>
              <w:right w:val="single" w:color="auto" w:sz="4" w:space="0"/>
            </w:tcBorders>
            <w:vAlign w:val="center"/>
          </w:tcPr>
          <w:p w14:paraId="77AA5B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动植物资源</w:t>
            </w:r>
          </w:p>
        </w:tc>
        <w:tc>
          <w:tcPr>
            <w:tcW w:w="3376" w:type="pct"/>
            <w:tcBorders>
              <w:top w:val="single" w:color="auto" w:sz="4" w:space="0"/>
              <w:left w:val="single" w:color="auto" w:sz="4" w:space="0"/>
              <w:bottom w:val="single" w:color="auto" w:sz="4" w:space="0"/>
              <w:right w:val="single" w:color="auto" w:sz="4" w:space="0"/>
            </w:tcBorders>
            <w:vAlign w:val="center"/>
          </w:tcPr>
          <w:p w14:paraId="5D7440B7">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动物类型：野生动物较少，多为鸟类、蛇类、青蛙、鼠类等常见物种，无珍稀濒危物种</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894" w:type="pct"/>
            <w:tcBorders>
              <w:top w:val="single" w:color="auto" w:sz="4" w:space="0"/>
              <w:left w:val="single" w:color="auto" w:sz="4" w:space="0"/>
              <w:bottom w:val="single" w:color="auto" w:sz="4" w:space="0"/>
              <w:right w:val="single" w:color="auto" w:sz="12" w:space="0"/>
            </w:tcBorders>
            <w:vAlign w:val="center"/>
          </w:tcPr>
          <w:p w14:paraId="4FE386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182C0C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pct"/>
            <w:tcBorders>
              <w:top w:val="single" w:color="auto" w:sz="4" w:space="0"/>
              <w:left w:val="single" w:color="auto" w:sz="12" w:space="0"/>
              <w:bottom w:val="single" w:color="auto" w:sz="4" w:space="0"/>
              <w:right w:val="single" w:color="auto" w:sz="4" w:space="0"/>
            </w:tcBorders>
            <w:vAlign w:val="center"/>
          </w:tcPr>
          <w:p w14:paraId="375E61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林地</w:t>
            </w:r>
          </w:p>
        </w:tc>
        <w:tc>
          <w:tcPr>
            <w:tcW w:w="3376" w:type="pct"/>
            <w:tcBorders>
              <w:top w:val="single" w:color="auto" w:sz="4" w:space="0"/>
              <w:left w:val="single" w:color="auto" w:sz="4" w:space="0"/>
              <w:bottom w:val="single" w:color="auto" w:sz="4" w:space="0"/>
              <w:right w:val="single" w:color="auto" w:sz="4" w:space="0"/>
            </w:tcBorders>
            <w:vAlign w:val="center"/>
          </w:tcPr>
          <w:p w14:paraId="3ABD8B9C">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植被类型：植被类型单一，以人工植被为主，极小部分次生植被，多为灌木及低矮乔木，以落叶松为主，另外还有大量的灌草丛</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894" w:type="pct"/>
            <w:tcBorders>
              <w:top w:val="single" w:color="auto" w:sz="4" w:space="0"/>
              <w:left w:val="single" w:color="auto" w:sz="4" w:space="0"/>
              <w:bottom w:val="single" w:color="auto" w:sz="4" w:space="0"/>
              <w:right w:val="single" w:color="auto" w:sz="12" w:space="0"/>
            </w:tcBorders>
            <w:vAlign w:val="center"/>
          </w:tcPr>
          <w:p w14:paraId="14A1A4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231B9E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8" w:type="pct"/>
            <w:tcBorders>
              <w:top w:val="single" w:color="auto" w:sz="4" w:space="0"/>
              <w:left w:val="single" w:color="auto" w:sz="12" w:space="0"/>
              <w:bottom w:val="single" w:color="auto" w:sz="12" w:space="0"/>
              <w:right w:val="single" w:color="auto" w:sz="4" w:space="0"/>
            </w:tcBorders>
            <w:vAlign w:val="center"/>
          </w:tcPr>
          <w:p w14:paraId="6CF146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水生态保护目标</w:t>
            </w:r>
          </w:p>
        </w:tc>
        <w:tc>
          <w:tcPr>
            <w:tcW w:w="3376" w:type="pct"/>
            <w:tcBorders>
              <w:top w:val="single" w:color="auto" w:sz="4" w:space="0"/>
              <w:left w:val="single" w:color="auto" w:sz="4" w:space="0"/>
              <w:bottom w:val="single" w:color="auto" w:sz="12" w:space="0"/>
              <w:right w:val="single" w:color="auto" w:sz="4" w:space="0"/>
            </w:tcBorders>
            <w:vAlign w:val="center"/>
          </w:tcPr>
          <w:p w14:paraId="7F2CD9FA">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伍市片区废水经园</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处理后通过凌公桥河汇入汨罗江（水产种质资源保护区）实验区，此汨罗江河段不涉及鱼类三场分布。凌公桥河排污口距离汨罗江交汇口1100米。</w:t>
            </w:r>
          </w:p>
          <w:p w14:paraId="76B339BD">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实验区范围：浯口大桥（113°21′08″E，28°46′23″N）至伍市镇（113°14′18″E，28°47′08″N）江段，长30公里，面积为500公顷。</w:t>
            </w:r>
          </w:p>
        </w:tc>
        <w:tc>
          <w:tcPr>
            <w:tcW w:w="894" w:type="pct"/>
            <w:tcBorders>
              <w:top w:val="single" w:color="auto" w:sz="4" w:space="0"/>
              <w:left w:val="single" w:color="auto" w:sz="4" w:space="0"/>
              <w:bottom w:val="single" w:color="auto" w:sz="12" w:space="0"/>
              <w:right w:val="single" w:color="auto" w:sz="12" w:space="0"/>
            </w:tcBorders>
            <w:vAlign w:val="center"/>
          </w:tcPr>
          <w:p w14:paraId="54BAF3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汩罗江平江段斑鳜黄颡鱼国家级水产种质资源保护区</w:t>
            </w:r>
          </w:p>
        </w:tc>
      </w:tr>
    </w:tbl>
    <w:p w14:paraId="75914000">
      <w:pPr>
        <w:keepNext w:val="0"/>
        <w:keepLines w:val="0"/>
        <w:pageBreakBefore w:val="0"/>
        <w:widowControl w:val="0"/>
        <w:kinsoku/>
        <w:wordWrap/>
        <w:overflowPunct/>
        <w:topLinePunct w:val="0"/>
        <w:bidi w:val="0"/>
        <w:rPr>
          <w:rFonts w:hint="default" w:ascii="Times New Roman" w:hAnsi="Times New Roman" w:eastAsia="宋体" w:cs="Times New Roman"/>
          <w:color w:val="FF0000"/>
          <w:u w:val="none" w:color="auto"/>
        </w:rPr>
      </w:pPr>
    </w:p>
    <w:p w14:paraId="60513DA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11929879">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132" w:name="_Toc87901899"/>
      <w:bookmarkStart w:id="133" w:name="_Toc6198"/>
      <w:bookmarkStart w:id="134" w:name="_Toc132805796"/>
      <w:r>
        <w:rPr>
          <w:rFonts w:hint="default" w:ascii="Times New Roman" w:hAnsi="Times New Roman" w:eastAsia="宋体" w:cs="Times New Roman"/>
          <w:color w:val="000000" w:themeColor="text1"/>
          <w:u w:val="none" w:color="auto"/>
          <w14:textFill>
            <w14:solidFill>
              <w14:schemeClr w14:val="tx1"/>
            </w14:solidFill>
          </w14:textFill>
        </w:rPr>
        <w:t>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章 工程分析</w:t>
      </w:r>
      <w:bookmarkEnd w:id="132"/>
      <w:bookmarkEnd w:id="133"/>
      <w:bookmarkEnd w:id="134"/>
    </w:p>
    <w:p w14:paraId="3FF01513">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35" w:name="_Toc132805797"/>
      <w:bookmarkStart w:id="136" w:name="_Toc2125"/>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bookmarkEnd w:id="135"/>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拟建工程</w:t>
      </w:r>
      <w:r>
        <w:rPr>
          <w:rFonts w:hint="default" w:ascii="Times New Roman" w:hAnsi="Times New Roman" w:eastAsia="宋体" w:cs="Times New Roman"/>
          <w:color w:val="000000" w:themeColor="text1"/>
          <w:u w:val="none" w:color="auto"/>
          <w14:textFill>
            <w14:solidFill>
              <w14:schemeClr w14:val="tx1"/>
            </w14:solidFill>
          </w14:textFill>
        </w:rPr>
        <w:t>概况</w:t>
      </w:r>
      <w:bookmarkEnd w:id="136"/>
    </w:p>
    <w:p w14:paraId="78655FC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37" w:name="_Toc3143"/>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1.1 项目基本情况</w:t>
      </w:r>
      <w:bookmarkEnd w:id="137"/>
    </w:p>
    <w:p w14:paraId="64193CDF">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（1）项目名称：湖南信达生物能源有限公司年产10000吨工业级混合油（非食用动植物油脂）初加工、仓储及转运收集建设项目</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37412B8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（2）建设性质：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新建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p>
    <w:p w14:paraId="5A2F9ED3">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（3）建设单位：湖南信达生物能源有限公司</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6FECFB1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（4）建设地点：平江高新技术产业园区兴东路与兴旺路交叉</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口</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p>
    <w:p w14:paraId="716A680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（5）项目投资：项目总投资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000万元，环保投资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万元，占本项目总投资的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w:t>
      </w:r>
    </w:p>
    <w:p w14:paraId="1A26460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（6）工作制度及生产定员：</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本项目劳动定员</w:t>
      </w:r>
      <w:r>
        <w:rPr>
          <w:rFonts w:hint="default" w:ascii="Times New Roman" w:hAnsi="Times New Roman" w:eastAsia="宋体" w:cs="Times New Roman"/>
          <w:color w:val="000000" w:themeColor="text1"/>
          <w:szCs w:val="20"/>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Cs w:val="20"/>
          <w:u w:val="none" w:color="auto"/>
          <w14:textFill>
            <w14:solidFill>
              <w14:schemeClr w14:val="tx1"/>
            </w14:solidFill>
          </w14:textFill>
        </w:rPr>
        <w:t>人，不</w:t>
      </w:r>
      <w:r>
        <w:rPr>
          <w:rFonts w:hint="default" w:ascii="Times New Roman" w:hAnsi="Times New Roman" w:eastAsia="宋体" w:cs="Times New Roman"/>
          <w:color w:val="000000" w:themeColor="text1"/>
          <w:szCs w:val="20"/>
          <w:u w:val="none" w:color="auto"/>
          <w:lang w:val="en-US" w:eastAsia="zh-CN"/>
          <w14:textFill>
            <w14:solidFill>
              <w14:schemeClr w14:val="tx1"/>
            </w14:solidFill>
          </w14:textFill>
        </w:rPr>
        <w:t>在厂区内食宿</w:t>
      </w:r>
      <w:r>
        <w:rPr>
          <w:rFonts w:hint="default" w:ascii="Times New Roman" w:hAnsi="Times New Roman" w:eastAsia="宋体" w:cs="Times New Roman"/>
          <w:color w:val="000000" w:themeColor="text1"/>
          <w:szCs w:val="20"/>
          <w:u w:val="none" w:color="auto"/>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年工作天数为300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d，每天工作</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班，每班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加热罐需要连续沉降24</w:t>
      </w:r>
      <w:r>
        <w:rPr>
          <w:rFonts w:hint="eastAsia" w:ascii="宋体" w:hAnsi="宋体" w:eastAsia="宋体" w:cs="宋体"/>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48 h，其余工序每天工作8 h</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p>
    <w:p w14:paraId="4959B19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（7）建设期：项目建设期约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个月。</w:t>
      </w:r>
    </w:p>
    <w:p w14:paraId="10FEE465">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38" w:name="_Toc18956"/>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1.2 主要建设内容</w:t>
      </w:r>
      <w:bookmarkEnd w:id="138"/>
    </w:p>
    <w:p w14:paraId="051CEB9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项目总占地面积为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3849.6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建设年产10000吨工业级混合油（非食用动植物油脂）初加工生产线，建设内容</w:t>
      </w:r>
      <w:r>
        <w:rPr>
          <w:rFonts w:hint="default" w:ascii="Times New Roman" w:hAnsi="Times New Roman" w:eastAsia="宋体" w:cs="Times New Roman"/>
          <w:color w:val="000000" w:themeColor="text1"/>
          <w:u w:val="none" w:color="auto"/>
          <w14:textFill>
            <w14:solidFill>
              <w14:schemeClr w14:val="tx1"/>
            </w14:solidFill>
          </w14:textFill>
        </w:rPr>
        <w:t>主要包括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购置安装除杂机、加热罐、储油罐、三相分离机、挤压机等环保生产设备</w:t>
      </w:r>
      <w:r>
        <w:rPr>
          <w:rFonts w:hint="default" w:ascii="Times New Roman" w:hAnsi="Times New Roman" w:eastAsia="宋体" w:cs="Times New Roman"/>
          <w:color w:val="000000" w:themeColor="text1"/>
          <w:u w:val="none" w:color="auto"/>
          <w14:textFill>
            <w14:solidFill>
              <w14:schemeClr w14:val="tx1"/>
            </w14:solidFill>
          </w14:textFill>
        </w:rPr>
        <w:t>，具体厂区平面布置详见附图。</w:t>
      </w:r>
    </w:p>
    <w:p w14:paraId="3A742DC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1-1  项目主要建设内容</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28" w:type="dxa"/>
          <w:left w:w="28" w:type="dxa"/>
          <w:bottom w:w="28" w:type="dxa"/>
          <w:right w:w="28" w:type="dxa"/>
        </w:tblCellMar>
      </w:tblPr>
      <w:tblGrid>
        <w:gridCol w:w="648"/>
        <w:gridCol w:w="1190"/>
        <w:gridCol w:w="5464"/>
        <w:gridCol w:w="1063"/>
      </w:tblGrid>
      <w:tr w14:paraId="72EBA1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tblHeader/>
          <w:jc w:val="center"/>
        </w:trPr>
        <w:tc>
          <w:tcPr>
            <w:tcW w:w="387" w:type="pct"/>
            <w:tcMar>
              <w:left w:w="28" w:type="dxa"/>
              <w:right w:w="28" w:type="dxa"/>
            </w:tcMar>
            <w:vAlign w:val="center"/>
          </w:tcPr>
          <w:p w14:paraId="160C2FBD">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名称</w:t>
            </w:r>
          </w:p>
        </w:tc>
        <w:tc>
          <w:tcPr>
            <w:tcW w:w="711" w:type="pct"/>
            <w:tcMar>
              <w:left w:w="28" w:type="dxa"/>
              <w:right w:w="28" w:type="dxa"/>
            </w:tcMar>
            <w:vAlign w:val="center"/>
          </w:tcPr>
          <w:p w14:paraId="6C902B57">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工程内容</w:t>
            </w:r>
          </w:p>
        </w:tc>
        <w:tc>
          <w:tcPr>
            <w:tcW w:w="3265" w:type="pct"/>
            <w:vAlign w:val="center"/>
          </w:tcPr>
          <w:p w14:paraId="71DBA5F5">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现有工程建设内容</w:t>
            </w:r>
          </w:p>
        </w:tc>
        <w:tc>
          <w:tcPr>
            <w:tcW w:w="635" w:type="pct"/>
            <w:vAlign w:val="center"/>
          </w:tcPr>
          <w:p w14:paraId="05ED1281">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备注</w:t>
            </w:r>
          </w:p>
        </w:tc>
      </w:tr>
      <w:tr w14:paraId="66262D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tcMar>
              <w:left w:w="28" w:type="dxa"/>
              <w:right w:w="28" w:type="dxa"/>
            </w:tcMar>
            <w:vAlign w:val="center"/>
          </w:tcPr>
          <w:p w14:paraId="54A72AC4">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主体</w:t>
            </w:r>
          </w:p>
          <w:p w14:paraId="2C2079D8">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工程</w:t>
            </w:r>
          </w:p>
        </w:tc>
        <w:tc>
          <w:tcPr>
            <w:tcW w:w="711" w:type="pct"/>
            <w:tcMar>
              <w:left w:w="28" w:type="dxa"/>
              <w:right w:w="28" w:type="dxa"/>
            </w:tcMar>
            <w:vAlign w:val="center"/>
          </w:tcPr>
          <w:p w14:paraId="74EF28BC">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color="auto"/>
                <w14:textFill>
                  <w14:solidFill>
                    <w14:schemeClr w14:val="tx1"/>
                  </w14:solidFill>
                </w14:textFill>
              </w:rPr>
              <w:t>生产</w:t>
            </w:r>
            <w:r>
              <w:rPr>
                <w:rFonts w:hint="default" w:ascii="Times New Roman" w:hAnsi="Times New Roman" w:eastAsia="宋体" w:cs="Times New Roman"/>
                <w:bCs/>
                <w:color w:val="000000" w:themeColor="text1"/>
                <w:kern w:val="0"/>
                <w:sz w:val="21"/>
                <w:szCs w:val="21"/>
                <w:u w:val="none" w:color="auto"/>
                <w:lang w:eastAsia="zh-CN"/>
                <w14:textFill>
                  <w14:solidFill>
                    <w14:schemeClr w14:val="tx1"/>
                  </w14:solidFill>
                </w14:textFill>
              </w:rPr>
              <w:t>车间</w:t>
            </w:r>
          </w:p>
        </w:tc>
        <w:tc>
          <w:tcPr>
            <w:tcW w:w="3265" w:type="pct"/>
            <w:vAlign w:val="center"/>
          </w:tcPr>
          <w:p w14:paraId="15FAA943">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共1F，层高</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u w:val="none" w:color="auto"/>
                <w14:textFill>
                  <w14:solidFill>
                    <w14:schemeClr w14:val="tx1"/>
                  </w14:solidFill>
                </w14:textFill>
              </w:rPr>
              <w:t>米，</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占地面积及</w:t>
            </w:r>
            <w:r>
              <w:rPr>
                <w:rFonts w:hint="default" w:ascii="Times New Roman" w:hAnsi="Times New Roman" w:eastAsia="宋体" w:cs="Times New Roman"/>
                <w:color w:val="000000" w:themeColor="text1"/>
                <w:sz w:val="21"/>
                <w:szCs w:val="21"/>
                <w:u w:val="none" w:color="auto"/>
                <w14:textFill>
                  <w14:solidFill>
                    <w14:schemeClr w14:val="tx1"/>
                  </w14:solidFill>
                </w14:textFill>
              </w:rPr>
              <w:t>建筑面积1</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232.87 </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，钢</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和钢筋混凝土</w:t>
            </w:r>
            <w:r>
              <w:rPr>
                <w:rFonts w:hint="default" w:ascii="Times New Roman" w:hAnsi="Times New Roman" w:eastAsia="宋体" w:cs="Times New Roman"/>
                <w:color w:val="000000" w:themeColor="text1"/>
                <w:sz w:val="21"/>
                <w:szCs w:val="21"/>
                <w:u w:val="none" w:color="auto"/>
                <w14:textFill>
                  <w14:solidFill>
                    <w14:schemeClr w14:val="tx1"/>
                  </w14:solidFill>
                </w14:textFill>
              </w:rPr>
              <w:t>结</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构，建设</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年产10000吨工业级混合油（非食用动植物油脂）初加工生产线</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主要布设</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除杂区、制浆区、加热区、搅拌区、三相分离区、成品储罐区等。</w:t>
            </w:r>
          </w:p>
        </w:tc>
        <w:tc>
          <w:tcPr>
            <w:tcW w:w="635" w:type="pct"/>
            <w:vAlign w:val="center"/>
          </w:tcPr>
          <w:p w14:paraId="3D2F99A5">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新建</w:t>
            </w:r>
          </w:p>
        </w:tc>
      </w:tr>
      <w:tr w14:paraId="7E212A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tcMar>
              <w:left w:w="28" w:type="dxa"/>
              <w:right w:w="28" w:type="dxa"/>
            </w:tcMar>
            <w:vAlign w:val="center"/>
          </w:tcPr>
          <w:p w14:paraId="04BD9DA2">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辅助工程</w:t>
            </w:r>
          </w:p>
        </w:tc>
        <w:tc>
          <w:tcPr>
            <w:tcW w:w="711" w:type="pct"/>
            <w:tcMar>
              <w:left w:w="28" w:type="dxa"/>
              <w:right w:w="28" w:type="dxa"/>
            </w:tcMar>
            <w:vAlign w:val="center"/>
          </w:tcPr>
          <w:p w14:paraId="79CFFB6C">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检验室</w:t>
            </w:r>
          </w:p>
        </w:tc>
        <w:tc>
          <w:tcPr>
            <w:tcW w:w="3265" w:type="pct"/>
            <w:shd w:val="clear" w:color="auto" w:fill="auto"/>
            <w:vAlign w:val="center"/>
          </w:tcPr>
          <w:p w14:paraId="7D20D587">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共1F，建筑面积</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color="auto"/>
                <w14:textFill>
                  <w14:solidFill>
                    <w14:schemeClr w14:val="tx1"/>
                  </w14:solidFill>
                </w14:textFill>
              </w:rPr>
              <w:t>0</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，主要用于检测成品的</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酸值、</w:t>
            </w:r>
            <w:r>
              <w:rPr>
                <w:rFonts w:hint="default" w:ascii="Times New Roman" w:hAnsi="Times New Roman" w:eastAsia="宋体" w:cs="Times New Roman"/>
                <w:color w:val="000000" w:themeColor="text1"/>
                <w:sz w:val="21"/>
                <w:szCs w:val="21"/>
                <w:u w:val="none" w:color="auto"/>
                <w14:textFill>
                  <w14:solidFill>
                    <w14:schemeClr w14:val="tx1"/>
                  </w14:solidFill>
                </w14:textFill>
              </w:rPr>
              <w:t>含水率、含</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渣</w:t>
            </w:r>
            <w:r>
              <w:rPr>
                <w:rFonts w:hint="default" w:ascii="Times New Roman" w:hAnsi="Times New Roman" w:eastAsia="宋体" w:cs="Times New Roman"/>
                <w:color w:val="000000" w:themeColor="text1"/>
                <w:sz w:val="21"/>
                <w:szCs w:val="21"/>
                <w:u w:val="none" w:color="auto"/>
                <w14:textFill>
                  <w14:solidFill>
                    <w14:schemeClr w14:val="tx1"/>
                  </w14:solidFill>
                </w14:textFill>
              </w:rPr>
              <w:t>率</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u w:val="none" w:color="auto"/>
                <w14:textFill>
                  <w14:solidFill>
                    <w14:schemeClr w14:val="tx1"/>
                  </w14:solidFill>
                </w14:textFill>
              </w:rPr>
              <w:t>检测</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635" w:type="pct"/>
            <w:shd w:val="clear" w:color="auto" w:fill="auto"/>
            <w:vAlign w:val="center"/>
          </w:tcPr>
          <w:p w14:paraId="088164F1">
            <w:pPr>
              <w:pStyle w:val="127"/>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含水</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渣</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r>
      <w:tr w14:paraId="65508C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restart"/>
            <w:tcMar>
              <w:left w:w="28" w:type="dxa"/>
              <w:right w:w="28" w:type="dxa"/>
            </w:tcMar>
            <w:vAlign w:val="center"/>
          </w:tcPr>
          <w:p w14:paraId="158B1807">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储运</w:t>
            </w:r>
          </w:p>
          <w:p w14:paraId="6548FD30">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工程</w:t>
            </w:r>
          </w:p>
        </w:tc>
        <w:tc>
          <w:tcPr>
            <w:tcW w:w="711" w:type="pct"/>
            <w:tcMar>
              <w:left w:w="28" w:type="dxa"/>
              <w:right w:w="28" w:type="dxa"/>
            </w:tcMar>
            <w:vAlign w:val="center"/>
          </w:tcPr>
          <w:p w14:paraId="3C2612D9">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收运系统</w:t>
            </w:r>
          </w:p>
        </w:tc>
        <w:tc>
          <w:tcPr>
            <w:tcW w:w="3265" w:type="pct"/>
            <w:vAlign w:val="center"/>
          </w:tcPr>
          <w:p w14:paraId="1BADE4B4">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color="auto"/>
                <w:lang w:val="en-US" w:eastAsia="zh-CN"/>
                <w14:textFill>
                  <w14:solidFill>
                    <w14:schemeClr w14:val="tx1"/>
                  </w14:solidFill>
                </w14:textFill>
              </w:rPr>
              <w:t>项目配备3辆10 m</w:t>
            </w:r>
            <w:r>
              <w:rPr>
                <w:rFonts w:hint="default" w:ascii="Times New Roman" w:hAnsi="Times New Roman" w:eastAsia="宋体" w:cs="Times New Roman"/>
                <w:bCs/>
                <w:color w:val="000000" w:themeColor="text1"/>
                <w:kern w:val="0"/>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kern w:val="0"/>
                <w:sz w:val="21"/>
                <w:szCs w:val="21"/>
                <w:u w:val="none" w:color="auto"/>
                <w:lang w:val="en-US" w:eastAsia="zh-CN"/>
                <w14:textFill>
                  <w14:solidFill>
                    <w14:schemeClr w14:val="tx1"/>
                  </w14:solidFill>
                </w14:textFill>
              </w:rPr>
              <w:t>的原料油收运专用车，</w:t>
            </w:r>
            <w:r>
              <w:rPr>
                <w:rFonts w:hint="default" w:ascii="Times New Roman" w:hAnsi="Times New Roman" w:eastAsia="宋体" w:cs="Times New Roman"/>
                <w:bCs/>
                <w:color w:val="000000" w:themeColor="text1"/>
                <w:kern w:val="0"/>
                <w:sz w:val="21"/>
                <w:szCs w:val="21"/>
                <w:u w:val="none" w:color="auto"/>
                <w14:textFill>
                  <w14:solidFill>
                    <w14:schemeClr w14:val="tx1"/>
                  </w14:solidFill>
                </w14:textFill>
              </w:rPr>
              <w:t>主要是对平江高新技术产业园区</w:t>
            </w:r>
            <w:r>
              <w:rPr>
                <w:rFonts w:hint="default" w:ascii="Times New Roman" w:hAnsi="Times New Roman" w:eastAsia="宋体" w:cs="Times New Roman"/>
                <w:bCs/>
                <w:color w:val="000000" w:themeColor="text1"/>
                <w:kern w:val="0"/>
                <w:sz w:val="21"/>
                <w:szCs w:val="21"/>
                <w:u w:val="none" w:color="auto"/>
                <w:lang w:val="en-US" w:eastAsia="zh-CN"/>
                <w14:textFill>
                  <w14:solidFill>
                    <w14:schemeClr w14:val="tx1"/>
                  </w14:solidFill>
                </w14:textFill>
              </w:rPr>
              <w:t>内</w:t>
            </w:r>
            <w:r>
              <w:rPr>
                <w:rFonts w:hint="default" w:ascii="Times New Roman" w:hAnsi="Times New Roman" w:eastAsia="宋体" w:cs="Times New Roman"/>
                <w:bCs/>
                <w:color w:val="000000" w:themeColor="text1"/>
                <w:kern w:val="0"/>
                <w:sz w:val="21"/>
                <w:szCs w:val="21"/>
                <w:u w:val="none" w:color="auto"/>
                <w14:textFill>
                  <w14:solidFill>
                    <w14:schemeClr w14:val="tx1"/>
                  </w14:solidFill>
                </w14:textFill>
              </w:rPr>
              <w:t>食品加工厂隔油池的浮渣</w:t>
            </w:r>
            <w:r>
              <w:rPr>
                <w:rFonts w:hint="default" w:ascii="Times New Roman" w:hAnsi="Times New Roman" w:eastAsia="宋体" w:cs="Times New Roman"/>
                <w:bCs/>
                <w:color w:val="000000" w:themeColor="text1"/>
                <w:kern w:val="0"/>
                <w:sz w:val="21"/>
                <w:szCs w:val="21"/>
                <w:u w:val="none" w:color="auto"/>
                <w:lang w:eastAsia="zh-CN"/>
                <w14:textFill>
                  <w14:solidFill>
                    <w14:schemeClr w14:val="tx1"/>
                  </w14:solidFill>
                </w14:textFill>
              </w:rPr>
              <w:t>、</w:t>
            </w:r>
            <w:r>
              <w:rPr>
                <w:rFonts w:hint="default" w:ascii="Times New Roman" w:hAnsi="Times New Roman" w:eastAsia="宋体" w:cs="Times New Roman"/>
                <w:bCs/>
                <w:color w:val="000000" w:themeColor="text1"/>
                <w:kern w:val="0"/>
                <w:sz w:val="21"/>
                <w:szCs w:val="21"/>
                <w:u w:val="none" w:color="auto"/>
                <w14:textFill>
                  <w14:solidFill>
                    <w14:schemeClr w14:val="tx1"/>
                  </w14:solidFill>
                </w14:textFill>
              </w:rPr>
              <w:t>煎炸废油进行收运</w:t>
            </w:r>
            <w:r>
              <w:rPr>
                <w:rFonts w:hint="default" w:ascii="Times New Roman" w:hAnsi="Times New Roman" w:eastAsia="宋体" w:cs="Times New Roman"/>
                <w:bCs/>
                <w:color w:val="000000" w:themeColor="text1"/>
                <w:kern w:val="0"/>
                <w:sz w:val="21"/>
                <w:szCs w:val="21"/>
                <w:u w:val="none" w:color="auto"/>
                <w:lang w:eastAsia="zh-CN"/>
                <w14:textFill>
                  <w14:solidFill>
                    <w14:schemeClr w14:val="tx1"/>
                  </w14:solidFill>
                </w14:textFill>
              </w:rPr>
              <w:t>。</w:t>
            </w:r>
          </w:p>
        </w:tc>
        <w:tc>
          <w:tcPr>
            <w:tcW w:w="635" w:type="pct"/>
            <w:vAlign w:val="center"/>
          </w:tcPr>
          <w:p w14:paraId="15E74BB8">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641FC4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5E1FE090">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11" w:type="pct"/>
            <w:tcMar>
              <w:left w:w="28" w:type="dxa"/>
              <w:right w:w="28" w:type="dxa"/>
            </w:tcMar>
            <w:vAlign w:val="center"/>
          </w:tcPr>
          <w:p w14:paraId="1EEFF418">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成品油储存</w:t>
            </w:r>
          </w:p>
        </w:tc>
        <w:tc>
          <w:tcPr>
            <w:tcW w:w="3265" w:type="pct"/>
            <w:vAlign w:val="center"/>
          </w:tcPr>
          <w:p w14:paraId="7D2A9193">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建筑面积</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 xml:space="preserve">195.5 </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m</w:t>
            </w:r>
            <w:r>
              <w:rPr>
                <w:rFonts w:hint="default" w:ascii="Times New Roman" w:hAnsi="Times New Roman" w:eastAsia="宋体" w:cs="Times New Roman"/>
                <w:color w:val="000000" w:themeColor="text1"/>
                <w:sz w:val="21"/>
                <w:szCs w:val="21"/>
                <w:highlight w:val="none"/>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共</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设置7</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个</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成品油储罐</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 xml:space="preserve">其中3个42 </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m</w:t>
            </w:r>
            <w:r>
              <w:rPr>
                <w:rFonts w:hint="default" w:ascii="Times New Roman" w:hAnsi="Times New Roman" w:eastAsia="宋体" w:cs="Times New Roman"/>
                <w:bCs/>
                <w:color w:val="000000" w:themeColor="text1"/>
                <w:kern w:val="0"/>
                <w:sz w:val="21"/>
                <w:szCs w:val="21"/>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kern w:val="0"/>
                <w:sz w:val="21"/>
                <w:szCs w:val="21"/>
                <w:highlight w:val="none"/>
                <w:u w:val="none" w:color="auto"/>
                <w:vertAlign w:val="baseline"/>
                <w:lang w:val="en-US" w:eastAsia="zh-CN"/>
                <w14:textFill>
                  <w14:solidFill>
                    <w14:schemeClr w14:val="tx1"/>
                  </w14:solidFill>
                </w14:textFill>
              </w:rPr>
              <w:t>的</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 xml:space="preserve">卧式储罐，4个45 </w:t>
            </w:r>
            <w:r>
              <w:rPr>
                <w:rFonts w:hint="default" w:ascii="Times New Roman" w:hAnsi="Times New Roman" w:eastAsia="宋体" w:cs="Times New Roman"/>
                <w:bCs/>
                <w:color w:val="000000" w:themeColor="text1"/>
                <w:kern w:val="0"/>
                <w:sz w:val="21"/>
                <w:szCs w:val="21"/>
                <w:highlight w:val="none"/>
                <w:u w:val="none" w:color="auto"/>
                <w14:textFill>
                  <w14:solidFill>
                    <w14:schemeClr w14:val="tx1"/>
                  </w14:solidFill>
                </w14:textFill>
              </w:rPr>
              <w:t>m</w:t>
            </w:r>
            <w:r>
              <w:rPr>
                <w:rFonts w:hint="default" w:ascii="Times New Roman" w:hAnsi="Times New Roman" w:eastAsia="宋体" w:cs="Times New Roman"/>
                <w:bCs/>
                <w:color w:val="000000" w:themeColor="text1"/>
                <w:kern w:val="0"/>
                <w:sz w:val="21"/>
                <w:szCs w:val="21"/>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kern w:val="0"/>
                <w:sz w:val="21"/>
                <w:szCs w:val="21"/>
                <w:highlight w:val="none"/>
                <w:u w:val="none" w:color="auto"/>
                <w:lang w:val="en-US" w:eastAsia="zh-CN"/>
                <w14:textFill>
                  <w14:solidFill>
                    <w14:schemeClr w14:val="tx1"/>
                  </w14:solidFill>
                </w14:textFill>
              </w:rPr>
              <w:t>的立式储罐。储罐均为</w:t>
            </w: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双层碳钢材质</w:t>
            </w:r>
            <w:r>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t>。</w:t>
            </w:r>
          </w:p>
        </w:tc>
        <w:tc>
          <w:tcPr>
            <w:tcW w:w="635" w:type="pct"/>
            <w:vAlign w:val="center"/>
          </w:tcPr>
          <w:p w14:paraId="0F610193">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新建</w:t>
            </w:r>
          </w:p>
        </w:tc>
      </w:tr>
      <w:tr w14:paraId="026BBB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restart"/>
            <w:tcMar>
              <w:left w:w="28" w:type="dxa"/>
              <w:right w:w="28" w:type="dxa"/>
            </w:tcMar>
            <w:vAlign w:val="center"/>
          </w:tcPr>
          <w:p w14:paraId="4751900F">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公用</w:t>
            </w:r>
          </w:p>
          <w:p w14:paraId="1F106266">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工程</w:t>
            </w:r>
          </w:p>
        </w:tc>
        <w:tc>
          <w:tcPr>
            <w:tcW w:w="711" w:type="pct"/>
            <w:shd w:val="clear" w:color="auto" w:fill="auto"/>
            <w:tcMar>
              <w:left w:w="28" w:type="dxa"/>
              <w:right w:w="28" w:type="dxa"/>
            </w:tcMar>
            <w:vAlign w:val="center"/>
          </w:tcPr>
          <w:p w14:paraId="529B9974">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供热</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系统</w:t>
            </w:r>
          </w:p>
        </w:tc>
        <w:tc>
          <w:tcPr>
            <w:tcW w:w="3265" w:type="pct"/>
            <w:shd w:val="clear" w:color="auto" w:fill="auto"/>
            <w:vAlign w:val="center"/>
          </w:tcPr>
          <w:p w14:paraId="365ACC09">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项目加热使用的蒸汽</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依托工业园区集中供热系统。</w:t>
            </w:r>
          </w:p>
        </w:tc>
        <w:tc>
          <w:tcPr>
            <w:tcW w:w="635" w:type="pct"/>
            <w:vMerge w:val="restart"/>
            <w:vAlign w:val="center"/>
          </w:tcPr>
          <w:p w14:paraId="7389A429">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依托园区现有</w:t>
            </w:r>
          </w:p>
        </w:tc>
      </w:tr>
      <w:tr w14:paraId="76CFFD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79F66269">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FF0000"/>
                <w:sz w:val="21"/>
                <w:szCs w:val="21"/>
                <w:u w:val="none" w:color="auto"/>
              </w:rPr>
            </w:pPr>
          </w:p>
        </w:tc>
        <w:tc>
          <w:tcPr>
            <w:tcW w:w="711" w:type="pct"/>
            <w:tcMar>
              <w:left w:w="28" w:type="dxa"/>
              <w:right w:w="28" w:type="dxa"/>
            </w:tcMar>
            <w:vAlign w:val="center"/>
          </w:tcPr>
          <w:p w14:paraId="7C2A414A">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供电系统</w:t>
            </w:r>
          </w:p>
        </w:tc>
        <w:tc>
          <w:tcPr>
            <w:tcW w:w="3265" w:type="pct"/>
            <w:vAlign w:val="center"/>
          </w:tcPr>
          <w:p w14:paraId="7C17C16B">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依托园区变电站进行供电。</w:t>
            </w:r>
          </w:p>
        </w:tc>
        <w:tc>
          <w:tcPr>
            <w:tcW w:w="635" w:type="pct"/>
            <w:vMerge w:val="continue"/>
            <w:vAlign w:val="center"/>
          </w:tcPr>
          <w:p w14:paraId="3BC7B0A2">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FF0000"/>
                <w:sz w:val="21"/>
                <w:szCs w:val="21"/>
                <w:u w:val="none" w:color="auto"/>
              </w:rPr>
            </w:pPr>
          </w:p>
        </w:tc>
      </w:tr>
      <w:tr w14:paraId="5037CF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4983046E">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FF0000"/>
                <w:sz w:val="21"/>
                <w:szCs w:val="21"/>
                <w:u w:val="none" w:color="auto"/>
              </w:rPr>
            </w:pPr>
          </w:p>
        </w:tc>
        <w:tc>
          <w:tcPr>
            <w:tcW w:w="711" w:type="pct"/>
            <w:shd w:val="clear" w:color="auto" w:fill="auto"/>
            <w:tcMar>
              <w:left w:w="28" w:type="dxa"/>
              <w:right w:w="28" w:type="dxa"/>
            </w:tcMar>
            <w:vAlign w:val="center"/>
          </w:tcPr>
          <w:p w14:paraId="797ABCFA">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供水系统</w:t>
            </w:r>
          </w:p>
        </w:tc>
        <w:tc>
          <w:tcPr>
            <w:tcW w:w="3265" w:type="pct"/>
            <w:shd w:val="clear" w:color="auto" w:fill="auto"/>
            <w:vAlign w:val="center"/>
          </w:tcPr>
          <w:p w14:paraId="7035CB49">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项目用水由园区内自来水厂供给。</w:t>
            </w:r>
          </w:p>
        </w:tc>
        <w:tc>
          <w:tcPr>
            <w:tcW w:w="635" w:type="pct"/>
            <w:vMerge w:val="continue"/>
            <w:vAlign w:val="center"/>
          </w:tcPr>
          <w:p w14:paraId="598A6712">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FF0000"/>
                <w:sz w:val="21"/>
                <w:szCs w:val="21"/>
                <w:u w:val="none" w:color="auto"/>
              </w:rPr>
            </w:pPr>
          </w:p>
        </w:tc>
      </w:tr>
      <w:tr w14:paraId="450448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6076EE18">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FF0000"/>
                <w:sz w:val="21"/>
                <w:szCs w:val="21"/>
                <w:u w:val="none" w:color="auto"/>
              </w:rPr>
            </w:pPr>
          </w:p>
        </w:tc>
        <w:tc>
          <w:tcPr>
            <w:tcW w:w="711" w:type="pct"/>
            <w:tcMar>
              <w:left w:w="28" w:type="dxa"/>
              <w:right w:w="28" w:type="dxa"/>
            </w:tcMar>
            <w:vAlign w:val="center"/>
          </w:tcPr>
          <w:p w14:paraId="0985EC84">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排水系统</w:t>
            </w:r>
          </w:p>
        </w:tc>
        <w:tc>
          <w:tcPr>
            <w:tcW w:w="3265" w:type="pct"/>
            <w:vAlign w:val="center"/>
          </w:tcPr>
          <w:p w14:paraId="71CF2E96">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依托园区排水管网。</w:t>
            </w:r>
          </w:p>
        </w:tc>
        <w:tc>
          <w:tcPr>
            <w:tcW w:w="635" w:type="pct"/>
            <w:vMerge w:val="continue"/>
            <w:vAlign w:val="center"/>
          </w:tcPr>
          <w:p w14:paraId="5A107924">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FF0000"/>
                <w:sz w:val="21"/>
                <w:szCs w:val="21"/>
                <w:u w:val="none" w:color="auto"/>
              </w:rPr>
            </w:pPr>
          </w:p>
        </w:tc>
      </w:tr>
      <w:tr w14:paraId="72E40F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restart"/>
            <w:tcMar>
              <w:left w:w="28" w:type="dxa"/>
              <w:right w:w="28" w:type="dxa"/>
            </w:tcMar>
            <w:vAlign w:val="center"/>
          </w:tcPr>
          <w:p w14:paraId="506A8BF6">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环保</w:t>
            </w:r>
          </w:p>
          <w:p w14:paraId="228836E2">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工程</w:t>
            </w:r>
          </w:p>
        </w:tc>
        <w:tc>
          <w:tcPr>
            <w:tcW w:w="711" w:type="pct"/>
            <w:tcMar>
              <w:left w:w="28" w:type="dxa"/>
              <w:right w:w="28" w:type="dxa"/>
            </w:tcMar>
            <w:vAlign w:val="center"/>
          </w:tcPr>
          <w:p w14:paraId="5EAE3FC3">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废气</w:t>
            </w:r>
          </w:p>
        </w:tc>
        <w:tc>
          <w:tcPr>
            <w:tcW w:w="3265" w:type="pct"/>
            <w:vAlign w:val="center"/>
          </w:tcPr>
          <w:p w14:paraId="28AC7A98">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6个加热罐、4个立式储罐使用全密闭收集管道进行抽吸，3个的卧式储罐在观察孔上方设置集气罩进行抽吸，废气经收集汇入喷淋塔+过滤棉+二级活性炭处理后通过15 m高的排气筒（DA001）排放；</w:t>
            </w:r>
          </w:p>
        </w:tc>
        <w:tc>
          <w:tcPr>
            <w:tcW w:w="635" w:type="pct"/>
            <w:vAlign w:val="center"/>
          </w:tcPr>
          <w:p w14:paraId="706F24CF">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新建</w:t>
            </w:r>
          </w:p>
        </w:tc>
      </w:tr>
      <w:tr w14:paraId="35FB83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3222A803">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11" w:type="pct"/>
            <w:tcMar>
              <w:left w:w="28" w:type="dxa"/>
              <w:right w:w="28" w:type="dxa"/>
            </w:tcMar>
            <w:vAlign w:val="center"/>
          </w:tcPr>
          <w:p w14:paraId="769454C7">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废水</w:t>
            </w:r>
          </w:p>
        </w:tc>
        <w:tc>
          <w:tcPr>
            <w:tcW w:w="3265" w:type="pct"/>
            <w:vAlign w:val="center"/>
          </w:tcPr>
          <w:p w14:paraId="33854064">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1）生产废水经密闭管道收集汇入隔油池+A/O预处理后通过园区污水管网排入园平江高新区污水处理厂深度处理。</w:t>
            </w:r>
          </w:p>
          <w:p w14:paraId="1645D66B">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2）生活污水经园区化粪池处理后通过园区污水管网排入园平江高新区污水处理厂深度处理。</w:t>
            </w:r>
          </w:p>
        </w:tc>
        <w:tc>
          <w:tcPr>
            <w:tcW w:w="635" w:type="pct"/>
            <w:vAlign w:val="center"/>
          </w:tcPr>
          <w:p w14:paraId="51013282">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eastAsia" w:cs="Times New Roman"/>
                <w:color w:val="000000" w:themeColor="text1"/>
                <w:sz w:val="21"/>
                <w:szCs w:val="21"/>
                <w:u w:val="none" w:color="auto"/>
                <w:lang w:val="en-US" w:eastAsia="zh-CN"/>
                <w14:textFill>
                  <w14:solidFill>
                    <w14:schemeClr w14:val="tx1"/>
                  </w14:solidFill>
                </w14:textFill>
              </w:rPr>
              <w:t>新建</w:t>
            </w:r>
          </w:p>
        </w:tc>
      </w:tr>
      <w:tr w14:paraId="18BA0A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0D015872">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11" w:type="pct"/>
            <w:tcMar>
              <w:left w:w="28" w:type="dxa"/>
              <w:right w:w="28" w:type="dxa"/>
            </w:tcMar>
            <w:vAlign w:val="center"/>
          </w:tcPr>
          <w:p w14:paraId="07AAC11E">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噪声</w:t>
            </w:r>
          </w:p>
        </w:tc>
        <w:tc>
          <w:tcPr>
            <w:tcW w:w="3265" w:type="pct"/>
            <w:vAlign w:val="center"/>
          </w:tcPr>
          <w:p w14:paraId="3CBF5C1D">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选用低噪声设备、采取基础减震、车间封闭等措施。</w:t>
            </w:r>
          </w:p>
        </w:tc>
        <w:tc>
          <w:tcPr>
            <w:tcW w:w="635" w:type="pct"/>
            <w:vAlign w:val="center"/>
          </w:tcPr>
          <w:p w14:paraId="190610AA">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新建</w:t>
            </w:r>
          </w:p>
        </w:tc>
      </w:tr>
      <w:tr w14:paraId="7E0549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3442C0CE">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11" w:type="pct"/>
            <w:tcMar>
              <w:left w:w="28" w:type="dxa"/>
              <w:right w:w="28" w:type="dxa"/>
            </w:tcMar>
            <w:vAlign w:val="center"/>
          </w:tcPr>
          <w:p w14:paraId="7FEB5EF9">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固废</w:t>
            </w:r>
          </w:p>
        </w:tc>
        <w:tc>
          <w:tcPr>
            <w:tcW w:w="3265" w:type="pct"/>
            <w:vAlign w:val="center"/>
          </w:tcPr>
          <w:p w14:paraId="50270F88">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u w:val="none" w:color="auto"/>
                <w:lang w:val="en-US" w:eastAsia="zh-CN"/>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项目设置</w:t>
            </w:r>
            <w:r>
              <w:rPr>
                <w:rFonts w:hint="eastAsia" w:cs="Times New Roman"/>
                <w:color w:val="000000" w:themeColor="text1"/>
                <w:sz w:val="21"/>
                <w:szCs w:val="21"/>
                <w:u w:val="none" w:color="auto"/>
                <w:lang w:val="en-US" w:eastAsia="zh-CN"/>
                <w14:textFill>
                  <w14:solidFill>
                    <w14:schemeClr w14:val="tx1"/>
                  </w14:solidFill>
                </w14:textFill>
              </w:rPr>
              <w:t>一座</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8 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eastAsia" w:cs="Times New Roman"/>
                <w:color w:val="000000" w:themeColor="text1"/>
                <w:sz w:val="21"/>
                <w:szCs w:val="21"/>
                <w:u w:val="none" w:color="auto"/>
                <w:lang w:val="en-US" w:eastAsia="zh-CN"/>
                <w14:textFill>
                  <w14:solidFill>
                    <w14:schemeClr w14:val="tx1"/>
                  </w14:solidFill>
                </w14:textFill>
              </w:rPr>
              <w:t>沉渣池，位于生产车间西北侧，</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1间10 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危废暂存间，位于</w:t>
            </w:r>
            <w:r>
              <w:rPr>
                <w:rFonts w:hint="eastAsia" w:cs="Times New Roman"/>
                <w:color w:val="000000" w:themeColor="text1"/>
                <w:sz w:val="21"/>
                <w:szCs w:val="21"/>
                <w:u w:val="none" w:color="auto"/>
                <w:lang w:val="en-US" w:eastAsia="zh-CN"/>
                <w14:textFill>
                  <w14:solidFill>
                    <w14:schemeClr w14:val="tx1"/>
                  </w14:solidFill>
                </w14:textFill>
              </w:rPr>
              <w:t>生产车间西北侧</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635" w:type="pct"/>
            <w:vAlign w:val="center"/>
          </w:tcPr>
          <w:p w14:paraId="7368294C">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新建</w:t>
            </w:r>
          </w:p>
        </w:tc>
      </w:tr>
      <w:tr w14:paraId="0B13BF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2BD86489">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11" w:type="pct"/>
            <w:tcMar>
              <w:left w:w="28" w:type="dxa"/>
              <w:right w:w="28" w:type="dxa"/>
            </w:tcMar>
            <w:vAlign w:val="center"/>
          </w:tcPr>
          <w:p w14:paraId="2795A37A">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环境风险防范措施</w:t>
            </w:r>
          </w:p>
        </w:tc>
        <w:tc>
          <w:tcPr>
            <w:tcW w:w="3265" w:type="pct"/>
            <w:vAlign w:val="center"/>
          </w:tcPr>
          <w:p w14:paraId="15DAC984">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生产车间、污水处理站等区域按要求进行防渗处理；</w:t>
            </w:r>
          </w:p>
          <w:p w14:paraId="341434B8">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车间内配备消防应急物资；</w:t>
            </w:r>
          </w:p>
          <w:p w14:paraId="0E571E69">
            <w:pPr>
              <w:rPr>
                <w:rFonts w:hint="default" w:ascii="Times New Roman" w:hAnsi="Times New Roman" w:eastAsia="宋体" w:cs="Times New Roman"/>
                <w:u w:val="none" w:color="auto"/>
                <w:lang w:val="en-US" w:eastAsia="zh-CN"/>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厂区设置一座40 m</w:t>
            </w:r>
            <w:r>
              <w:rPr>
                <w:rFonts w:hint="default" w:ascii="Times New Roman" w:hAnsi="Times New Roman" w:eastAsia="宋体" w:cs="Times New Roman"/>
                <w:color w:val="000000" w:themeColor="text1"/>
                <w:sz w:val="21"/>
                <w:szCs w:val="21"/>
                <w:highlight w:val="none"/>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vertAlign w:val="baseline"/>
                <w:lang w:val="en-US" w:eastAsia="zh-CN"/>
                <w14:textFill>
                  <w14:solidFill>
                    <w14:schemeClr w14:val="tx1"/>
                  </w14:solidFill>
                </w14:textFill>
              </w:rPr>
              <w:t>的事故应急池；</w:t>
            </w:r>
          </w:p>
          <w:p w14:paraId="32AD52A4">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成品储罐区设置长23</w:t>
            </w:r>
            <w:r>
              <w:rPr>
                <w:rFonts w:hint="eastAsia" w:cs="Times New Roman"/>
                <w:color w:val="000000" w:themeColor="text1"/>
                <w:sz w:val="21"/>
                <w:szCs w:val="21"/>
                <w:highlight w:val="none"/>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m，宽8</w:t>
            </w:r>
            <w:r>
              <w:rPr>
                <w:rFonts w:hint="eastAsia" w:cs="Times New Roman"/>
                <w:color w:val="000000" w:themeColor="text1"/>
                <w:sz w:val="21"/>
                <w:szCs w:val="21"/>
                <w:highlight w:val="none"/>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5 m，高</w:t>
            </w:r>
            <w:r>
              <w:rPr>
                <w:rFonts w:hint="eastAsia" w:cs="Times New Roman"/>
                <w:color w:val="000000" w:themeColor="text1"/>
                <w:sz w:val="21"/>
                <w:szCs w:val="21"/>
                <w:highlight w:val="none"/>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6 m的围堰。</w:t>
            </w:r>
          </w:p>
        </w:tc>
        <w:tc>
          <w:tcPr>
            <w:tcW w:w="635" w:type="pct"/>
            <w:vAlign w:val="center"/>
          </w:tcPr>
          <w:p w14:paraId="736BD693">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新建</w:t>
            </w:r>
          </w:p>
        </w:tc>
      </w:tr>
      <w:tr w14:paraId="353065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397" w:hRule="atLeast"/>
          <w:jc w:val="center"/>
        </w:trPr>
        <w:tc>
          <w:tcPr>
            <w:tcW w:w="387" w:type="pct"/>
            <w:vMerge w:val="continue"/>
            <w:tcMar>
              <w:left w:w="28" w:type="dxa"/>
              <w:right w:w="28" w:type="dxa"/>
            </w:tcMar>
            <w:vAlign w:val="center"/>
          </w:tcPr>
          <w:p w14:paraId="0FB06725">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11" w:type="pct"/>
            <w:tcMar>
              <w:left w:w="28" w:type="dxa"/>
              <w:right w:w="28" w:type="dxa"/>
            </w:tcMar>
            <w:vAlign w:val="center"/>
          </w:tcPr>
          <w:p w14:paraId="7D71BEF8">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地下水及土壤</w:t>
            </w:r>
          </w:p>
        </w:tc>
        <w:tc>
          <w:tcPr>
            <w:tcW w:w="3265" w:type="pct"/>
            <w:vAlign w:val="center"/>
          </w:tcPr>
          <w:p w14:paraId="0BF2787D">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1）重点防渗区：生产车间、储罐区、污水处理站、应急事故池、危废暂存间、沉渣池。</w:t>
            </w:r>
          </w:p>
          <w:p w14:paraId="0FB829B5">
            <w:pPr>
              <w:pStyle w:val="127"/>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2）一般防渗区：进出场道路等其他公用单元。</w:t>
            </w:r>
          </w:p>
          <w:p w14:paraId="297C9332">
            <w:pPr>
              <w:keepNext w:val="0"/>
              <w:keepLines w:val="0"/>
              <w:pageBreakBefore w:val="0"/>
              <w:widowControl w:val="0"/>
              <w:kinsoku/>
              <w:wordWrap/>
              <w:overflowPunct/>
              <w:topLinePunct w:val="0"/>
              <w:bidi w:val="0"/>
              <w:rPr>
                <w:rFonts w:hint="default" w:ascii="Times New Roman" w:hAnsi="Times New Roman" w:eastAsia="宋体" w:cs="Times New Roman"/>
                <w:u w:val="none" w:color="auto"/>
                <w:lang w:val="en-US" w:eastAsia="zh-CN"/>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3）简单防渗区：管理区以及装置区外系统管廊区等。</w:t>
            </w:r>
          </w:p>
        </w:tc>
        <w:tc>
          <w:tcPr>
            <w:tcW w:w="635" w:type="pct"/>
            <w:vAlign w:val="center"/>
          </w:tcPr>
          <w:p w14:paraId="459D0E0A">
            <w:pPr>
              <w:pStyle w:val="127"/>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新建</w:t>
            </w:r>
          </w:p>
        </w:tc>
      </w:tr>
    </w:tbl>
    <w:p w14:paraId="7B46EF2E">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39" w:name="_Toc8274"/>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主要原辅材料消耗</w:t>
      </w:r>
      <w:bookmarkEnd w:id="139"/>
    </w:p>
    <w:p w14:paraId="7BBF751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本项目不使用餐饮隔油池废油和</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地沟油</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，建设单位应与合法企业签订原料收购协议，不符合要求的原辅材料不予进厂（原料</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食品加工企业废油</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中含水杂不超过10%，其中含水≤5%、含渣≤5%）。</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项目原料主要来自园区内</w:t>
      </w:r>
      <w:r>
        <w:rPr>
          <w:rFonts w:hint="default" w:ascii="Times New Roman" w:hAnsi="Times New Roman" w:eastAsia="宋体" w:cs="Times New Roman"/>
          <w:color w:val="000000" w:themeColor="text1"/>
          <w:u w:val="none" w:color="auto"/>
          <w:lang w:eastAsia="zh-CN"/>
          <w14:textFill>
            <w14:solidFill>
              <w14:schemeClr w14:val="tx1"/>
            </w14:solidFill>
          </w14:textFill>
        </w:rPr>
        <w:t>食品</w:t>
      </w:r>
      <w:r>
        <w:rPr>
          <w:rFonts w:hint="default" w:ascii="Times New Roman" w:hAnsi="Times New Roman" w:eastAsia="宋体" w:cs="Times New Roman"/>
          <w:color w:val="000000" w:themeColor="text1"/>
          <w:u w:val="none" w:color="auto"/>
          <w14:textFill>
            <w14:solidFill>
              <w14:schemeClr w14:val="tx1"/>
            </w14:solidFill>
          </w14:textFill>
        </w:rPr>
        <w:t>厂</w:t>
      </w:r>
      <w:r>
        <w:rPr>
          <w:rFonts w:hint="default" w:ascii="Times New Roman" w:hAnsi="Times New Roman" w:eastAsia="宋体" w:cs="Times New Roman"/>
          <w:color w:val="000000" w:themeColor="text1"/>
          <w:u w:val="none" w:color="auto"/>
          <w:lang w:eastAsia="zh-CN"/>
          <w14:textFill>
            <w14:solidFill>
              <w14:schemeClr w14:val="tx1"/>
            </w14:solidFill>
          </w14:textFill>
        </w:rPr>
        <w:t>隔油池</w:t>
      </w:r>
      <w:r>
        <w:rPr>
          <w:rFonts w:hint="default" w:ascii="Times New Roman" w:hAnsi="Times New Roman" w:eastAsia="宋体" w:cs="Times New Roman"/>
          <w:color w:val="000000" w:themeColor="text1"/>
          <w:u w:val="none" w:color="auto"/>
          <w14:textFill>
            <w14:solidFill>
              <w14:schemeClr w14:val="tx1"/>
            </w14:solidFill>
          </w14:textFill>
        </w:rPr>
        <w:t>产生的</w:t>
      </w:r>
      <w:r>
        <w:rPr>
          <w:rFonts w:hint="default" w:ascii="Times New Roman" w:hAnsi="Times New Roman" w:eastAsia="宋体" w:cs="Times New Roman"/>
          <w:color w:val="000000" w:themeColor="text1"/>
          <w:u w:val="none" w:color="auto"/>
          <w:lang w:eastAsia="zh-CN"/>
          <w14:textFill>
            <w14:solidFill>
              <w14:schemeClr w14:val="tx1"/>
            </w14:solidFill>
          </w14:textFill>
        </w:rPr>
        <w:t>浮渣、</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项目原辅材料使用情况如下：</w:t>
      </w:r>
    </w:p>
    <w:p w14:paraId="0533757D">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项目原辅材料用料及能源消耗情况一览表</w:t>
      </w:r>
    </w:p>
    <w:tbl>
      <w:tblPr>
        <w:tblStyle w:val="3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45"/>
        <w:gridCol w:w="1388"/>
        <w:gridCol w:w="1420"/>
        <w:gridCol w:w="1150"/>
        <w:gridCol w:w="1310"/>
        <w:gridCol w:w="2324"/>
      </w:tblGrid>
      <w:tr w14:paraId="5C4687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trPr>
        <w:tc>
          <w:tcPr>
            <w:tcW w:w="447" w:type="pct"/>
            <w:tcBorders>
              <w:top w:val="single" w:color="auto" w:sz="12" w:space="0"/>
              <w:left w:val="single" w:color="auto" w:sz="12" w:space="0"/>
              <w:bottom w:val="single" w:color="auto" w:sz="4" w:space="0"/>
              <w:right w:val="single" w:color="auto" w:sz="4" w:space="0"/>
            </w:tcBorders>
            <w:vAlign w:val="center"/>
          </w:tcPr>
          <w:p w14:paraId="6F266A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832" w:type="pct"/>
            <w:tcBorders>
              <w:top w:val="single" w:color="auto" w:sz="12" w:space="0"/>
              <w:left w:val="single" w:color="auto" w:sz="4" w:space="0"/>
              <w:bottom w:val="single" w:color="auto" w:sz="4" w:space="0"/>
              <w:right w:val="single" w:color="auto" w:sz="4" w:space="0"/>
            </w:tcBorders>
            <w:vAlign w:val="center"/>
          </w:tcPr>
          <w:p w14:paraId="70900F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851" w:type="pct"/>
            <w:tcBorders>
              <w:top w:val="single" w:color="auto" w:sz="12" w:space="0"/>
              <w:left w:val="single" w:color="auto" w:sz="4" w:space="0"/>
              <w:bottom w:val="single" w:color="auto" w:sz="4" w:space="0"/>
              <w:right w:val="single" w:color="auto" w:sz="4" w:space="0"/>
            </w:tcBorders>
            <w:vAlign w:val="center"/>
          </w:tcPr>
          <w:p w14:paraId="13C7F7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消耗量</w:t>
            </w:r>
          </w:p>
          <w:p w14:paraId="3774E3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（t/a）</w:t>
            </w:r>
          </w:p>
        </w:tc>
        <w:tc>
          <w:tcPr>
            <w:tcW w:w="689" w:type="pct"/>
            <w:tcBorders>
              <w:top w:val="single" w:color="auto" w:sz="12" w:space="0"/>
              <w:left w:val="single" w:color="auto" w:sz="4" w:space="0"/>
              <w:bottom w:val="single" w:color="auto" w:sz="4" w:space="0"/>
              <w:right w:val="single" w:color="auto" w:sz="4" w:space="0"/>
            </w:tcBorders>
            <w:vAlign w:val="center"/>
          </w:tcPr>
          <w:p w14:paraId="1A0366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厂区最大储存量（t）</w:t>
            </w:r>
          </w:p>
        </w:tc>
        <w:tc>
          <w:tcPr>
            <w:tcW w:w="785" w:type="pct"/>
            <w:tcBorders>
              <w:top w:val="single" w:color="auto" w:sz="12" w:space="0"/>
              <w:left w:val="single" w:color="auto" w:sz="4" w:space="0"/>
              <w:bottom w:val="single" w:color="auto" w:sz="4" w:space="0"/>
              <w:right w:val="single" w:color="auto" w:sz="4" w:space="0"/>
            </w:tcBorders>
            <w:vAlign w:val="center"/>
          </w:tcPr>
          <w:p w14:paraId="53DFCA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储存位置</w:t>
            </w:r>
          </w:p>
        </w:tc>
        <w:tc>
          <w:tcPr>
            <w:tcW w:w="1393" w:type="pct"/>
            <w:tcBorders>
              <w:top w:val="single" w:color="auto" w:sz="12" w:space="0"/>
              <w:left w:val="single" w:color="auto" w:sz="4" w:space="0"/>
              <w:bottom w:val="single" w:color="auto" w:sz="4" w:space="0"/>
              <w:right w:val="single" w:color="auto" w:sz="12" w:space="0"/>
            </w:tcBorders>
            <w:vAlign w:val="center"/>
          </w:tcPr>
          <w:p w14:paraId="49BE3E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来源</w:t>
            </w:r>
          </w:p>
        </w:tc>
      </w:tr>
      <w:tr w14:paraId="73351E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44" w:hRule="atLeast"/>
        </w:trPr>
        <w:tc>
          <w:tcPr>
            <w:tcW w:w="447" w:type="pct"/>
            <w:tcBorders>
              <w:top w:val="single" w:color="auto" w:sz="4" w:space="0"/>
              <w:left w:val="single" w:color="auto" w:sz="12" w:space="0"/>
              <w:bottom w:val="single" w:color="auto" w:sz="4" w:space="0"/>
              <w:right w:val="single" w:color="auto" w:sz="4" w:space="0"/>
            </w:tcBorders>
            <w:vAlign w:val="center"/>
          </w:tcPr>
          <w:p w14:paraId="27641F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832" w:type="pct"/>
            <w:tcBorders>
              <w:top w:val="single" w:color="auto" w:sz="4" w:space="0"/>
              <w:left w:val="single" w:color="auto" w:sz="4" w:space="0"/>
              <w:bottom w:val="single" w:color="auto" w:sz="4" w:space="0"/>
              <w:right w:val="single" w:color="auto" w:sz="4" w:space="0"/>
            </w:tcBorders>
            <w:vAlign w:val="center"/>
          </w:tcPr>
          <w:p w14:paraId="06A844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隔油池浮渣</w:t>
            </w:r>
          </w:p>
        </w:tc>
        <w:tc>
          <w:tcPr>
            <w:tcW w:w="851" w:type="pct"/>
            <w:tcBorders>
              <w:top w:val="single" w:color="auto" w:sz="4" w:space="0"/>
              <w:left w:val="single" w:color="auto" w:sz="4" w:space="0"/>
              <w:bottom w:val="single" w:color="auto" w:sz="4" w:space="0"/>
              <w:right w:val="single" w:color="auto" w:sz="4" w:space="0"/>
            </w:tcBorders>
            <w:vAlign w:val="center"/>
          </w:tcPr>
          <w:p w14:paraId="033D5D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4194</w:t>
            </w:r>
          </w:p>
        </w:tc>
        <w:tc>
          <w:tcPr>
            <w:tcW w:w="689" w:type="pct"/>
            <w:tcBorders>
              <w:top w:val="single" w:color="auto" w:sz="4" w:space="0"/>
              <w:left w:val="single" w:color="auto" w:sz="4" w:space="0"/>
              <w:bottom w:val="single" w:color="auto" w:sz="4" w:space="0"/>
              <w:right w:val="single" w:color="auto" w:sz="4" w:space="0"/>
            </w:tcBorders>
            <w:vAlign w:val="center"/>
          </w:tcPr>
          <w:p w14:paraId="3CE89D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100</w:t>
            </w:r>
          </w:p>
        </w:tc>
        <w:tc>
          <w:tcPr>
            <w:tcW w:w="785" w:type="pct"/>
            <w:tcBorders>
              <w:top w:val="single" w:color="auto" w:sz="4" w:space="0"/>
              <w:left w:val="single" w:color="auto" w:sz="4" w:space="0"/>
              <w:bottom w:val="single" w:color="auto" w:sz="4" w:space="0"/>
              <w:right w:val="single" w:color="auto" w:sz="4" w:space="0"/>
            </w:tcBorders>
            <w:vAlign w:val="center"/>
          </w:tcPr>
          <w:p w14:paraId="0CFA61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制浆罐、加热罐、搅拌罐</w:t>
            </w:r>
          </w:p>
        </w:tc>
        <w:tc>
          <w:tcPr>
            <w:tcW w:w="1393" w:type="pct"/>
            <w:vMerge w:val="restart"/>
            <w:tcBorders>
              <w:top w:val="single" w:color="auto" w:sz="4" w:space="0"/>
              <w:left w:val="single" w:color="auto" w:sz="4" w:space="0"/>
              <w:right w:val="single" w:color="auto" w:sz="12" w:space="0"/>
            </w:tcBorders>
            <w:vAlign w:val="center"/>
          </w:tcPr>
          <w:p w14:paraId="03805409">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湖南</w:t>
            </w:r>
            <w:r>
              <w:rPr>
                <w:rFonts w:hint="eastAsia" w:eastAsia="宋体" w:cs="Times New Roman"/>
                <w:color w:val="000000" w:themeColor="text1"/>
                <w:u w:val="none" w:color="auto"/>
                <w:lang w:val="en-US" w:eastAsia="zh-CN"/>
                <w14:textFill>
                  <w14:solidFill>
                    <w14:schemeClr w14:val="tx1"/>
                  </w14:solidFill>
                </w14:textFill>
              </w:rPr>
              <w:t>咚咚</w:t>
            </w:r>
            <w:r>
              <w:rPr>
                <w:rFonts w:hint="default" w:ascii="Times New Roman" w:hAnsi="Times New Roman" w:eastAsia="宋体" w:cs="Times New Roman"/>
                <w:color w:val="000000" w:themeColor="text1"/>
                <w:u w:val="none" w:color="auto"/>
                <w14:textFill>
                  <w14:solidFill>
                    <w14:schemeClr w14:val="tx1"/>
                  </w14:solidFill>
                </w14:textFill>
              </w:rPr>
              <w:t>食品有限公司</w:t>
            </w:r>
            <w:r>
              <w:rPr>
                <w:rFonts w:hint="default" w:ascii="Times New Roman" w:hAnsi="Times New Roman" w:eastAsia="宋体" w:cs="Times New Roman"/>
                <w:color w:val="000000" w:themeColor="text1"/>
                <w:u w:val="none" w:color="auto"/>
                <w:lang w:eastAsia="zh-CN"/>
                <w14:textFill>
                  <w14:solidFill>
                    <w14:schemeClr w14:val="tx1"/>
                  </w14:solidFill>
                </w14:textFill>
              </w:rPr>
              <w:t>、湖南省飞腾食品有限公司、湖南湘春食品有限公司、湖南中楚粮餐饮管理有限责任公司、湖南省原本记忆食品有限公司、岳阳市润隆食品有限公司</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等熟食加工厂、方便食品制造企业。</w:t>
            </w:r>
          </w:p>
        </w:tc>
      </w:tr>
      <w:tr w14:paraId="43745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47" w:type="pct"/>
            <w:tcBorders>
              <w:top w:val="single" w:color="auto" w:sz="4" w:space="0"/>
              <w:left w:val="single" w:color="auto" w:sz="12" w:space="0"/>
              <w:bottom w:val="single" w:color="auto" w:sz="4" w:space="0"/>
              <w:right w:val="single" w:color="auto" w:sz="4" w:space="0"/>
            </w:tcBorders>
            <w:vAlign w:val="center"/>
          </w:tcPr>
          <w:p w14:paraId="23C276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832" w:type="pct"/>
            <w:tcBorders>
              <w:top w:val="single" w:color="auto" w:sz="4" w:space="0"/>
              <w:left w:val="single" w:color="auto" w:sz="4" w:space="0"/>
              <w:bottom w:val="single" w:color="auto" w:sz="4" w:space="0"/>
              <w:right w:val="single" w:color="auto" w:sz="4" w:space="0"/>
            </w:tcBorders>
            <w:vAlign w:val="center"/>
          </w:tcPr>
          <w:p w14:paraId="735175C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w:t>
            </w:r>
          </w:p>
        </w:tc>
        <w:tc>
          <w:tcPr>
            <w:tcW w:w="851" w:type="pct"/>
            <w:tcBorders>
              <w:top w:val="single" w:color="auto" w:sz="4" w:space="0"/>
              <w:left w:val="single" w:color="auto" w:sz="4" w:space="0"/>
              <w:bottom w:val="single" w:color="auto" w:sz="4" w:space="0"/>
              <w:right w:val="single" w:color="auto" w:sz="4" w:space="0"/>
            </w:tcBorders>
            <w:vAlign w:val="center"/>
          </w:tcPr>
          <w:p w14:paraId="544D92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6291</w:t>
            </w:r>
          </w:p>
        </w:tc>
        <w:tc>
          <w:tcPr>
            <w:tcW w:w="689" w:type="pct"/>
            <w:tcBorders>
              <w:top w:val="single" w:color="auto" w:sz="4" w:space="0"/>
              <w:left w:val="single" w:color="auto" w:sz="4" w:space="0"/>
              <w:bottom w:val="single" w:color="auto" w:sz="4" w:space="0"/>
              <w:right w:val="single" w:color="auto" w:sz="4" w:space="0"/>
            </w:tcBorders>
            <w:vAlign w:val="center"/>
          </w:tcPr>
          <w:p w14:paraId="659385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9</w:t>
            </w:r>
          </w:p>
        </w:tc>
        <w:tc>
          <w:tcPr>
            <w:tcW w:w="785" w:type="pct"/>
            <w:tcBorders>
              <w:top w:val="single" w:color="auto" w:sz="4" w:space="0"/>
              <w:left w:val="single" w:color="auto" w:sz="4" w:space="0"/>
              <w:bottom w:val="single" w:color="auto" w:sz="4" w:space="0"/>
              <w:right w:val="single" w:color="auto" w:sz="4" w:space="0"/>
            </w:tcBorders>
            <w:vAlign w:val="center"/>
          </w:tcPr>
          <w:p w14:paraId="3711B1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制浆罐</w:t>
            </w:r>
          </w:p>
        </w:tc>
        <w:tc>
          <w:tcPr>
            <w:tcW w:w="1393" w:type="pct"/>
            <w:vMerge w:val="continue"/>
            <w:tcBorders>
              <w:left w:val="single" w:color="auto" w:sz="4" w:space="0"/>
              <w:bottom w:val="single" w:color="auto" w:sz="4" w:space="0"/>
              <w:right w:val="single" w:color="auto" w:sz="12" w:space="0"/>
            </w:tcBorders>
            <w:vAlign w:val="center"/>
          </w:tcPr>
          <w:p w14:paraId="0AD4ED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1774C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47" w:type="pct"/>
            <w:tcBorders>
              <w:top w:val="single" w:color="auto" w:sz="4" w:space="0"/>
              <w:left w:val="single" w:color="auto" w:sz="12" w:space="0"/>
              <w:bottom w:val="single" w:color="auto" w:sz="4" w:space="0"/>
              <w:right w:val="single" w:color="auto" w:sz="4" w:space="0"/>
            </w:tcBorders>
            <w:vAlign w:val="center"/>
          </w:tcPr>
          <w:p w14:paraId="2CFC41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1B35E4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蒸汽</w:t>
            </w:r>
          </w:p>
        </w:tc>
        <w:tc>
          <w:tcPr>
            <w:tcW w:w="851" w:type="pct"/>
            <w:tcBorders>
              <w:top w:val="single" w:color="auto" w:sz="4" w:space="0"/>
              <w:left w:val="single" w:color="auto" w:sz="4" w:space="0"/>
              <w:bottom w:val="single" w:color="auto" w:sz="4" w:space="0"/>
              <w:right w:val="single" w:color="auto" w:sz="4" w:space="0"/>
            </w:tcBorders>
            <w:shd w:val="clear" w:color="auto" w:fill="auto"/>
            <w:vAlign w:val="center"/>
          </w:tcPr>
          <w:p w14:paraId="099CC1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300</w:t>
            </w:r>
          </w:p>
        </w:tc>
        <w:tc>
          <w:tcPr>
            <w:tcW w:w="689" w:type="pct"/>
            <w:tcBorders>
              <w:top w:val="single" w:color="auto" w:sz="4" w:space="0"/>
              <w:left w:val="single" w:color="auto" w:sz="4" w:space="0"/>
              <w:bottom w:val="single" w:color="auto" w:sz="4" w:space="0"/>
              <w:right w:val="single" w:color="auto" w:sz="4" w:space="0"/>
            </w:tcBorders>
            <w:shd w:val="clear" w:color="auto" w:fill="auto"/>
            <w:vAlign w:val="center"/>
          </w:tcPr>
          <w:p w14:paraId="25D588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785" w:type="pct"/>
            <w:tcBorders>
              <w:top w:val="single" w:color="auto" w:sz="4" w:space="0"/>
              <w:left w:val="single" w:color="auto" w:sz="4" w:space="0"/>
              <w:bottom w:val="single" w:color="auto" w:sz="4" w:space="0"/>
              <w:right w:val="single" w:color="auto" w:sz="4" w:space="0"/>
            </w:tcBorders>
            <w:shd w:val="clear" w:color="auto" w:fill="auto"/>
            <w:vAlign w:val="center"/>
          </w:tcPr>
          <w:p w14:paraId="6DCA9EDA">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c>
          <w:tcPr>
            <w:tcW w:w="1393" w:type="pct"/>
            <w:vMerge w:val="restart"/>
            <w:tcBorders>
              <w:top w:val="single" w:color="auto" w:sz="4" w:space="0"/>
              <w:left w:val="single" w:color="auto" w:sz="4" w:space="0"/>
              <w:right w:val="single" w:color="auto" w:sz="12" w:space="0"/>
            </w:tcBorders>
            <w:vAlign w:val="center"/>
          </w:tcPr>
          <w:p w14:paraId="573E24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依托园区供应</w:t>
            </w:r>
          </w:p>
        </w:tc>
      </w:tr>
      <w:tr w14:paraId="2B410C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47" w:type="pct"/>
            <w:tcBorders>
              <w:top w:val="single" w:color="auto" w:sz="4" w:space="0"/>
              <w:left w:val="single" w:color="auto" w:sz="12" w:space="0"/>
              <w:bottom w:val="single" w:color="auto" w:sz="4" w:space="0"/>
              <w:right w:val="single" w:color="auto" w:sz="4" w:space="0"/>
            </w:tcBorders>
            <w:vAlign w:val="center"/>
          </w:tcPr>
          <w:p w14:paraId="4A25DD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1EBBEC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水</w:t>
            </w:r>
          </w:p>
        </w:tc>
        <w:tc>
          <w:tcPr>
            <w:tcW w:w="851" w:type="pct"/>
            <w:tcBorders>
              <w:top w:val="single" w:color="auto" w:sz="4" w:space="0"/>
              <w:left w:val="single" w:color="auto" w:sz="4" w:space="0"/>
              <w:bottom w:val="single" w:color="auto" w:sz="4" w:space="0"/>
              <w:right w:val="single" w:color="auto" w:sz="4" w:space="0"/>
            </w:tcBorders>
            <w:shd w:val="clear" w:color="auto" w:fill="auto"/>
            <w:vAlign w:val="center"/>
          </w:tcPr>
          <w:p w14:paraId="2C66B3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952</w:t>
            </w:r>
          </w:p>
        </w:tc>
        <w:tc>
          <w:tcPr>
            <w:tcW w:w="689" w:type="pct"/>
            <w:tcBorders>
              <w:top w:val="single" w:color="auto" w:sz="4" w:space="0"/>
              <w:left w:val="single" w:color="auto" w:sz="4" w:space="0"/>
              <w:bottom w:val="single" w:color="auto" w:sz="4" w:space="0"/>
              <w:right w:val="single" w:color="auto" w:sz="4" w:space="0"/>
            </w:tcBorders>
            <w:shd w:val="clear" w:color="auto" w:fill="auto"/>
            <w:vAlign w:val="center"/>
          </w:tcPr>
          <w:p w14:paraId="0DE3AB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785" w:type="pct"/>
            <w:tcBorders>
              <w:top w:val="single" w:color="auto" w:sz="4" w:space="0"/>
              <w:left w:val="single" w:color="auto" w:sz="4" w:space="0"/>
              <w:bottom w:val="single" w:color="auto" w:sz="4" w:space="0"/>
              <w:right w:val="single" w:color="auto" w:sz="4" w:space="0"/>
            </w:tcBorders>
            <w:shd w:val="clear" w:color="auto" w:fill="auto"/>
            <w:vAlign w:val="center"/>
          </w:tcPr>
          <w:p w14:paraId="0DBB4B38">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c>
          <w:tcPr>
            <w:tcW w:w="1393" w:type="pct"/>
            <w:vMerge w:val="continue"/>
            <w:tcBorders>
              <w:left w:val="single" w:color="auto" w:sz="4" w:space="0"/>
              <w:right w:val="single" w:color="auto" w:sz="12" w:space="0"/>
            </w:tcBorders>
            <w:vAlign w:val="center"/>
          </w:tcPr>
          <w:p w14:paraId="20ACBC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82AC0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47" w:type="pct"/>
            <w:tcBorders>
              <w:top w:val="single" w:color="auto" w:sz="4" w:space="0"/>
              <w:left w:val="single" w:color="auto" w:sz="12" w:space="0"/>
              <w:bottom w:val="single" w:color="auto" w:sz="4" w:space="0"/>
              <w:right w:val="single" w:color="auto" w:sz="4" w:space="0"/>
            </w:tcBorders>
            <w:vAlign w:val="center"/>
          </w:tcPr>
          <w:p w14:paraId="3FCF9C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1E7F73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电</w:t>
            </w:r>
          </w:p>
        </w:tc>
        <w:tc>
          <w:tcPr>
            <w:tcW w:w="851" w:type="pct"/>
            <w:tcBorders>
              <w:top w:val="single" w:color="auto" w:sz="4" w:space="0"/>
              <w:left w:val="single" w:color="auto" w:sz="4" w:space="0"/>
              <w:bottom w:val="single" w:color="auto" w:sz="4" w:space="0"/>
              <w:right w:val="single" w:color="auto" w:sz="4" w:space="0"/>
            </w:tcBorders>
            <w:shd w:val="clear" w:color="auto" w:fill="auto"/>
            <w:vAlign w:val="center"/>
          </w:tcPr>
          <w:p w14:paraId="777187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30</w:t>
            </w:r>
            <w:r>
              <w:rPr>
                <w:rFonts w:hint="default" w:ascii="Times New Roman" w:hAnsi="Times New Roman" w:eastAsia="宋体" w:cs="Times New Roman"/>
                <w:color w:val="000000" w:themeColor="text1"/>
                <w:u w:val="none" w:color="auto"/>
                <w14:textFill>
                  <w14:solidFill>
                    <w14:schemeClr w14:val="tx1"/>
                  </w14:solidFill>
                </w14:textFill>
              </w:rPr>
              <w:t>万kW·h/a</w:t>
            </w:r>
          </w:p>
        </w:tc>
        <w:tc>
          <w:tcPr>
            <w:tcW w:w="689" w:type="pct"/>
            <w:tcBorders>
              <w:top w:val="single" w:color="auto" w:sz="4" w:space="0"/>
              <w:left w:val="single" w:color="auto" w:sz="4" w:space="0"/>
              <w:bottom w:val="single" w:color="auto" w:sz="4" w:space="0"/>
              <w:right w:val="single" w:color="auto" w:sz="4" w:space="0"/>
            </w:tcBorders>
            <w:shd w:val="clear" w:color="auto" w:fill="auto"/>
            <w:vAlign w:val="center"/>
          </w:tcPr>
          <w:p w14:paraId="5E9DF4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785" w:type="pct"/>
            <w:tcBorders>
              <w:top w:val="single" w:color="auto" w:sz="4" w:space="0"/>
              <w:left w:val="single" w:color="auto" w:sz="4" w:space="0"/>
              <w:bottom w:val="single" w:color="auto" w:sz="4" w:space="0"/>
              <w:right w:val="single" w:color="auto" w:sz="4" w:space="0"/>
            </w:tcBorders>
            <w:shd w:val="clear" w:color="auto" w:fill="auto"/>
            <w:vAlign w:val="center"/>
          </w:tcPr>
          <w:p w14:paraId="644C65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1393" w:type="pct"/>
            <w:vMerge w:val="continue"/>
            <w:tcBorders>
              <w:left w:val="single" w:color="auto" w:sz="4" w:space="0"/>
              <w:bottom w:val="single" w:color="auto" w:sz="4" w:space="0"/>
              <w:right w:val="single" w:color="auto" w:sz="12" w:space="0"/>
            </w:tcBorders>
            <w:vAlign w:val="center"/>
          </w:tcPr>
          <w:p w14:paraId="676E29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bl>
    <w:p w14:paraId="06DCAD0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根据建设单位市场调查，项目原辅材料成分见下表。</w:t>
      </w:r>
    </w:p>
    <w:p w14:paraId="711F07B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项目原料组分情况</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3" w:type="dxa"/>
          <w:bottom w:w="0" w:type="dxa"/>
          <w:right w:w="23" w:type="dxa"/>
        </w:tblCellMar>
      </w:tblPr>
      <w:tblGrid>
        <w:gridCol w:w="2286"/>
        <w:gridCol w:w="1815"/>
        <w:gridCol w:w="2126"/>
        <w:gridCol w:w="2128"/>
      </w:tblGrid>
      <w:tr w14:paraId="45D810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368" w:type="pct"/>
            <w:vMerge w:val="restart"/>
            <w:vAlign w:val="center"/>
          </w:tcPr>
          <w:p w14:paraId="4CE745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p>
        </w:tc>
        <w:tc>
          <w:tcPr>
            <w:tcW w:w="1086" w:type="pct"/>
            <w:vMerge w:val="restart"/>
            <w:vAlign w:val="center"/>
          </w:tcPr>
          <w:p w14:paraId="71ADE0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单位</w:t>
            </w:r>
          </w:p>
        </w:tc>
        <w:tc>
          <w:tcPr>
            <w:tcW w:w="2545" w:type="pct"/>
            <w:gridSpan w:val="2"/>
            <w:vAlign w:val="center"/>
          </w:tcPr>
          <w:p w14:paraId="5572B4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技术要求</w:t>
            </w:r>
          </w:p>
        </w:tc>
      </w:tr>
      <w:tr w14:paraId="3E26A2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368" w:type="pct"/>
            <w:vMerge w:val="continue"/>
            <w:vAlign w:val="center"/>
          </w:tcPr>
          <w:p w14:paraId="5E1AFD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86" w:type="pct"/>
            <w:vMerge w:val="continue"/>
            <w:vAlign w:val="center"/>
          </w:tcPr>
          <w:p w14:paraId="5A91AF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1272" w:type="pct"/>
            <w:vAlign w:val="center"/>
          </w:tcPr>
          <w:p w14:paraId="311D59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隔油池浮渣</w:t>
            </w:r>
          </w:p>
        </w:tc>
        <w:tc>
          <w:tcPr>
            <w:tcW w:w="1273" w:type="pct"/>
            <w:vAlign w:val="center"/>
          </w:tcPr>
          <w:p w14:paraId="3C7469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w:t>
            </w:r>
          </w:p>
        </w:tc>
      </w:tr>
      <w:tr w14:paraId="01CBE7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368" w:type="pct"/>
            <w:vAlign w:val="center"/>
          </w:tcPr>
          <w:p w14:paraId="6E3729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含油率</w:t>
            </w:r>
          </w:p>
        </w:tc>
        <w:tc>
          <w:tcPr>
            <w:tcW w:w="1086" w:type="pct"/>
            <w:vAlign w:val="center"/>
          </w:tcPr>
          <w:p w14:paraId="2E60C9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%（质量分数）</w:t>
            </w:r>
          </w:p>
        </w:tc>
        <w:tc>
          <w:tcPr>
            <w:tcW w:w="1272" w:type="pct"/>
            <w:vAlign w:val="center"/>
          </w:tcPr>
          <w:p w14:paraId="2DFF75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1273" w:type="pct"/>
            <w:vAlign w:val="center"/>
          </w:tcPr>
          <w:p w14:paraId="44F68F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94</w:t>
            </w:r>
          </w:p>
        </w:tc>
      </w:tr>
      <w:tr w14:paraId="6DD7E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368" w:type="pct"/>
            <w:vAlign w:val="center"/>
          </w:tcPr>
          <w:p w14:paraId="664AEA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含水率</w:t>
            </w:r>
          </w:p>
        </w:tc>
        <w:tc>
          <w:tcPr>
            <w:tcW w:w="1086" w:type="pct"/>
            <w:vAlign w:val="center"/>
          </w:tcPr>
          <w:p w14:paraId="3224FD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%（质量分数）</w:t>
            </w:r>
          </w:p>
        </w:tc>
        <w:tc>
          <w:tcPr>
            <w:tcW w:w="1272" w:type="pct"/>
            <w:vAlign w:val="center"/>
          </w:tcPr>
          <w:p w14:paraId="12776B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1273" w:type="pct"/>
            <w:vAlign w:val="center"/>
          </w:tcPr>
          <w:p w14:paraId="54A4B6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r>
      <w:tr w14:paraId="5AD9C8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368" w:type="pct"/>
            <w:vAlign w:val="center"/>
          </w:tcPr>
          <w:p w14:paraId="1BC3EF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含渣率</w:t>
            </w:r>
          </w:p>
        </w:tc>
        <w:tc>
          <w:tcPr>
            <w:tcW w:w="1086" w:type="pct"/>
            <w:vAlign w:val="center"/>
          </w:tcPr>
          <w:p w14:paraId="020E3E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%（质量分数）</w:t>
            </w:r>
          </w:p>
        </w:tc>
        <w:tc>
          <w:tcPr>
            <w:tcW w:w="1272" w:type="pct"/>
            <w:vAlign w:val="center"/>
          </w:tcPr>
          <w:p w14:paraId="5B4252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1273" w:type="pct"/>
            <w:vAlign w:val="center"/>
          </w:tcPr>
          <w:p w14:paraId="2CC446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r>
      <w:tr w14:paraId="3BF5D9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368" w:type="pct"/>
            <w:shd w:val="clear" w:color="auto" w:fill="auto"/>
            <w:vAlign w:val="center"/>
          </w:tcPr>
          <w:p w14:paraId="43E96E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酸值（以KOH计）</w:t>
            </w:r>
          </w:p>
        </w:tc>
        <w:tc>
          <w:tcPr>
            <w:tcW w:w="1086" w:type="pct"/>
            <w:shd w:val="clear" w:color="auto" w:fill="auto"/>
            <w:vAlign w:val="center"/>
          </w:tcPr>
          <w:p w14:paraId="55A5B8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mg/g</w:t>
            </w:r>
          </w:p>
        </w:tc>
        <w:tc>
          <w:tcPr>
            <w:tcW w:w="2545" w:type="pct"/>
            <w:gridSpan w:val="2"/>
            <w:shd w:val="clear" w:color="auto" w:fill="auto"/>
            <w:vAlign w:val="center"/>
          </w:tcPr>
          <w:p w14:paraId="52ED0E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w:t>
            </w:r>
          </w:p>
        </w:tc>
      </w:tr>
      <w:tr w14:paraId="027495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368" w:type="pct"/>
            <w:vAlign w:val="center"/>
          </w:tcPr>
          <w:p w14:paraId="66DF07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碘值</w:t>
            </w:r>
          </w:p>
        </w:tc>
        <w:tc>
          <w:tcPr>
            <w:tcW w:w="1086" w:type="pct"/>
            <w:vAlign w:val="center"/>
          </w:tcPr>
          <w:p w14:paraId="1A2689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g/100g</w:t>
            </w:r>
          </w:p>
        </w:tc>
        <w:tc>
          <w:tcPr>
            <w:tcW w:w="2545" w:type="pct"/>
            <w:gridSpan w:val="2"/>
            <w:vAlign w:val="center"/>
          </w:tcPr>
          <w:p w14:paraId="38909D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75～80</w:t>
            </w:r>
          </w:p>
        </w:tc>
      </w:tr>
      <w:tr w14:paraId="409992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368" w:type="pct"/>
            <w:vAlign w:val="center"/>
          </w:tcPr>
          <w:p w14:paraId="4AA67E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皂化值</w:t>
            </w:r>
          </w:p>
        </w:tc>
        <w:tc>
          <w:tcPr>
            <w:tcW w:w="1086" w:type="pct"/>
            <w:vAlign w:val="center"/>
          </w:tcPr>
          <w:p w14:paraId="08EFD1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mg/g</w:t>
            </w:r>
          </w:p>
        </w:tc>
        <w:tc>
          <w:tcPr>
            <w:tcW w:w="2545" w:type="pct"/>
            <w:gridSpan w:val="2"/>
            <w:vAlign w:val="center"/>
          </w:tcPr>
          <w:p w14:paraId="60CE68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≥190</w:t>
            </w:r>
          </w:p>
        </w:tc>
      </w:tr>
    </w:tbl>
    <w:p w14:paraId="717A52F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40" w:name="_Toc26798"/>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产品方案及规模</w:t>
      </w:r>
      <w:bookmarkEnd w:id="140"/>
    </w:p>
    <w:p w14:paraId="5B8EC5C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本项目通过对</w:t>
      </w:r>
      <w:r>
        <w:rPr>
          <w:rFonts w:hint="default" w:ascii="Times New Roman" w:hAnsi="Times New Roman" w:eastAsia="宋体" w:cs="Times New Roman"/>
          <w:color w:val="000000" w:themeColor="text1"/>
          <w:u w:val="none" w:color="auto"/>
          <w:lang w:eastAsia="zh-CN"/>
          <w14:textFill>
            <w14:solidFill>
              <w14:schemeClr w14:val="tx1"/>
            </w14:solidFill>
          </w14:textFill>
        </w:rPr>
        <w:t>食品</w:t>
      </w:r>
      <w:r>
        <w:rPr>
          <w:rFonts w:hint="default" w:ascii="Times New Roman" w:hAnsi="Times New Roman" w:eastAsia="宋体" w:cs="Times New Roman"/>
          <w:color w:val="000000" w:themeColor="text1"/>
          <w:u w:val="none" w:color="auto"/>
          <w14:textFill>
            <w14:solidFill>
              <w14:schemeClr w14:val="tx1"/>
            </w14:solidFill>
          </w14:textFill>
        </w:rPr>
        <w:t>厂</w:t>
      </w:r>
      <w:r>
        <w:rPr>
          <w:rFonts w:hint="default" w:ascii="Times New Roman" w:hAnsi="Times New Roman" w:eastAsia="宋体" w:cs="Times New Roman"/>
          <w:color w:val="000000" w:themeColor="text1"/>
          <w:u w:val="none" w:color="auto"/>
          <w:lang w:eastAsia="zh-CN"/>
          <w14:textFill>
            <w14:solidFill>
              <w14:schemeClr w14:val="tx1"/>
            </w14:solidFill>
          </w14:textFill>
        </w:rPr>
        <w:t>隔油池</w:t>
      </w:r>
      <w:r>
        <w:rPr>
          <w:rFonts w:hint="default" w:ascii="Times New Roman" w:hAnsi="Times New Roman" w:eastAsia="宋体" w:cs="Times New Roman"/>
          <w:color w:val="000000" w:themeColor="text1"/>
          <w:u w:val="none" w:color="auto"/>
          <w14:textFill>
            <w14:solidFill>
              <w14:schemeClr w14:val="tx1"/>
            </w14:solidFill>
          </w14:textFill>
        </w:rPr>
        <w:t>产生的</w:t>
      </w:r>
      <w:r>
        <w:rPr>
          <w:rFonts w:hint="default" w:ascii="Times New Roman" w:hAnsi="Times New Roman" w:eastAsia="宋体" w:cs="Times New Roman"/>
          <w:color w:val="000000" w:themeColor="text1"/>
          <w:u w:val="none" w:color="auto"/>
          <w:lang w:eastAsia="zh-CN"/>
          <w14:textFill>
            <w14:solidFill>
              <w14:schemeClr w14:val="tx1"/>
            </w14:solidFill>
          </w14:textFill>
        </w:rPr>
        <w:t>浮渣、</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w:t>
      </w:r>
      <w:r>
        <w:rPr>
          <w:rFonts w:hint="default" w:ascii="Times New Roman" w:hAnsi="Times New Roman" w:eastAsia="宋体" w:cs="Times New Roman"/>
          <w:color w:val="000000" w:themeColor="text1"/>
          <w:u w:val="none" w:color="auto"/>
          <w14:textFill>
            <w14:solidFill>
              <w14:schemeClr w14:val="tx1"/>
            </w14:solidFill>
          </w14:textFill>
        </w:rPr>
        <w:t>进行</w:t>
      </w:r>
      <w:r>
        <w:rPr>
          <w:rFonts w:hint="default" w:ascii="Times New Roman" w:hAnsi="Times New Roman" w:eastAsia="宋体" w:cs="Times New Roman"/>
          <w:color w:val="000000" w:themeColor="text1"/>
          <w:u w:val="none" w:color="auto"/>
          <w:lang w:eastAsia="zh-CN"/>
          <w14:textFill>
            <w14:solidFill>
              <w14:schemeClr w14:val="tx1"/>
            </w14:solidFill>
          </w14:textFill>
        </w:rPr>
        <w:t>过滤、</w:t>
      </w:r>
      <w:r>
        <w:rPr>
          <w:rFonts w:hint="default" w:ascii="Times New Roman" w:hAnsi="Times New Roman" w:eastAsia="宋体" w:cs="Times New Roman"/>
          <w:color w:val="000000" w:themeColor="text1"/>
          <w:u w:val="none" w:color="auto"/>
          <w14:textFill>
            <w14:solidFill>
              <w14:schemeClr w14:val="tx1"/>
            </w14:solidFill>
          </w14:textFill>
        </w:rPr>
        <w:t>加热、离心处理得到</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工业级混合油</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工业级混合油</w:t>
      </w:r>
      <w:r>
        <w:rPr>
          <w:rFonts w:hint="default" w:ascii="Times New Roman" w:hAnsi="Times New Roman" w:eastAsia="宋体" w:cs="Times New Roman"/>
          <w:color w:val="000000" w:themeColor="text1"/>
          <w:u w:val="none" w:color="auto"/>
          <w14:textFill>
            <w14:solidFill>
              <w14:schemeClr w14:val="tx1"/>
            </w14:solidFill>
          </w14:textFill>
        </w:rPr>
        <w:t>作为本项目产品外售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，用于生产生物柴油等下游产品。</w:t>
      </w:r>
      <w:r>
        <w:rPr>
          <w:rFonts w:hint="default" w:ascii="Times New Roman" w:hAnsi="Times New Roman" w:eastAsia="宋体" w:cs="Times New Roman"/>
          <w:color w:val="000000" w:themeColor="text1"/>
          <w:u w:val="none" w:color="auto"/>
          <w14:textFill>
            <w14:solidFill>
              <w14:schemeClr w14:val="tx1"/>
            </w14:solidFill>
          </w14:textFill>
        </w:rPr>
        <w:t>本项目产品方案详见下表。</w:t>
      </w:r>
    </w:p>
    <w:p w14:paraId="7AA4E6B5">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项目产品方案一览表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2"/>
        <w:gridCol w:w="1525"/>
        <w:gridCol w:w="1630"/>
        <w:gridCol w:w="4548"/>
      </w:tblGrid>
      <w:tr w14:paraId="79AB7E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82" w:type="pct"/>
            <w:vAlign w:val="center"/>
          </w:tcPr>
          <w:p w14:paraId="2333B2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894" w:type="pct"/>
            <w:vAlign w:val="center"/>
          </w:tcPr>
          <w:p w14:paraId="115D59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产品</w:t>
            </w:r>
          </w:p>
        </w:tc>
        <w:tc>
          <w:tcPr>
            <w:tcW w:w="956" w:type="pct"/>
            <w:vAlign w:val="center"/>
          </w:tcPr>
          <w:p w14:paraId="453E5C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产品产量（t/a）</w:t>
            </w:r>
          </w:p>
        </w:tc>
        <w:tc>
          <w:tcPr>
            <w:tcW w:w="2667" w:type="pct"/>
            <w:vAlign w:val="center"/>
          </w:tcPr>
          <w:p w14:paraId="046080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备注</w:t>
            </w:r>
          </w:p>
        </w:tc>
      </w:tr>
      <w:tr w14:paraId="2F3032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82" w:type="pct"/>
            <w:vAlign w:val="center"/>
          </w:tcPr>
          <w:p w14:paraId="431561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894" w:type="pct"/>
            <w:vAlign w:val="center"/>
          </w:tcPr>
          <w:p w14:paraId="265C08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工业级混合油</w:t>
            </w:r>
          </w:p>
        </w:tc>
        <w:tc>
          <w:tcPr>
            <w:tcW w:w="956" w:type="pct"/>
            <w:vAlign w:val="center"/>
          </w:tcPr>
          <w:p w14:paraId="33CDC3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10000</w:t>
            </w:r>
          </w:p>
        </w:tc>
        <w:tc>
          <w:tcPr>
            <w:tcW w:w="2667" w:type="pct"/>
            <w:vAlign w:val="center"/>
          </w:tcPr>
          <w:p w14:paraId="77C795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使用隔油池浮渣生产的工业级混合油约3930 t/a，暂存于3个卧式储罐，最大储存量约110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；使用煎炸废油生产的工业级混合油约6070 t/a，暂存于4个立式储罐，最大储存量约150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1459E17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根据《生物柴油（BD100）原料 废弃油脂》（NB/T 13007-2021），废弃油脂（即为本项目产品）应满足以下质量要求：</w:t>
      </w:r>
    </w:p>
    <w:p w14:paraId="7C4B209D">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w:t>
      </w:r>
      <w:r>
        <w:rPr>
          <w:rFonts w:hint="default" w:ascii="Times New Roman" w:hAnsi="Times New Roman" w:eastAsia="宋体" w:cs="Times New Roman"/>
          <w:color w:val="000000" w:themeColor="text1"/>
          <w:u w:val="none" w:color="auto"/>
          <w14:textFill>
            <w14:solidFill>
              <w14:schemeClr w14:val="tx1"/>
            </w14:solidFill>
          </w14:textFill>
        </w:rPr>
        <w:t>产品质量标准</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3" w:type="dxa"/>
          <w:bottom w:w="0" w:type="dxa"/>
          <w:right w:w="23" w:type="dxa"/>
        </w:tblCellMar>
      </w:tblPr>
      <w:tblGrid>
        <w:gridCol w:w="2600"/>
        <w:gridCol w:w="1823"/>
        <w:gridCol w:w="1308"/>
        <w:gridCol w:w="1308"/>
        <w:gridCol w:w="1316"/>
      </w:tblGrid>
      <w:tr w14:paraId="7692D1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692F1C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p>
        </w:tc>
        <w:tc>
          <w:tcPr>
            <w:tcW w:w="1091" w:type="pct"/>
            <w:vAlign w:val="center"/>
          </w:tcPr>
          <w:p w14:paraId="78F1AB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单位</w:t>
            </w:r>
          </w:p>
        </w:tc>
        <w:tc>
          <w:tcPr>
            <w:tcW w:w="2352" w:type="pct"/>
            <w:gridSpan w:val="3"/>
            <w:vAlign w:val="center"/>
          </w:tcPr>
          <w:p w14:paraId="4F6BD3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技术要求</w:t>
            </w:r>
          </w:p>
        </w:tc>
      </w:tr>
      <w:tr w14:paraId="1D713D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19E4D9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酸值（以KOH计）</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a</w:t>
            </w:r>
          </w:p>
        </w:tc>
        <w:tc>
          <w:tcPr>
            <w:tcW w:w="1091" w:type="pct"/>
            <w:vAlign w:val="center"/>
          </w:tcPr>
          <w:p w14:paraId="7B83DC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mg/g</w:t>
            </w:r>
          </w:p>
        </w:tc>
        <w:tc>
          <w:tcPr>
            <w:tcW w:w="2352" w:type="pct"/>
            <w:gridSpan w:val="3"/>
            <w:vAlign w:val="center"/>
          </w:tcPr>
          <w:p w14:paraId="2E2A07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报告</w:t>
            </w:r>
          </w:p>
        </w:tc>
      </w:tr>
      <w:tr w14:paraId="1483EE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1C61E8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pH值</w:t>
            </w:r>
          </w:p>
        </w:tc>
        <w:tc>
          <w:tcPr>
            <w:tcW w:w="1091" w:type="pct"/>
            <w:vAlign w:val="center"/>
          </w:tcPr>
          <w:p w14:paraId="7312AF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无量纲</w:t>
            </w:r>
          </w:p>
        </w:tc>
        <w:tc>
          <w:tcPr>
            <w:tcW w:w="2352" w:type="pct"/>
            <w:gridSpan w:val="3"/>
            <w:vAlign w:val="center"/>
          </w:tcPr>
          <w:p w14:paraId="7426ED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4.0～7.0</w:t>
            </w:r>
          </w:p>
        </w:tc>
      </w:tr>
      <w:tr w14:paraId="28BB2E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24665E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水分及挥发物+不溶性杂质</w:t>
            </w:r>
          </w:p>
        </w:tc>
        <w:tc>
          <w:tcPr>
            <w:tcW w:w="1091" w:type="pct"/>
            <w:vAlign w:val="center"/>
          </w:tcPr>
          <w:p w14:paraId="0643F6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%（质量分数）</w:t>
            </w:r>
          </w:p>
        </w:tc>
        <w:tc>
          <w:tcPr>
            <w:tcW w:w="2352" w:type="pct"/>
            <w:gridSpan w:val="3"/>
            <w:vAlign w:val="center"/>
          </w:tcPr>
          <w:p w14:paraId="7A1F95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≤3.0</w:t>
            </w:r>
          </w:p>
        </w:tc>
      </w:tr>
      <w:tr w14:paraId="58F0D1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2FFE6F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密度（40℃）</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b</w:t>
            </w:r>
          </w:p>
        </w:tc>
        <w:tc>
          <w:tcPr>
            <w:tcW w:w="1091" w:type="pct"/>
            <w:vAlign w:val="center"/>
          </w:tcPr>
          <w:p w14:paraId="4F0CEC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kg/m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p>
        </w:tc>
        <w:tc>
          <w:tcPr>
            <w:tcW w:w="2352" w:type="pct"/>
            <w:gridSpan w:val="3"/>
            <w:vAlign w:val="center"/>
          </w:tcPr>
          <w:p w14:paraId="56D588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≤915</w:t>
            </w:r>
          </w:p>
        </w:tc>
      </w:tr>
      <w:tr w14:paraId="7DD395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29A759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碘值</w:t>
            </w:r>
          </w:p>
        </w:tc>
        <w:tc>
          <w:tcPr>
            <w:tcW w:w="1091" w:type="pct"/>
            <w:vAlign w:val="center"/>
          </w:tcPr>
          <w:p w14:paraId="141C4E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g/100g</w:t>
            </w:r>
          </w:p>
        </w:tc>
        <w:tc>
          <w:tcPr>
            <w:tcW w:w="2352" w:type="pct"/>
            <w:gridSpan w:val="3"/>
            <w:vAlign w:val="center"/>
          </w:tcPr>
          <w:p w14:paraId="256A65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报告</w:t>
            </w:r>
          </w:p>
        </w:tc>
      </w:tr>
      <w:tr w14:paraId="6DA30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39164A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皂化值</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c</w:t>
            </w:r>
          </w:p>
        </w:tc>
        <w:tc>
          <w:tcPr>
            <w:tcW w:w="1091" w:type="pct"/>
            <w:vAlign w:val="center"/>
          </w:tcPr>
          <w:p w14:paraId="273628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mg/g</w:t>
            </w:r>
          </w:p>
        </w:tc>
        <w:tc>
          <w:tcPr>
            <w:tcW w:w="2352" w:type="pct"/>
            <w:gridSpan w:val="3"/>
            <w:vAlign w:val="center"/>
          </w:tcPr>
          <w:p w14:paraId="582063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≥185</w:t>
            </w:r>
          </w:p>
        </w:tc>
      </w:tr>
      <w:tr w14:paraId="6CF13A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22DFFA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磷脂含量</w:t>
            </w:r>
          </w:p>
        </w:tc>
        <w:tc>
          <w:tcPr>
            <w:tcW w:w="1091" w:type="pct"/>
            <w:vAlign w:val="center"/>
          </w:tcPr>
          <w:p w14:paraId="05992A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%（质量分数）</w:t>
            </w:r>
          </w:p>
        </w:tc>
        <w:tc>
          <w:tcPr>
            <w:tcW w:w="2352" w:type="pct"/>
            <w:gridSpan w:val="3"/>
            <w:vAlign w:val="center"/>
          </w:tcPr>
          <w:p w14:paraId="6E87DB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r>
      <w:tr w14:paraId="4F057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7D5753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不皂化物含量</w:t>
            </w:r>
          </w:p>
        </w:tc>
        <w:tc>
          <w:tcPr>
            <w:tcW w:w="1091" w:type="pct"/>
            <w:vAlign w:val="center"/>
          </w:tcPr>
          <w:p w14:paraId="1A2380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%（质量分数）</w:t>
            </w:r>
          </w:p>
        </w:tc>
        <w:tc>
          <w:tcPr>
            <w:tcW w:w="783" w:type="pct"/>
            <w:vAlign w:val="center"/>
          </w:tcPr>
          <w:p w14:paraId="5EF331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优级，≤1.0</w:t>
            </w:r>
          </w:p>
        </w:tc>
        <w:tc>
          <w:tcPr>
            <w:tcW w:w="783" w:type="pct"/>
            <w:vAlign w:val="center"/>
          </w:tcPr>
          <w:p w14:paraId="32CF69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一级，≤2.0</w:t>
            </w:r>
          </w:p>
        </w:tc>
        <w:tc>
          <w:tcPr>
            <w:tcW w:w="784" w:type="pct"/>
            <w:vAlign w:val="center"/>
          </w:tcPr>
          <w:p w14:paraId="5A1ABE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二级，≤3.0</w:t>
            </w:r>
          </w:p>
        </w:tc>
      </w:tr>
      <w:tr w14:paraId="047465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20AF6C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可酯化物含量</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d</w:t>
            </w:r>
          </w:p>
        </w:tc>
        <w:tc>
          <w:tcPr>
            <w:tcW w:w="1091" w:type="pct"/>
            <w:vAlign w:val="center"/>
          </w:tcPr>
          <w:p w14:paraId="04DEC3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%（质量分数）</w:t>
            </w:r>
          </w:p>
        </w:tc>
        <w:tc>
          <w:tcPr>
            <w:tcW w:w="783" w:type="pct"/>
            <w:vAlign w:val="center"/>
          </w:tcPr>
          <w:p w14:paraId="70F43B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优级，≥95</w:t>
            </w:r>
          </w:p>
        </w:tc>
        <w:tc>
          <w:tcPr>
            <w:tcW w:w="783" w:type="pct"/>
            <w:vAlign w:val="center"/>
          </w:tcPr>
          <w:p w14:paraId="64A2FB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一级，≥94</w:t>
            </w:r>
          </w:p>
        </w:tc>
        <w:tc>
          <w:tcPr>
            <w:tcW w:w="784" w:type="pct"/>
            <w:vAlign w:val="center"/>
          </w:tcPr>
          <w:p w14:paraId="5B8E7D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二级，≥93</w:t>
            </w:r>
          </w:p>
        </w:tc>
      </w:tr>
      <w:tr w14:paraId="6C8B6A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006FEE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硫含量</w:t>
            </w:r>
          </w:p>
        </w:tc>
        <w:tc>
          <w:tcPr>
            <w:tcW w:w="1091" w:type="pct"/>
            <w:vAlign w:val="center"/>
          </w:tcPr>
          <w:p w14:paraId="61266B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mg/kg</w:t>
            </w:r>
          </w:p>
        </w:tc>
        <w:tc>
          <w:tcPr>
            <w:tcW w:w="2352" w:type="pct"/>
            <w:gridSpan w:val="3"/>
            <w:vAlign w:val="center"/>
          </w:tcPr>
          <w:p w14:paraId="63FFEF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≤500</w:t>
            </w:r>
          </w:p>
        </w:tc>
      </w:tr>
      <w:tr w14:paraId="60D43C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556" w:type="pct"/>
            <w:vAlign w:val="center"/>
          </w:tcPr>
          <w:p w14:paraId="3B783C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氯离子含量</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e</w:t>
            </w:r>
          </w:p>
        </w:tc>
        <w:tc>
          <w:tcPr>
            <w:tcW w:w="1091" w:type="pct"/>
            <w:vAlign w:val="center"/>
          </w:tcPr>
          <w:p w14:paraId="0EADEC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mg/kg</w:t>
            </w:r>
          </w:p>
        </w:tc>
        <w:tc>
          <w:tcPr>
            <w:tcW w:w="2352" w:type="pct"/>
            <w:gridSpan w:val="3"/>
            <w:vAlign w:val="center"/>
          </w:tcPr>
          <w:p w14:paraId="5245F4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报告</w:t>
            </w:r>
          </w:p>
        </w:tc>
      </w:tr>
      <w:tr w14:paraId="193FD1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5000" w:type="pct"/>
            <w:gridSpan w:val="5"/>
            <w:vAlign w:val="center"/>
          </w:tcPr>
          <w:p w14:paraId="38AF76C6">
            <w:pPr>
              <w:pStyle w:val="68"/>
              <w:keepNext w:val="0"/>
              <w:keepLines w:val="0"/>
              <w:pageBreakBefore w:val="0"/>
              <w:widowControl w:val="0"/>
              <w:kinsoku/>
              <w:wordWrap/>
              <w:overflowPunct/>
              <w:topLinePunct w:val="0"/>
              <w:autoSpaceDE/>
              <w:autoSpaceDN/>
              <w:bidi w:val="0"/>
              <w:adjustRightInd/>
              <w:snapToGrid/>
              <w:ind w:left="240" w:leftChars="100" w:right="240" w:rightChars="1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a 可用GB 5009.229方法测定，结果有争议时，以GB/T 7304仲裁。 </w:t>
            </w:r>
          </w:p>
          <w:p w14:paraId="7CFFBEEB">
            <w:pPr>
              <w:pStyle w:val="68"/>
              <w:keepNext w:val="0"/>
              <w:keepLines w:val="0"/>
              <w:pageBreakBefore w:val="0"/>
              <w:widowControl w:val="0"/>
              <w:kinsoku/>
              <w:wordWrap/>
              <w:overflowPunct/>
              <w:topLinePunct w:val="0"/>
              <w:autoSpaceDE/>
              <w:autoSpaceDN/>
              <w:bidi w:val="0"/>
              <w:adjustRightInd/>
              <w:snapToGrid/>
              <w:ind w:left="240" w:leftChars="100" w:right="240" w:rightChars="1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b 可用GB/T 5526方法测定，结果有争议时，以SN/T 0801.8仲裁。 </w:t>
            </w:r>
          </w:p>
          <w:p w14:paraId="145DA9B0">
            <w:pPr>
              <w:pStyle w:val="68"/>
              <w:keepNext w:val="0"/>
              <w:keepLines w:val="0"/>
              <w:pageBreakBefore w:val="0"/>
              <w:widowControl w:val="0"/>
              <w:kinsoku/>
              <w:wordWrap/>
              <w:overflowPunct/>
              <w:topLinePunct w:val="0"/>
              <w:autoSpaceDE/>
              <w:autoSpaceDN/>
              <w:bidi w:val="0"/>
              <w:adjustRightInd/>
              <w:snapToGrid/>
              <w:ind w:left="240" w:leftChars="100" w:right="240" w:rightChars="1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e 仅对酸化油做要求，其他废弃油脂不做要求。 </w:t>
            </w:r>
          </w:p>
          <w:p w14:paraId="7C951A73">
            <w:pPr>
              <w:pStyle w:val="68"/>
              <w:keepNext w:val="0"/>
              <w:keepLines w:val="0"/>
              <w:pageBreakBefore w:val="0"/>
              <w:widowControl w:val="0"/>
              <w:kinsoku/>
              <w:wordWrap/>
              <w:overflowPunct/>
              <w:topLinePunct w:val="0"/>
              <w:autoSpaceDE/>
              <w:autoSpaceDN/>
              <w:bidi w:val="0"/>
              <w:adjustRightInd/>
              <w:snapToGrid/>
              <w:ind w:left="240" w:leftChars="100" w:right="240" w:rightChars="1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d 根据计算公式</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可酯化物含量（质量分数）=100%－（水分及挥发物含量+杂质含量+磷脂含量+不皂化物含量）</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计算。</w:t>
            </w:r>
          </w:p>
          <w:p w14:paraId="7E338344">
            <w:pPr>
              <w:pStyle w:val="68"/>
              <w:keepNext w:val="0"/>
              <w:keepLines w:val="0"/>
              <w:pageBreakBefore w:val="0"/>
              <w:widowControl w:val="0"/>
              <w:kinsoku/>
              <w:wordWrap/>
              <w:overflowPunct/>
              <w:topLinePunct w:val="0"/>
              <w:autoSpaceDE/>
              <w:autoSpaceDN/>
              <w:bidi w:val="0"/>
              <w:adjustRightInd/>
              <w:snapToGrid/>
              <w:ind w:left="240" w:leftChars="100" w:right="240" w:rightChars="100"/>
              <w:jc w:val="left"/>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e 可用SH/T 1757方法测定，结果有争议时，以SN/T 5032仲裁。</w:t>
            </w:r>
          </w:p>
        </w:tc>
      </w:tr>
    </w:tbl>
    <w:p w14:paraId="6FD53E3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41" w:name="_Toc64"/>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1.5 主要生产设备</w:t>
      </w:r>
      <w:bookmarkEnd w:id="141"/>
    </w:p>
    <w:p w14:paraId="62C0E5F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项目设备见下表。</w:t>
      </w:r>
    </w:p>
    <w:p w14:paraId="1D437693">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设备清单一览表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2224"/>
        <w:gridCol w:w="707"/>
        <w:gridCol w:w="708"/>
        <w:gridCol w:w="1725"/>
        <w:gridCol w:w="2340"/>
      </w:tblGrid>
      <w:tr w14:paraId="15ECF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83" w:type="pct"/>
            <w:vAlign w:val="center"/>
          </w:tcPr>
          <w:p w14:paraId="402895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序号</w:t>
            </w:r>
          </w:p>
        </w:tc>
        <w:tc>
          <w:tcPr>
            <w:tcW w:w="1303" w:type="pct"/>
            <w:vAlign w:val="center"/>
          </w:tcPr>
          <w:p w14:paraId="6FF0E7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设备</w:t>
            </w:r>
          </w:p>
        </w:tc>
        <w:tc>
          <w:tcPr>
            <w:tcW w:w="414" w:type="pct"/>
            <w:vAlign w:val="center"/>
          </w:tcPr>
          <w:p w14:paraId="07F76D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数量</w:t>
            </w:r>
          </w:p>
        </w:tc>
        <w:tc>
          <w:tcPr>
            <w:tcW w:w="415" w:type="pct"/>
            <w:vAlign w:val="center"/>
          </w:tcPr>
          <w:p w14:paraId="3A3FA6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单位</w:t>
            </w:r>
          </w:p>
        </w:tc>
        <w:tc>
          <w:tcPr>
            <w:tcW w:w="1011" w:type="pct"/>
            <w:vAlign w:val="center"/>
          </w:tcPr>
          <w:p w14:paraId="36D26C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最大可用容积（m</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1371" w:type="pct"/>
            <w:vAlign w:val="center"/>
          </w:tcPr>
          <w:p w14:paraId="4191EA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用途</w:t>
            </w:r>
          </w:p>
        </w:tc>
      </w:tr>
      <w:tr w14:paraId="750A28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Align w:val="center"/>
          </w:tcPr>
          <w:p w14:paraId="5CA496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1303" w:type="pct"/>
            <w:shd w:val="clear" w:color="auto" w:fill="auto"/>
            <w:vAlign w:val="center"/>
          </w:tcPr>
          <w:p w14:paraId="313B7B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除杂机</w:t>
            </w:r>
          </w:p>
        </w:tc>
        <w:tc>
          <w:tcPr>
            <w:tcW w:w="414" w:type="pct"/>
            <w:shd w:val="clear" w:color="auto" w:fill="auto"/>
            <w:vAlign w:val="center"/>
          </w:tcPr>
          <w:p w14:paraId="520E8B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415" w:type="pct"/>
            <w:shd w:val="clear" w:color="auto" w:fill="auto"/>
            <w:vAlign w:val="center"/>
          </w:tcPr>
          <w:p w14:paraId="12FBCB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1011" w:type="pct"/>
            <w:shd w:val="clear" w:color="auto" w:fill="auto"/>
            <w:vAlign w:val="center"/>
          </w:tcPr>
          <w:p w14:paraId="60AA75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8</w:t>
            </w:r>
          </w:p>
        </w:tc>
        <w:tc>
          <w:tcPr>
            <w:tcW w:w="1371" w:type="pct"/>
            <w:shd w:val="clear" w:color="auto" w:fill="auto"/>
            <w:vAlign w:val="center"/>
          </w:tcPr>
          <w:p w14:paraId="065E91C0">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auto"/>
                <w:sz w:val="21"/>
                <w:szCs w:val="21"/>
                <w:u w:val="none" w:color="auto"/>
                <w:lang w:eastAsia="zh-CN"/>
              </w:rPr>
              <w:t>粗过滤，去除</w:t>
            </w:r>
            <w:r>
              <w:rPr>
                <w:rFonts w:hint="default" w:ascii="Times New Roman" w:hAnsi="Times New Roman" w:eastAsia="宋体" w:cs="Times New Roman"/>
                <w:color w:val="auto"/>
                <w:sz w:val="21"/>
                <w:szCs w:val="21"/>
                <w:u w:val="none" w:color="auto"/>
                <w:lang w:val="en-US" w:eastAsia="zh-CN"/>
              </w:rPr>
              <w:t>粒径4毫米以上的渣。</w:t>
            </w:r>
          </w:p>
        </w:tc>
      </w:tr>
      <w:tr w14:paraId="3CC0B4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Align w:val="center"/>
          </w:tcPr>
          <w:p w14:paraId="28B6CA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1303" w:type="pct"/>
            <w:shd w:val="clear" w:color="auto" w:fill="auto"/>
            <w:vAlign w:val="center"/>
          </w:tcPr>
          <w:p w14:paraId="077DF4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制浆罐</w:t>
            </w:r>
          </w:p>
        </w:tc>
        <w:tc>
          <w:tcPr>
            <w:tcW w:w="414" w:type="pct"/>
            <w:shd w:val="clear" w:color="auto" w:fill="auto"/>
            <w:vAlign w:val="center"/>
          </w:tcPr>
          <w:p w14:paraId="06102A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415" w:type="pct"/>
            <w:shd w:val="clear" w:color="auto" w:fill="auto"/>
            <w:vAlign w:val="center"/>
          </w:tcPr>
          <w:p w14:paraId="353640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个</w:t>
            </w:r>
          </w:p>
        </w:tc>
        <w:tc>
          <w:tcPr>
            <w:tcW w:w="1011" w:type="pct"/>
            <w:shd w:val="clear" w:color="auto" w:fill="auto"/>
            <w:vAlign w:val="center"/>
          </w:tcPr>
          <w:p w14:paraId="7D4D8F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12（有效容积按85%计，即为10.2）</w:t>
            </w:r>
          </w:p>
        </w:tc>
        <w:tc>
          <w:tcPr>
            <w:tcW w:w="1371" w:type="pct"/>
            <w:shd w:val="clear" w:color="auto" w:fill="auto"/>
            <w:vAlign w:val="center"/>
          </w:tcPr>
          <w:p w14:paraId="239596A3">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auto"/>
                <w:sz w:val="21"/>
                <w:szCs w:val="21"/>
                <w:u w:val="none" w:color="auto"/>
                <w:lang w:val="en-US" w:eastAsia="zh-CN"/>
              </w:rPr>
              <w:t>原料油浆化，油、水、渣初步分离。</w:t>
            </w:r>
          </w:p>
        </w:tc>
      </w:tr>
      <w:tr w14:paraId="65C21D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Align w:val="center"/>
          </w:tcPr>
          <w:p w14:paraId="539E926D">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p>
        </w:tc>
        <w:tc>
          <w:tcPr>
            <w:tcW w:w="1303" w:type="pct"/>
            <w:vAlign w:val="center"/>
          </w:tcPr>
          <w:p w14:paraId="056434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加热罐</w:t>
            </w:r>
          </w:p>
        </w:tc>
        <w:tc>
          <w:tcPr>
            <w:tcW w:w="414" w:type="pct"/>
            <w:vAlign w:val="center"/>
          </w:tcPr>
          <w:p w14:paraId="704FD7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w:t>
            </w:r>
          </w:p>
        </w:tc>
        <w:tc>
          <w:tcPr>
            <w:tcW w:w="415" w:type="pct"/>
            <w:vAlign w:val="center"/>
          </w:tcPr>
          <w:p w14:paraId="41FC84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个</w:t>
            </w:r>
          </w:p>
        </w:tc>
        <w:tc>
          <w:tcPr>
            <w:tcW w:w="1011" w:type="pct"/>
            <w:vAlign w:val="center"/>
          </w:tcPr>
          <w:p w14:paraId="0F6F0E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15.8（有效容积按85%计，即为13.4）</w:t>
            </w:r>
          </w:p>
        </w:tc>
        <w:tc>
          <w:tcPr>
            <w:tcW w:w="1371" w:type="pct"/>
            <w:vAlign w:val="center"/>
          </w:tcPr>
          <w:p w14:paraId="3293A8DE">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加热防止油脂凝固，加热1小时，沉降1～2 d，实现油水进一步分离。</w:t>
            </w:r>
          </w:p>
        </w:tc>
      </w:tr>
      <w:tr w14:paraId="029BEC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Align w:val="center"/>
          </w:tcPr>
          <w:p w14:paraId="2DF35872">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w:t>
            </w:r>
          </w:p>
        </w:tc>
        <w:tc>
          <w:tcPr>
            <w:tcW w:w="1303" w:type="pct"/>
            <w:shd w:val="clear" w:color="auto" w:fill="auto"/>
            <w:vAlign w:val="center"/>
          </w:tcPr>
          <w:p w14:paraId="145320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搅拌罐</w:t>
            </w:r>
          </w:p>
        </w:tc>
        <w:tc>
          <w:tcPr>
            <w:tcW w:w="414" w:type="pct"/>
            <w:shd w:val="clear" w:color="auto" w:fill="auto"/>
            <w:vAlign w:val="center"/>
          </w:tcPr>
          <w:p w14:paraId="5D1276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415" w:type="pct"/>
            <w:shd w:val="clear" w:color="auto" w:fill="auto"/>
            <w:vAlign w:val="center"/>
          </w:tcPr>
          <w:p w14:paraId="1CE688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个</w:t>
            </w:r>
          </w:p>
        </w:tc>
        <w:tc>
          <w:tcPr>
            <w:tcW w:w="1011" w:type="pct"/>
            <w:shd w:val="clear" w:color="auto" w:fill="auto"/>
            <w:vAlign w:val="center"/>
          </w:tcPr>
          <w:p w14:paraId="051C21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11（有效容积按85%计，即为9.4）</w:t>
            </w:r>
          </w:p>
        </w:tc>
        <w:tc>
          <w:tcPr>
            <w:tcW w:w="1371" w:type="pct"/>
            <w:shd w:val="clear" w:color="auto" w:fill="auto"/>
            <w:vAlign w:val="center"/>
          </w:tcPr>
          <w:p w14:paraId="0AAA61D5">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通过加热搅拌，便于后续油、水、渣三相分离。</w:t>
            </w:r>
          </w:p>
        </w:tc>
      </w:tr>
      <w:tr w14:paraId="48FF4C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Align w:val="center"/>
          </w:tcPr>
          <w:p w14:paraId="645853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5</w:t>
            </w:r>
          </w:p>
        </w:tc>
        <w:tc>
          <w:tcPr>
            <w:tcW w:w="1303" w:type="pct"/>
            <w:vAlign w:val="center"/>
          </w:tcPr>
          <w:p w14:paraId="2B76DB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三相分离机（XTLWS-350卧式螺旋卸料沉降离心机）</w:t>
            </w:r>
          </w:p>
        </w:tc>
        <w:tc>
          <w:tcPr>
            <w:tcW w:w="414" w:type="pct"/>
            <w:vAlign w:val="center"/>
          </w:tcPr>
          <w:p w14:paraId="09CFF6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415" w:type="pct"/>
            <w:vAlign w:val="center"/>
          </w:tcPr>
          <w:p w14:paraId="0A3052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台</w:t>
            </w:r>
          </w:p>
        </w:tc>
        <w:tc>
          <w:tcPr>
            <w:tcW w:w="1011" w:type="pct"/>
            <w:vAlign w:val="center"/>
          </w:tcPr>
          <w:p w14:paraId="7AC7EC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3.5</w:t>
            </w:r>
          </w:p>
        </w:tc>
        <w:tc>
          <w:tcPr>
            <w:tcW w:w="1371" w:type="pct"/>
            <w:vAlign w:val="center"/>
          </w:tcPr>
          <w:p w14:paraId="62C209D0">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实现油、水、渣三相分离，处理能力3.5 m</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/h。</w:t>
            </w:r>
          </w:p>
        </w:tc>
      </w:tr>
      <w:tr w14:paraId="53A6E2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Align w:val="center"/>
          </w:tcPr>
          <w:p w14:paraId="3E5799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6</w:t>
            </w:r>
          </w:p>
        </w:tc>
        <w:tc>
          <w:tcPr>
            <w:tcW w:w="1303" w:type="pct"/>
            <w:shd w:val="clear" w:color="auto" w:fill="auto"/>
            <w:vAlign w:val="center"/>
          </w:tcPr>
          <w:p w14:paraId="41AA2E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卧式储罐</w:t>
            </w:r>
          </w:p>
        </w:tc>
        <w:tc>
          <w:tcPr>
            <w:tcW w:w="414" w:type="pct"/>
            <w:shd w:val="clear" w:color="auto" w:fill="auto"/>
            <w:vAlign w:val="center"/>
          </w:tcPr>
          <w:p w14:paraId="38BE50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p>
        </w:tc>
        <w:tc>
          <w:tcPr>
            <w:tcW w:w="415" w:type="pct"/>
            <w:shd w:val="clear" w:color="auto" w:fill="auto"/>
            <w:vAlign w:val="center"/>
          </w:tcPr>
          <w:p w14:paraId="7819AE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个</w:t>
            </w:r>
          </w:p>
        </w:tc>
        <w:tc>
          <w:tcPr>
            <w:tcW w:w="1011" w:type="pct"/>
            <w:shd w:val="clear" w:color="auto" w:fill="auto"/>
            <w:vAlign w:val="center"/>
          </w:tcPr>
          <w:p w14:paraId="0C39B3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42（有效容积按85%计，即为36）</w:t>
            </w:r>
          </w:p>
        </w:tc>
        <w:tc>
          <w:tcPr>
            <w:tcW w:w="1371" w:type="pct"/>
            <w:shd w:val="clear" w:color="auto" w:fill="auto"/>
            <w:vAlign w:val="center"/>
          </w:tcPr>
          <w:p w14:paraId="1CA07B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成品油厂区暂存。</w:t>
            </w:r>
          </w:p>
        </w:tc>
      </w:tr>
      <w:tr w14:paraId="61C25C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Align w:val="center"/>
          </w:tcPr>
          <w:p w14:paraId="5C577F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7</w:t>
            </w:r>
          </w:p>
        </w:tc>
        <w:tc>
          <w:tcPr>
            <w:tcW w:w="1303" w:type="pct"/>
            <w:shd w:val="clear" w:color="auto" w:fill="auto"/>
            <w:vAlign w:val="center"/>
          </w:tcPr>
          <w:p w14:paraId="23BC52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立式储罐</w:t>
            </w:r>
          </w:p>
        </w:tc>
        <w:tc>
          <w:tcPr>
            <w:tcW w:w="414" w:type="pct"/>
            <w:shd w:val="clear" w:color="auto" w:fill="auto"/>
            <w:vAlign w:val="center"/>
          </w:tcPr>
          <w:p w14:paraId="0AAC03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w:t>
            </w:r>
          </w:p>
        </w:tc>
        <w:tc>
          <w:tcPr>
            <w:tcW w:w="415" w:type="pct"/>
            <w:shd w:val="clear" w:color="auto" w:fill="auto"/>
            <w:vAlign w:val="center"/>
          </w:tcPr>
          <w:p w14:paraId="040073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个</w:t>
            </w:r>
          </w:p>
        </w:tc>
        <w:tc>
          <w:tcPr>
            <w:tcW w:w="1011" w:type="pct"/>
            <w:shd w:val="clear" w:color="auto" w:fill="auto"/>
            <w:vAlign w:val="center"/>
          </w:tcPr>
          <w:p w14:paraId="2060F0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45（有效容积按85%计，即为38）</w:t>
            </w:r>
          </w:p>
        </w:tc>
        <w:tc>
          <w:tcPr>
            <w:tcW w:w="1371" w:type="pct"/>
            <w:shd w:val="clear" w:color="auto" w:fill="auto"/>
            <w:vAlign w:val="center"/>
          </w:tcPr>
          <w:p w14:paraId="41FB53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成品油厂区暂存。</w:t>
            </w:r>
          </w:p>
        </w:tc>
      </w:tr>
    </w:tbl>
    <w:p w14:paraId="6D77962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42" w:name="_Toc12559"/>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1.6 设备产能匹配性分析</w:t>
      </w:r>
      <w:bookmarkEnd w:id="142"/>
    </w:p>
    <w:p w14:paraId="55E7AC2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项目配备</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2个制浆罐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个</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用于隔油池浮渣的加工处理，1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个</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用于煎炸废油的加工处理。项目配备1台三相分离机，用于隔油池浮渣的加工处理。原料中隔油池浮渣占比约40%，煎炸废油占比约60%。项目每天工作8 h，年工作300 d。</w:t>
      </w:r>
    </w:p>
    <w:p w14:paraId="768401B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1）煎炸废油加工处理产能</w:t>
      </w:r>
    </w:p>
    <w:p w14:paraId="0BAEF51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煎炸废油加工处理工艺仅经过除杂机进行油、水、渣分离，单</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个制浆罐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每3 h最大加工处理10.2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的煎炸废油，则单</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个制浆罐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年处理能力为8160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/a。由表3.1-5可知，煎炸废油含油率约94%。由表3.1-3可知，项目成品油密度小于等于915 kg/m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vertAlign w:val="baseline"/>
          <w:lang w:val="en-US" w:eastAsia="zh-CN"/>
          <w14:textFill>
            <w14:solidFill>
              <w14:schemeClr w14:val="tx1"/>
            </w14:solidFill>
          </w14:textFill>
        </w:rPr>
        <w:t>，本项目以900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vertAlign w:val="baseline"/>
          <w:lang w:val="en-US" w:eastAsia="zh-CN"/>
          <w14:textFill>
            <w14:solidFill>
              <w14:schemeClr w14:val="tx1"/>
            </w14:solidFill>
          </w14:textFill>
        </w:rPr>
        <w:t>计，则以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煎炸废油为原料能达到6903 t/a的产能。</w:t>
      </w:r>
    </w:p>
    <w:p w14:paraId="3A10610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2）隔油池浮渣加工处理产能</w:t>
      </w:r>
    </w:p>
    <w:p w14:paraId="7DC08BA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隔油池浮渣加工处理经除杂机粗过滤后，进入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制浆罐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浆化，浆化完成后进行</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加热沉降、搅拌，最后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三相分离。因隔油池浮渣处理需经过三相分离机，以三相分离机的最大处理能力进行产能核算。本项目配备的三相分离机最大处理能力为3.5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/h，则单台三相分离机年处理能力为8400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/a。由表3.1-5可知，隔油池浮渣含油率约75%。由表3.1-3可知，项目成品油密度小于等于915 kg/m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vertAlign w:val="baseline"/>
          <w:lang w:val="en-US" w:eastAsia="zh-CN"/>
          <w14:textFill>
            <w14:solidFill>
              <w14:schemeClr w14:val="tx1"/>
            </w14:solidFill>
          </w14:textFill>
        </w:rPr>
        <w:t>，本项目以900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vertAlign w:val="baseline"/>
          <w:lang w:val="en-US" w:eastAsia="zh-CN"/>
          <w14:textFill>
            <w14:solidFill>
              <w14:schemeClr w14:val="tx1"/>
            </w14:solidFill>
          </w14:textFill>
        </w:rPr>
        <w:t>计，则以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隔油池浮渣为原料能达到5670 t/a的产能。</w:t>
      </w:r>
    </w:p>
    <w:p w14:paraId="4B712C2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综上，设备总产能为12573 t/a，考虑到设备有故障维修的情况，产能按80%计，即为10058.4 t/a，可满足生产产能需求。</w:t>
      </w:r>
    </w:p>
    <w:p w14:paraId="427923E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43" w:name="_Toc7105"/>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1.8 公用工程</w:t>
      </w:r>
      <w:bookmarkEnd w:id="143"/>
    </w:p>
    <w:p w14:paraId="3C629BE6">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1.8.1 给水系统</w:t>
      </w:r>
    </w:p>
    <w:p w14:paraId="2E0397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项目用水由市政供水管网供给，厂区配套建设供水管网。</w:t>
      </w:r>
    </w:p>
    <w:p w14:paraId="567075FB">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供电</w:t>
      </w:r>
    </w:p>
    <w:p w14:paraId="336B0A9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电</w:t>
      </w:r>
      <w:r>
        <w:rPr>
          <w:rFonts w:hint="default" w:ascii="Times New Roman" w:hAnsi="Times New Roman" w:eastAsia="宋体" w:cs="Times New Roman"/>
          <w:color w:val="000000" w:themeColor="text1"/>
          <w:u w:val="none" w:color="auto"/>
          <w14:textFill>
            <w14:solidFill>
              <w14:schemeClr w14:val="tx1"/>
            </w14:solidFill>
          </w14:textFill>
        </w:rPr>
        <w:t>由市政供</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电</w:t>
      </w:r>
      <w:r>
        <w:rPr>
          <w:rFonts w:hint="default" w:ascii="Times New Roman" w:hAnsi="Times New Roman" w:eastAsia="宋体" w:cs="Times New Roman"/>
          <w:color w:val="000000" w:themeColor="text1"/>
          <w:u w:val="none" w:color="auto"/>
          <w14:textFill>
            <w14:solidFill>
              <w14:schemeClr w14:val="tx1"/>
            </w14:solidFill>
          </w14:textFill>
        </w:rPr>
        <w:t>管网供给，厂区配套建设供</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电</w:t>
      </w:r>
      <w:r>
        <w:rPr>
          <w:rFonts w:hint="default" w:ascii="Times New Roman" w:hAnsi="Times New Roman" w:eastAsia="宋体" w:cs="Times New Roman"/>
          <w:color w:val="000000" w:themeColor="text1"/>
          <w:u w:val="none" w:color="auto"/>
          <w14:textFill>
            <w14:solidFill>
              <w14:schemeClr w14:val="tx1"/>
            </w14:solidFill>
          </w14:textFill>
        </w:rPr>
        <w:t>管网。</w:t>
      </w:r>
    </w:p>
    <w:p w14:paraId="2C82AFC8">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供</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汽</w:t>
      </w:r>
    </w:p>
    <w:p w14:paraId="2C9E4C7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蒸汽</w:t>
      </w:r>
      <w:r>
        <w:rPr>
          <w:rFonts w:hint="default" w:ascii="Times New Roman" w:hAnsi="Times New Roman" w:eastAsia="宋体" w:cs="Times New Roman"/>
          <w:color w:val="000000" w:themeColor="text1"/>
          <w:u w:val="none" w:color="auto"/>
          <w14:textFill>
            <w14:solidFill>
              <w14:schemeClr w14:val="tx1"/>
            </w14:solidFill>
          </w14:textFill>
        </w:rPr>
        <w:t>由</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园区供热系统</w:t>
      </w:r>
      <w:r>
        <w:rPr>
          <w:rFonts w:hint="default" w:ascii="Times New Roman" w:hAnsi="Times New Roman" w:eastAsia="宋体" w:cs="Times New Roman"/>
          <w:color w:val="000000" w:themeColor="text1"/>
          <w:u w:val="none" w:color="auto"/>
          <w14:textFill>
            <w14:solidFill>
              <w14:schemeClr w14:val="tx1"/>
            </w14:solidFill>
          </w14:textFill>
        </w:rPr>
        <w:t>供给</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eastAsia"/>
        </w:rPr>
        <w:t>目前</w:t>
      </w:r>
      <w:r>
        <w:rPr>
          <w:color w:val="000000" w:themeColor="text1"/>
          <w14:textFill>
            <w14:solidFill>
              <w14:schemeClr w14:val="tx1"/>
            </w14:solidFill>
          </w14:textFill>
        </w:rPr>
        <w:t>园区蒸汽管网</w:t>
      </w:r>
      <w:r>
        <w:rPr>
          <w:rFonts w:hint="eastAsia"/>
          <w:color w:val="000000" w:themeColor="text1"/>
          <w14:textFill>
            <w14:solidFill>
              <w14:schemeClr w14:val="tx1"/>
            </w14:solidFill>
          </w14:textFill>
        </w:rPr>
        <w:t>正在施工建设中，暂</w:t>
      </w:r>
      <w:r>
        <w:rPr>
          <w:color w:val="000000" w:themeColor="text1"/>
          <w14:textFill>
            <w14:solidFill>
              <w14:schemeClr w14:val="tx1"/>
            </w14:solidFill>
          </w14:textFill>
        </w:rPr>
        <w:t>未覆盖企业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正式</w:t>
      </w:r>
      <w:r>
        <w:rPr>
          <w:color w:val="000000" w:themeColor="text1"/>
          <w14:textFill>
            <w14:solidFill>
              <w14:schemeClr w14:val="tx1"/>
            </w14:solidFill>
          </w14:textFill>
        </w:rPr>
        <w:t>运营前</w:t>
      </w:r>
      <w:r>
        <w:rPr>
          <w:rFonts w:hint="eastAsia"/>
          <w:color w:val="000000" w:themeColor="text1"/>
          <w14:textFill>
            <w14:solidFill>
              <w14:schemeClr w14:val="tx1"/>
            </w14:solidFill>
          </w14:textFill>
        </w:rPr>
        <w:t>可</w:t>
      </w:r>
      <w:r>
        <w:rPr>
          <w:color w:val="000000" w:themeColor="text1"/>
          <w14:textFill>
            <w14:solidFill>
              <w14:schemeClr w14:val="tx1"/>
            </w14:solidFill>
          </w14:textFill>
        </w:rPr>
        <w:t>完成供汽管网</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建设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p w14:paraId="4FE8760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44" w:name="_Toc27680"/>
      <w:bookmarkStart w:id="145" w:name="_Toc179446197"/>
      <w:bookmarkStart w:id="146" w:name="_Toc191239986"/>
      <w:bookmarkStart w:id="147" w:name="_Toc4562"/>
      <w:bookmarkStart w:id="148" w:name="_Toc31033"/>
      <w:bookmarkStart w:id="149" w:name="_Toc179445948"/>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 xml:space="preserve"> 平面布置</w:t>
      </w:r>
      <w:bookmarkEnd w:id="144"/>
      <w:bookmarkEnd w:id="145"/>
      <w:bookmarkEnd w:id="146"/>
      <w:bookmarkEnd w:id="147"/>
      <w:bookmarkEnd w:id="148"/>
      <w:bookmarkEnd w:id="149"/>
    </w:p>
    <w:p w14:paraId="2403D91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本项目位于平江高新技术产业园区</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在标准厂房内进行建设，在1#厂房内建设废弃油脂加工生产线。车间北侧布设废弃油脂加工区，自西向东为三相分离区、沉渣池、除杂机、搅拌罐、加热罐；车间南侧布设成品油储罐。废气油脂加工区与成品油罐区预留3 m宽过道，方便原料及产品装卸、运输。沉渣池西侧建设一套绞笼设施延伸至车间外废渣装车平台，方便废渣装载和转运。</w:t>
      </w:r>
    </w:p>
    <w:p w14:paraId="42ACCB5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项目平面布局</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详</w:t>
      </w:r>
      <w:r>
        <w:rPr>
          <w:rFonts w:hint="default" w:ascii="Times New Roman" w:hAnsi="Times New Roman" w:eastAsia="宋体" w:cs="Times New Roman"/>
          <w:color w:val="000000" w:themeColor="text1"/>
          <w:u w:val="none" w:color="auto"/>
          <w14:textFill>
            <w14:solidFill>
              <w14:schemeClr w14:val="tx1"/>
            </w14:solidFill>
          </w14:textFill>
        </w:rPr>
        <w:t>见附图所示。</w:t>
      </w:r>
    </w:p>
    <w:p w14:paraId="7A024722">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50" w:name="_Toc191239987"/>
      <w:bookmarkStart w:id="151" w:name="_Toc2389"/>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 工程分析</w:t>
      </w:r>
      <w:bookmarkEnd w:id="150"/>
      <w:bookmarkEnd w:id="151"/>
    </w:p>
    <w:p w14:paraId="446FE4D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52" w:name="_Toc191239988"/>
      <w:bookmarkStart w:id="153" w:name="_Toc7141"/>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2.1 </w:t>
      </w:r>
      <w:bookmarkEnd w:id="152"/>
      <w:r>
        <w:rPr>
          <w:rFonts w:hint="default" w:ascii="Times New Roman" w:hAnsi="Times New Roman" w:eastAsia="宋体" w:cs="Times New Roman"/>
          <w:color w:val="000000" w:themeColor="text1"/>
          <w:u w:val="none" w:color="auto"/>
          <w14:textFill>
            <w14:solidFill>
              <w14:schemeClr w14:val="tx1"/>
            </w14:solidFill>
          </w14:textFill>
        </w:rPr>
        <w:t>施工期工艺流程及污染源强核算</w:t>
      </w:r>
      <w:bookmarkEnd w:id="153"/>
    </w:p>
    <w:p w14:paraId="13AA6E10">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2.1.1 施工工艺流程</w:t>
      </w:r>
    </w:p>
    <w:p w14:paraId="0C4D158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本项目总占地面积为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3849.6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包括1#厂房和2#厂房，本项目生产车间建设在1#厂房内，</w:t>
      </w:r>
      <w:r>
        <w:rPr>
          <w:rFonts w:hint="default" w:ascii="Times New Roman" w:hAnsi="Times New Roman" w:eastAsia="宋体" w:cs="Times New Roman"/>
          <w:color w:val="000000" w:themeColor="text1"/>
          <w:u w:val="none" w:color="auto"/>
          <w14:textFill>
            <w14:solidFill>
              <w14:schemeClr w14:val="tx1"/>
            </w14:solidFill>
          </w14:textFill>
        </w:rPr>
        <w:t>施工期主要为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车间装饰、生产设备及环保设备的安装</w:t>
      </w:r>
      <w:r>
        <w:rPr>
          <w:rFonts w:hint="default" w:ascii="Times New Roman" w:hAnsi="Times New Roman" w:eastAsia="宋体" w:cs="Times New Roman"/>
          <w:color w:val="000000" w:themeColor="text1"/>
          <w:u w:val="none" w:color="auto"/>
          <w14:textFill>
            <w14:solidFill>
              <w14:schemeClr w14:val="tx1"/>
            </w14:solidFill>
          </w14:textFill>
        </w:rPr>
        <w:t>，项目施工期主要工艺流程及产污环节见下图：</w:t>
      </w:r>
    </w:p>
    <w:p w14:paraId="043EF0D3">
      <w:pPr>
        <w:keepNext w:val="0"/>
        <w:keepLines w:val="0"/>
        <w:pageBreakBefore w:val="0"/>
        <w:widowControl w:val="0"/>
        <w:kinsoku/>
        <w:wordWrap/>
        <w:overflowPunct/>
        <w:topLinePunct w:val="0"/>
        <w:bidi w:val="0"/>
        <w:jc w:val="center"/>
        <w:rPr>
          <w:rFonts w:hint="default" w:ascii="Times New Roman" w:hAnsi="Times New Roman" w:eastAsia="宋体" w:cs="Times New Roman"/>
          <w:color w:val="FF0000"/>
          <w:u w:val="none" w:color="auto"/>
        </w:rPr>
      </w:pPr>
      <w:r>
        <w:rPr>
          <w:rFonts w:hint="default" w:ascii="Times New Roman" w:hAnsi="Times New Roman" w:eastAsia="宋体" w:cs="Times New Roman"/>
          <w:color w:val="FF0000"/>
          <w:u w:val="none" w:color="auto"/>
        </w:rPr>
        <w:drawing>
          <wp:inline distT="0" distB="0" distL="114300" distR="114300">
            <wp:extent cx="2774315" cy="1574800"/>
            <wp:effectExtent l="0" t="0" r="6985" b="0"/>
            <wp:docPr id="9" name="ECB019B1-382A-4266-B25C-5B523AA43C14-1" descr="C:/Users/Administrator/AppData/Local/Temp/wps.bfgGHb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CB019B1-382A-4266-B25C-5B523AA43C14-1" descr="C:/Users/Administrator/AppData/Local/Temp/wps.bfgGHbwps"/>
                    <pic:cNvPicPr>
                      <a:picLocks noChangeAspect="1"/>
                    </pic:cNvPicPr>
                  </pic:nvPicPr>
                  <pic:blipFill>
                    <a:blip r:embed="rId30"/>
                    <a:srcRect l="4765" t="13449" r="4689" b="14741"/>
                    <a:stretch>
                      <a:fillRect/>
                    </a:stretch>
                  </pic:blipFill>
                  <pic:spPr>
                    <a:xfrm>
                      <a:off x="0" y="0"/>
                      <a:ext cx="2774315" cy="1574800"/>
                    </a:xfrm>
                    <a:prstGeom prst="rect">
                      <a:avLst/>
                    </a:prstGeom>
                  </pic:spPr>
                </pic:pic>
              </a:graphicData>
            </a:graphic>
          </wp:inline>
        </w:drawing>
      </w:r>
    </w:p>
    <w:p w14:paraId="7DA984E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图</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2-1  施工工艺流程及产污环节图</w:t>
      </w:r>
    </w:p>
    <w:p w14:paraId="6B5C58D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施工期各主要施工阶段产污环节及污染物类型、污染因子见下表：</w:t>
      </w:r>
    </w:p>
    <w:p w14:paraId="50CA63D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2-1 施工期污染因子一览表</w:t>
      </w:r>
    </w:p>
    <w:tbl>
      <w:tblPr>
        <w:tblStyle w:val="38"/>
        <w:tblW w:w="499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4388"/>
        <w:gridCol w:w="2479"/>
      </w:tblGrid>
      <w:tr w14:paraId="66333A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9" w:type="pct"/>
            <w:vAlign w:val="center"/>
          </w:tcPr>
          <w:p w14:paraId="7F6405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污染类型</w:t>
            </w:r>
          </w:p>
        </w:tc>
        <w:tc>
          <w:tcPr>
            <w:tcW w:w="2575" w:type="pct"/>
            <w:vAlign w:val="center"/>
          </w:tcPr>
          <w:p w14:paraId="3B3B3D0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产污环节说明</w:t>
            </w:r>
          </w:p>
        </w:tc>
        <w:tc>
          <w:tcPr>
            <w:tcW w:w="1455" w:type="pct"/>
            <w:vAlign w:val="center"/>
          </w:tcPr>
          <w:p w14:paraId="6AA20F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主要污染因子</w:t>
            </w:r>
          </w:p>
        </w:tc>
      </w:tr>
      <w:tr w14:paraId="4E3FFD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9" w:type="pct"/>
            <w:vMerge w:val="restart"/>
            <w:vAlign w:val="center"/>
          </w:tcPr>
          <w:p w14:paraId="31931A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废气</w:t>
            </w:r>
          </w:p>
        </w:tc>
        <w:tc>
          <w:tcPr>
            <w:tcW w:w="2575" w:type="pct"/>
            <w:shd w:val="clear" w:color="auto" w:fill="auto"/>
            <w:vAlign w:val="center"/>
          </w:tcPr>
          <w:p w14:paraId="73635C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建筑物装修</w:t>
            </w:r>
          </w:p>
        </w:tc>
        <w:tc>
          <w:tcPr>
            <w:tcW w:w="1455" w:type="pct"/>
            <w:shd w:val="clear" w:color="auto" w:fill="auto"/>
            <w:vAlign w:val="center"/>
          </w:tcPr>
          <w:p w14:paraId="45EDC8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有机废气</w:t>
            </w:r>
          </w:p>
        </w:tc>
      </w:tr>
      <w:tr w14:paraId="654977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9" w:type="pct"/>
            <w:vMerge w:val="continue"/>
            <w:vAlign w:val="center"/>
          </w:tcPr>
          <w:p w14:paraId="07E69C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575" w:type="pct"/>
            <w:vAlign w:val="center"/>
          </w:tcPr>
          <w:p w14:paraId="350B75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焊接废气</w:t>
            </w:r>
          </w:p>
        </w:tc>
        <w:tc>
          <w:tcPr>
            <w:tcW w:w="1455" w:type="pct"/>
            <w:vAlign w:val="center"/>
          </w:tcPr>
          <w:p w14:paraId="13BA18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焊接烟尘</w:t>
            </w:r>
          </w:p>
        </w:tc>
      </w:tr>
      <w:tr w14:paraId="32EC9F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9" w:type="pct"/>
            <w:vAlign w:val="center"/>
          </w:tcPr>
          <w:p w14:paraId="55C142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w:t>
            </w:r>
          </w:p>
        </w:tc>
        <w:tc>
          <w:tcPr>
            <w:tcW w:w="2575" w:type="pct"/>
            <w:vAlign w:val="center"/>
          </w:tcPr>
          <w:p w14:paraId="723288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建筑物装修</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设备</w:t>
            </w:r>
            <w:r>
              <w:rPr>
                <w:rFonts w:hint="default" w:ascii="Times New Roman" w:hAnsi="Times New Roman" w:eastAsia="宋体" w:cs="Times New Roman"/>
                <w:color w:val="000000" w:themeColor="text1"/>
                <w:u w:val="none" w:color="auto"/>
                <w14:textFill>
                  <w14:solidFill>
                    <w14:schemeClr w14:val="tx1"/>
                  </w14:solidFill>
                </w14:textFill>
              </w:rPr>
              <w:t>运输</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安装</w:t>
            </w:r>
          </w:p>
        </w:tc>
        <w:tc>
          <w:tcPr>
            <w:tcW w:w="1455" w:type="pct"/>
            <w:vAlign w:val="center"/>
          </w:tcPr>
          <w:p w14:paraId="17AF16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Leq</w:t>
            </w:r>
          </w:p>
        </w:tc>
      </w:tr>
      <w:tr w14:paraId="395B92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9" w:type="pct"/>
            <w:vMerge w:val="restart"/>
            <w:vAlign w:val="center"/>
          </w:tcPr>
          <w:p w14:paraId="3AB94B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固废</w:t>
            </w:r>
          </w:p>
        </w:tc>
        <w:tc>
          <w:tcPr>
            <w:tcW w:w="2575" w:type="pct"/>
            <w:vAlign w:val="center"/>
          </w:tcPr>
          <w:p w14:paraId="719B53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施工建筑垃圾</w:t>
            </w:r>
          </w:p>
        </w:tc>
        <w:tc>
          <w:tcPr>
            <w:tcW w:w="1455" w:type="pct"/>
            <w:vAlign w:val="center"/>
          </w:tcPr>
          <w:p w14:paraId="6EF147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建筑垃圾</w:t>
            </w:r>
          </w:p>
        </w:tc>
      </w:tr>
      <w:tr w14:paraId="70B127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9" w:type="pct"/>
            <w:vMerge w:val="continue"/>
            <w:vAlign w:val="center"/>
          </w:tcPr>
          <w:p w14:paraId="0917F5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575" w:type="pct"/>
            <w:vAlign w:val="center"/>
          </w:tcPr>
          <w:p w14:paraId="773248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施工人员生活垃圾</w:t>
            </w:r>
          </w:p>
        </w:tc>
        <w:tc>
          <w:tcPr>
            <w:tcW w:w="1455" w:type="pct"/>
            <w:vAlign w:val="center"/>
          </w:tcPr>
          <w:p w14:paraId="5F08D3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生活垃圾</w:t>
            </w:r>
          </w:p>
        </w:tc>
      </w:tr>
      <w:tr w14:paraId="0ABAA3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69" w:type="pct"/>
            <w:shd w:val="clear" w:color="auto" w:fill="auto"/>
            <w:vAlign w:val="center"/>
          </w:tcPr>
          <w:p w14:paraId="509029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w:t>
            </w:r>
          </w:p>
        </w:tc>
        <w:tc>
          <w:tcPr>
            <w:tcW w:w="2575" w:type="pct"/>
            <w:shd w:val="clear" w:color="auto" w:fill="auto"/>
            <w:vAlign w:val="center"/>
          </w:tcPr>
          <w:p w14:paraId="607C9D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施工人员生活污水</w:t>
            </w:r>
          </w:p>
        </w:tc>
        <w:tc>
          <w:tcPr>
            <w:tcW w:w="1455" w:type="pct"/>
            <w:shd w:val="clear" w:color="auto" w:fill="auto"/>
            <w:vAlign w:val="center"/>
          </w:tcPr>
          <w:p w14:paraId="139456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COD、BOD</w:t>
            </w:r>
            <w:r>
              <w:rPr>
                <w:rFonts w:hint="default" w:ascii="Times New Roman" w:hAnsi="Times New Roman" w:eastAsia="宋体" w:cs="Times New Roman"/>
                <w:color w:val="000000" w:themeColor="text1"/>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、SS、氨氮</w:t>
            </w:r>
          </w:p>
        </w:tc>
      </w:tr>
    </w:tbl>
    <w:p w14:paraId="57461C4A">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2.1.2 废气</w:t>
      </w:r>
    </w:p>
    <w:p w14:paraId="37B8303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根据本项目的工程内容和施工特点，本项目在施工阶段对周围大气环境产生的影响主要因素有：一是装修阶段产生的装修废气；二是机械设备焊接时会产生少量焊接废气。</w:t>
      </w:r>
    </w:p>
    <w:p w14:paraId="7BA234C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）装修废气</w:t>
      </w:r>
    </w:p>
    <w:p w14:paraId="453A0CF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项目室内装修阶段</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主要是厂房内外墙面粉饰，</w:t>
      </w:r>
      <w:r>
        <w:rPr>
          <w:rFonts w:hint="default" w:ascii="Times New Roman" w:hAnsi="Times New Roman" w:eastAsia="宋体" w:cs="Times New Roman"/>
          <w:color w:val="000000" w:themeColor="text1"/>
          <w:u w:val="none" w:color="auto"/>
          <w14:textFill>
            <w14:solidFill>
              <w14:schemeClr w14:val="tx1"/>
            </w14:solidFill>
          </w14:textFill>
        </w:rPr>
        <w:t>对环境产生污染的材料主要是油漆</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其主要污染因子为甲苯和二甲苯。</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项目在标准厂房内进行装修，装修工程小，工期短，装修产生的废气对周边大气环境产生的影响很小。</w:t>
      </w:r>
    </w:p>
    <w:p w14:paraId="54CF3B9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（2）焊接烟尘</w:t>
      </w:r>
    </w:p>
    <w:p w14:paraId="2D2F222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期设备的安装会产生焊接废气，其特点是排放量小，且属于间断无组织性排放，由于其这一特点，加之施工场地开阔，扩散条件良好，因此对其不加处理也可以达到相应的排放标准。但为了进一步降低焊接烟尘对环境的影响，在施工期内应多加注意设备的维护，使其能够正常的运行，提高设备的利用率，在施工现场设置移动式焊烟净化装置和吸气罩，将焊烟收集处理后排放。</w:t>
      </w:r>
    </w:p>
    <w:p w14:paraId="49C97B66">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2.1.3 废水</w:t>
      </w:r>
    </w:p>
    <w:p w14:paraId="1C472E1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w:t>
      </w: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项目</w:t>
      </w:r>
      <w:r>
        <w:rPr>
          <w:rFonts w:hint="default" w:ascii="Times New Roman" w:hAnsi="Times New Roman" w:eastAsia="宋体" w:cs="Times New Roman"/>
          <w:bCs/>
          <w:color w:val="000000" w:themeColor="text1"/>
          <w:u w:val="none" w:color="auto"/>
          <w14:textFill>
            <w14:solidFill>
              <w14:schemeClr w14:val="tx1"/>
            </w14:solidFill>
          </w14:textFill>
        </w:rPr>
        <w:t>施工</w:t>
      </w: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期废水主要为施工</w:t>
      </w:r>
      <w:r>
        <w:rPr>
          <w:rFonts w:hint="default" w:ascii="Times New Roman" w:hAnsi="Times New Roman" w:eastAsia="宋体" w:cs="Times New Roman"/>
          <w:bCs/>
          <w:color w:val="000000" w:themeColor="text1"/>
          <w:u w:val="none" w:color="auto"/>
          <w14:textFill>
            <w14:solidFill>
              <w14:schemeClr w14:val="tx1"/>
            </w14:solidFill>
          </w14:textFill>
        </w:rPr>
        <w:t>人员生活污水</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p>
    <w:p w14:paraId="71C1233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本项目高峰期施工人员约为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0人，施工人员生活用水量约为100L/人·d，污水排放系数取0.8，则施工人员生活污水产生量为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1.6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/d，主要污染物浓度一般为COD：50-250mg/L，BOD</w:t>
      </w:r>
      <w:r>
        <w:rPr>
          <w:rFonts w:hint="default" w:ascii="Times New Roman" w:hAnsi="Times New Roman" w:eastAsia="宋体" w:cs="Times New Roman"/>
          <w:color w:val="000000" w:themeColor="text1"/>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：25-150mg/L，SS：100-200mg/L，NH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-N：15-30mg/L。施工期的生活废水经化粪池处理后排入园区污水管网。</w:t>
      </w:r>
    </w:p>
    <w:p w14:paraId="68A1948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2.1.4 噪声</w:t>
      </w:r>
    </w:p>
    <w:p w14:paraId="6300FEF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本项目施工噪声主要是</w:t>
      </w:r>
      <w:r>
        <w:rPr>
          <w:rFonts w:hint="default" w:ascii="Times New Roman" w:hAnsi="Times New Roman" w:eastAsia="宋体" w:cs="Times New Roman"/>
          <w:color w:val="000000" w:themeColor="text1"/>
          <w:u w:val="none" w:color="auto"/>
          <w14:textFill>
            <w14:solidFill>
              <w14:schemeClr w14:val="tx1"/>
            </w14:solidFill>
          </w14:textFill>
        </w:rPr>
        <w:t>装修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和设备安装阶段的施工噪声</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施工期短，且有厂房阻隔，施工在昼间进行，夜间不进行施工，施工期对周边声环境影响较小。</w:t>
      </w:r>
    </w:p>
    <w:p w14:paraId="6F3EE3B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2.1.5 固体废物</w:t>
      </w:r>
    </w:p>
    <w:p w14:paraId="08CD3D7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本项目施工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仅包含装修和设备安装，施工期</w:t>
      </w:r>
      <w:r>
        <w:rPr>
          <w:rFonts w:hint="default" w:ascii="Times New Roman" w:hAnsi="Times New Roman" w:eastAsia="宋体" w:cs="Times New Roman"/>
          <w:color w:val="000000" w:themeColor="text1"/>
          <w:u w:val="none" w:color="auto"/>
          <w14:textFill>
            <w14:solidFill>
              <w14:schemeClr w14:val="tx1"/>
            </w14:solidFill>
          </w14:textFill>
        </w:rPr>
        <w:t>不产生弃土</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u-ES"/>
          <w14:textFill>
            <w14:solidFill>
              <w14:schemeClr w14:val="tx1"/>
            </w14:solidFill>
          </w14:textFill>
        </w:rPr>
        <w:t>施工期所产生的固体废物为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r>
        <w:rPr>
          <w:rFonts w:hint="default" w:ascii="Times New Roman" w:hAnsi="Times New Roman" w:eastAsia="宋体" w:cs="Times New Roman"/>
          <w:color w:val="000000" w:themeColor="text1"/>
          <w:u w:val="none" w:color="auto"/>
          <w:lang w:val="eu-ES"/>
          <w14:textFill>
            <w14:solidFill>
              <w14:schemeClr w14:val="tx1"/>
            </w14:solidFill>
          </w14:textFill>
        </w:rPr>
        <w:t>、施工人员生活垃圾。</w:t>
      </w:r>
    </w:p>
    <w:p w14:paraId="68BADE0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p>
    <w:p w14:paraId="1433AEC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r>
        <w:rPr>
          <w:rFonts w:hint="default" w:ascii="Times New Roman" w:hAnsi="Times New Roman" w:eastAsia="宋体" w:cs="Times New Roman"/>
          <w:color w:val="000000" w:themeColor="text1"/>
          <w:u w:val="none" w:color="auto"/>
          <w:lang w:val="eu-ES"/>
          <w14:textFill>
            <w14:solidFill>
              <w14:schemeClr w14:val="tx1"/>
            </w14:solidFill>
          </w14:textFill>
        </w:rPr>
        <w:t>中可回收废料尽量由施工单位回收利用</w:t>
      </w:r>
      <w:r>
        <w:rPr>
          <w:rFonts w:hint="default" w:ascii="Times New Roman" w:hAnsi="Times New Roman" w:eastAsia="宋体" w:cs="Times New Roman"/>
          <w:color w:val="000000" w:themeColor="text1"/>
          <w:u w:val="none" w:color="auto"/>
          <w:lang w:val="eu-ES" w:eastAsia="zh-CN"/>
          <w14:textFill>
            <w14:solidFill>
              <w14:schemeClr w14:val="tx1"/>
            </w14:solidFill>
          </w14:textFill>
        </w:rPr>
        <w:t>，</w:t>
      </w:r>
      <w:r>
        <w:rPr>
          <w:rFonts w:hint="default" w:ascii="Times New Roman" w:hAnsi="Times New Roman" w:eastAsia="宋体" w:cs="Times New Roman"/>
          <w:bCs/>
          <w:color w:val="000000" w:themeColor="text1"/>
          <w:sz w:val="24"/>
          <w:szCs w:val="24"/>
          <w:u w:val="none" w:color="auto"/>
          <w:lang w:val="eu-ES"/>
          <w14:textFill>
            <w14:solidFill>
              <w14:schemeClr w14:val="tx1"/>
            </w14:solidFill>
          </w14:textFill>
        </w:rPr>
        <w:t>其他无法利用的</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固体废物</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送往指定的消纳场</w:t>
      </w:r>
      <w:r>
        <w:rPr>
          <w:rFonts w:hint="default" w:ascii="Times New Roman" w:hAnsi="Times New Roman" w:eastAsia="宋体" w:cs="Times New Roman"/>
          <w:bCs/>
          <w:color w:val="000000" w:themeColor="text1"/>
          <w:sz w:val="24"/>
          <w:szCs w:val="24"/>
          <w:u w:val="none" w:color="auto"/>
          <w:lang w:val="eu-ES"/>
          <w14:textFill>
            <w14:solidFill>
              <w14:schemeClr w14:val="tx1"/>
            </w14:solidFill>
          </w14:textFill>
        </w:rPr>
        <w:t>，不随意丢弃。</w:t>
      </w:r>
    </w:p>
    <w:p w14:paraId="44BB679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（2）生活垃圾</w:t>
      </w:r>
    </w:p>
    <w:p w14:paraId="64825E5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本项目高峰期施工人员约为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0人，生活垃圾产生量按0.5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kg/人·d计，则施工人员每天产生约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10 </w:t>
      </w:r>
      <w:r>
        <w:rPr>
          <w:rFonts w:hint="default" w:ascii="Times New Roman" w:hAnsi="Times New Roman" w:eastAsia="宋体" w:cs="Times New Roman"/>
          <w:color w:val="000000" w:themeColor="text1"/>
          <w:u w:val="none" w:color="auto"/>
          <w14:textFill>
            <w14:solidFill>
              <w14:schemeClr w14:val="tx1"/>
            </w14:solidFill>
          </w14:textFill>
        </w:rPr>
        <w:t>kg生活垃圾，生活垃圾经集中收集后运至环卫部门指定的地点统一处置。</w:t>
      </w:r>
    </w:p>
    <w:p w14:paraId="78699F1E">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2.1.6 生态环境影响</w:t>
      </w:r>
    </w:p>
    <w:p w14:paraId="1F3D90B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本项目没有基础施工，且在平江高新区新材料产业园内，不会造成生态环境影响。</w:t>
      </w:r>
    </w:p>
    <w:p w14:paraId="17E63339">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54" w:name="_Toc191239989"/>
      <w:bookmarkStart w:id="155" w:name="_Toc9788"/>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2.2 </w:t>
      </w:r>
      <w:bookmarkEnd w:id="154"/>
      <w:r>
        <w:rPr>
          <w:rFonts w:hint="default" w:ascii="Times New Roman" w:hAnsi="Times New Roman" w:eastAsia="宋体" w:cs="Times New Roman"/>
          <w:color w:val="000000" w:themeColor="text1"/>
          <w:u w:val="none" w:color="auto"/>
          <w14:textFill>
            <w14:solidFill>
              <w14:schemeClr w14:val="tx1"/>
            </w14:solidFill>
          </w14:textFill>
        </w:rPr>
        <w:t>运营期工艺流程及产污环节</w:t>
      </w:r>
      <w:bookmarkEnd w:id="155"/>
    </w:p>
    <w:p w14:paraId="7547CAA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以隔油池浮渣和煎炸废油为原料生产工业级混合油，</w:t>
      </w:r>
      <w:r>
        <w:rPr>
          <w:rFonts w:hint="default" w:ascii="Times New Roman" w:hAnsi="Times New Roman" w:eastAsia="宋体" w:cs="Times New Roman"/>
          <w:color w:val="000000" w:themeColor="text1"/>
          <w:u w:val="none" w:color="auto"/>
          <w14:textFill>
            <w14:solidFill>
              <w14:schemeClr w14:val="tx1"/>
            </w14:solidFill>
          </w14:textFill>
        </w:rPr>
        <w:t>生产工艺详见下图所示。</w:t>
      </w:r>
    </w:p>
    <w:p w14:paraId="5E36444E">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drawing>
          <wp:inline distT="0" distB="0" distL="114300" distR="114300">
            <wp:extent cx="5039360" cy="6454140"/>
            <wp:effectExtent l="0" t="0" r="0" b="3810"/>
            <wp:docPr id="20" name="ECB019B1-382A-4266-B25C-5B523AA43C14-2" descr="C:/Users/Administrator/AppData/Local/Temp/wps.BjkbR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CB019B1-382A-4266-B25C-5B523AA43C14-2" descr="C:/Users/Administrator/AppData/Local/Temp/wps.BjkbRowps"/>
                    <pic:cNvPicPr>
                      <a:picLocks noChangeAspect="1"/>
                    </pic:cNvPicPr>
                  </pic:nvPicPr>
                  <pic:blipFill>
                    <a:blip r:embed="rId31"/>
                    <a:srcRect l="2436" t="2199" r="2440" b="3696"/>
                    <a:stretch>
                      <a:fillRect/>
                    </a:stretch>
                  </pic:blipFill>
                  <pic:spPr>
                    <a:xfrm>
                      <a:off x="0" y="0"/>
                      <a:ext cx="5039360" cy="6454140"/>
                    </a:xfrm>
                    <a:prstGeom prst="rect">
                      <a:avLst/>
                    </a:prstGeom>
                  </pic:spPr>
                </pic:pic>
              </a:graphicData>
            </a:graphic>
          </wp:inline>
        </w:drawing>
      </w:r>
    </w:p>
    <w:p w14:paraId="62E743DE">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图</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2-2  工艺流程示意图</w:t>
      </w:r>
    </w:p>
    <w:p w14:paraId="5D238C30">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2.2.1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隔油池浮渣处理</w:t>
      </w:r>
      <w:r>
        <w:rPr>
          <w:rFonts w:hint="default" w:ascii="Times New Roman" w:hAnsi="Times New Roman" w:eastAsia="宋体" w:cs="Times New Roman"/>
          <w:color w:val="000000" w:themeColor="text1"/>
          <w:u w:val="none" w:color="auto"/>
          <w14:textFill>
            <w14:solidFill>
              <w14:schemeClr w14:val="tx1"/>
            </w14:solidFill>
          </w14:textFill>
        </w:rPr>
        <w:t>工艺流程</w:t>
      </w:r>
    </w:p>
    <w:p w14:paraId="17A314A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隔油池浮渣含水含渣率相对较高，在收运时进行初步物理分离以降低水、渣含量，原料油经收集转运至厂内后经过除杂、制浆、加热沉降、搅拌、三相分离等工序处理后，油相经检测合格泵入成品油储罐贮存。</w:t>
      </w:r>
    </w:p>
    <w:p w14:paraId="3B3F786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原料收集与运输</w:t>
      </w:r>
    </w:p>
    <w:p w14:paraId="4496204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项目拟配备3辆原料油收运专用车</w:t>
      </w:r>
      <w:r>
        <w:rPr>
          <w:rFonts w:hint="default" w:ascii="Times New Roman" w:hAnsi="Times New Roman" w:eastAsia="宋体" w:cs="Times New Roman"/>
          <w:color w:val="000000" w:themeColor="text1"/>
          <w:u w:val="none" w:color="auto"/>
          <w:lang w:eastAsia="zh-CN"/>
          <w14:textFill>
            <w14:solidFill>
              <w14:schemeClr w14:val="tx1"/>
            </w14:solidFill>
          </w14:textFill>
        </w:rPr>
        <w:t>进行收集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与</w:t>
      </w:r>
      <w:r>
        <w:rPr>
          <w:rFonts w:hint="default" w:ascii="Times New Roman" w:hAnsi="Times New Roman" w:eastAsia="宋体" w:cs="Times New Roman"/>
          <w:color w:val="000000" w:themeColor="text1"/>
          <w:u w:val="none" w:color="auto"/>
          <w:lang w:eastAsia="zh-CN"/>
          <w14:textFill>
            <w14:solidFill>
              <w14:schemeClr w14:val="tx1"/>
            </w14:solidFill>
          </w14:textFill>
        </w:rPr>
        <w:t>运输，</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原料油收运专用车将隔油池的浮渣吸入收集箱后，现场静置沉降，分离出的水、渣排入原隔油池，以降低原料含水含渣率。原料油收运专用车上</w:t>
      </w:r>
      <w:r>
        <w:rPr>
          <w:rFonts w:hint="default" w:ascii="Times New Roman" w:hAnsi="Times New Roman" w:eastAsia="宋体" w:cs="Times New Roman"/>
          <w:color w:val="000000" w:themeColor="text1"/>
          <w:u w:val="none" w:color="auto"/>
          <w:lang w:eastAsia="zh-CN"/>
          <w14:textFill>
            <w14:solidFill>
              <w14:schemeClr w14:val="tx1"/>
            </w14:solidFill>
          </w14:textFill>
        </w:rPr>
        <w:t>收集箱</w:t>
      </w:r>
      <w:r>
        <w:rPr>
          <w:rFonts w:hint="default" w:ascii="Times New Roman" w:hAnsi="Times New Roman" w:eastAsia="宋体" w:cs="Times New Roman"/>
          <w:color w:val="000000" w:themeColor="text1"/>
          <w:u w:val="none" w:color="auto"/>
          <w14:textFill>
            <w14:solidFill>
              <w14:schemeClr w14:val="tx1"/>
            </w14:solidFill>
          </w14:textFill>
        </w:rPr>
        <w:t>加盖密闭</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原料收集与运输</w:t>
      </w:r>
      <w:r>
        <w:rPr>
          <w:rFonts w:hint="default" w:ascii="Times New Roman" w:hAnsi="Times New Roman" w:eastAsia="宋体" w:cs="Times New Roman"/>
          <w:color w:val="000000" w:themeColor="text1"/>
          <w:u w:val="none" w:color="auto"/>
          <w14:textFill>
            <w14:solidFill>
              <w14:schemeClr w14:val="tx1"/>
            </w14:solidFill>
          </w14:textFill>
        </w:rPr>
        <w:t>过程主要产生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w:t>
      </w:r>
      <w:r>
        <w:rPr>
          <w:rFonts w:hint="default" w:ascii="Times New Roman" w:hAnsi="Times New Roman" w:eastAsia="宋体" w:cs="Times New Roman"/>
          <w:color w:val="000000" w:themeColor="text1"/>
          <w:u w:val="none" w:color="auto"/>
          <w14:textFill>
            <w14:solidFill>
              <w14:schemeClr w14:val="tx1"/>
            </w14:solidFill>
          </w14:textFill>
        </w:rPr>
        <w:t>和车辆运输噪声。</w:t>
      </w:r>
    </w:p>
    <w:p w14:paraId="5CEFC11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卸料</w:t>
      </w:r>
    </w:p>
    <w:p w14:paraId="12BD157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原料经密闭运输至厂</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内</w:t>
      </w:r>
      <w:r>
        <w:rPr>
          <w:rFonts w:hint="default" w:ascii="Times New Roman" w:hAnsi="Times New Roman" w:eastAsia="宋体" w:cs="Times New Roman"/>
          <w:color w:val="000000" w:themeColor="text1"/>
          <w:u w:val="none" w:color="auto"/>
          <w14:textFill>
            <w14:solidFill>
              <w14:schemeClr w14:val="tx1"/>
            </w14:solidFill>
          </w14:textFill>
        </w:rPr>
        <w:t>后，将收集的</w:t>
      </w:r>
      <w:r>
        <w:rPr>
          <w:rFonts w:hint="default" w:ascii="Times New Roman" w:hAnsi="Times New Roman" w:eastAsia="宋体" w:cs="Times New Roman"/>
          <w:color w:val="000000" w:themeColor="text1"/>
          <w:u w:val="none" w:color="auto"/>
          <w:lang w:eastAsia="zh-CN"/>
          <w14:textFill>
            <w14:solidFill>
              <w14:schemeClr w14:val="tx1"/>
            </w14:solidFill>
          </w14:textFill>
        </w:rPr>
        <w:t>隔油池浮渣</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通过密闭管道卸</w:t>
      </w:r>
      <w:r>
        <w:rPr>
          <w:rFonts w:hint="default" w:ascii="Times New Roman" w:hAnsi="Times New Roman" w:eastAsia="宋体" w:cs="Times New Roman"/>
          <w:color w:val="000000" w:themeColor="text1"/>
          <w:u w:val="none" w:color="auto"/>
          <w14:textFill>
            <w14:solidFill>
              <w14:schemeClr w14:val="tx1"/>
            </w14:solidFill>
          </w14:textFill>
        </w:rPr>
        <w:t>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除杂机</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卸料</w:t>
      </w:r>
      <w:r>
        <w:rPr>
          <w:rFonts w:hint="default" w:ascii="Times New Roman" w:hAnsi="Times New Roman" w:eastAsia="宋体" w:cs="Times New Roman"/>
          <w:color w:val="000000" w:themeColor="text1"/>
          <w:u w:val="none" w:color="auto"/>
          <w14:textFill>
            <w14:solidFill>
              <w14:schemeClr w14:val="tx1"/>
            </w14:solidFill>
          </w14:textFill>
        </w:rPr>
        <w:t>工序会产生</w:t>
      </w:r>
      <w:r>
        <w:rPr>
          <w:rFonts w:hint="default" w:ascii="Times New Roman" w:hAnsi="Times New Roman" w:eastAsia="宋体" w:cs="Times New Roman"/>
          <w:color w:val="000000" w:themeColor="text1"/>
          <w:u w:val="none" w:color="auto"/>
          <w:lang w:eastAsia="zh-CN"/>
          <w14:textFill>
            <w14:solidFill>
              <w14:schemeClr w14:val="tx1"/>
            </w14:solidFill>
          </w14:textFill>
        </w:rPr>
        <w:t>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w:t>
      </w:r>
      <w:r>
        <w:rPr>
          <w:rFonts w:hint="default" w:ascii="Times New Roman" w:hAnsi="Times New Roman" w:eastAsia="宋体" w:cs="Times New Roman"/>
          <w:color w:val="000000" w:themeColor="text1"/>
          <w:u w:val="none" w:color="auto"/>
          <w14:textFill>
            <w14:solidFill>
              <w14:schemeClr w14:val="tx1"/>
            </w14:solidFill>
          </w14:textFill>
        </w:rPr>
        <w:t>噪声。</w:t>
      </w:r>
    </w:p>
    <w:p w14:paraId="430369E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除</w:t>
      </w:r>
      <w:bookmarkStart w:id="757" w:name="_GoBack"/>
      <w:bookmarkEnd w:id="757"/>
      <w:r>
        <w:rPr>
          <w:rFonts w:hint="default" w:ascii="Times New Roman" w:hAnsi="Times New Roman" w:eastAsia="宋体" w:cs="Times New Roman"/>
          <w:color w:val="000000" w:themeColor="text1"/>
          <w:u w:val="none" w:color="auto"/>
          <w:lang w:val="en-US" w:eastAsia="zh-CN"/>
          <w14:textFill>
            <w14:solidFill>
              <w14:schemeClr w14:val="tx1"/>
            </w14:solidFill>
          </w14:textFill>
        </w:rPr>
        <w:t>杂</w:t>
      </w:r>
    </w:p>
    <w:p w14:paraId="1DB6A00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隔油池浮渣</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进入除杂机后</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在</w:t>
      </w:r>
      <w:r>
        <w:rPr>
          <w:rFonts w:hint="default" w:ascii="Times New Roman" w:hAnsi="Times New Roman" w:eastAsia="宋体" w:cs="Times New Roman"/>
          <w:color w:val="000000" w:themeColor="text1"/>
          <w:u w:val="none" w:color="auto"/>
          <w:lang w:eastAsia="zh-CN"/>
          <w14:textFill>
            <w14:solidFill>
              <w14:schemeClr w14:val="tx1"/>
            </w14:solidFill>
          </w14:textFill>
        </w:rPr>
        <w:t>过滤器</w:t>
      </w:r>
      <w:r>
        <w:rPr>
          <w:rFonts w:hint="default" w:ascii="Times New Roman" w:hAnsi="Times New Roman" w:eastAsia="宋体" w:cs="Times New Roman"/>
          <w:color w:val="000000" w:themeColor="text1"/>
          <w:u w:val="none" w:color="auto"/>
          <w14:textFill>
            <w14:solidFill>
              <w14:schemeClr w14:val="tx1"/>
            </w14:solidFill>
          </w14:textFill>
        </w:rPr>
        <w:t>内去除横截面积4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mm</w:t>
      </w:r>
      <w:r>
        <w:rPr>
          <w:rFonts w:hint="default" w:ascii="Times New Roman" w:hAnsi="Times New Roman" w:eastAsia="宋体" w:cs="Times New Roman"/>
          <w:color w:val="000000" w:themeColor="text1"/>
          <w:u w:val="none" w:color="auto"/>
          <w14:textFill>
            <w14:solidFill>
              <w14:schemeClr w14:val="tx1"/>
            </w14:solidFill>
          </w14:textFill>
        </w:rPr>
        <w:t>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上</w:t>
      </w:r>
      <w:r>
        <w:rPr>
          <w:rFonts w:hint="default" w:ascii="Times New Roman" w:hAnsi="Times New Roman" w:eastAsia="宋体" w:cs="Times New Roman"/>
          <w:color w:val="000000" w:themeColor="text1"/>
          <w:u w:val="none" w:color="auto"/>
          <w14:textFill>
            <w14:solidFill>
              <w14:schemeClr w14:val="tx1"/>
            </w14:solidFill>
          </w14:textFill>
        </w:rPr>
        <w:t>的残渣。能去除15%-20%的残渣。</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除杂</w:t>
      </w:r>
      <w:r>
        <w:rPr>
          <w:rFonts w:hint="default" w:ascii="Times New Roman" w:hAnsi="Times New Roman" w:eastAsia="宋体" w:cs="Times New Roman"/>
          <w:color w:val="000000" w:themeColor="text1"/>
          <w:u w:val="none" w:color="auto"/>
          <w14:textFill>
            <w14:solidFill>
              <w14:schemeClr w14:val="tx1"/>
            </w14:solidFill>
          </w14:textFill>
        </w:rPr>
        <w:t>工序会产生</w:t>
      </w:r>
      <w:r>
        <w:rPr>
          <w:rFonts w:hint="default" w:ascii="Times New Roman" w:hAnsi="Times New Roman" w:eastAsia="宋体" w:cs="Times New Roman"/>
          <w:color w:val="000000" w:themeColor="text1"/>
          <w:u w:val="none" w:color="auto"/>
          <w:lang w:eastAsia="zh-CN"/>
          <w14:textFill>
            <w14:solidFill>
              <w14:schemeClr w14:val="tx1"/>
            </w14:solidFill>
          </w14:textFill>
        </w:rPr>
        <w:t>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、废渣和</w:t>
      </w:r>
      <w:r>
        <w:rPr>
          <w:rFonts w:hint="default" w:ascii="Times New Roman" w:hAnsi="Times New Roman" w:eastAsia="宋体" w:cs="Times New Roman"/>
          <w:color w:val="000000" w:themeColor="text1"/>
          <w:u w:val="none" w:color="auto"/>
          <w14:textFill>
            <w14:solidFill>
              <w14:schemeClr w14:val="tx1"/>
            </w14:solidFill>
          </w14:textFill>
        </w:rPr>
        <w:t>噪声。</w:t>
      </w:r>
    </w:p>
    <w:p w14:paraId="66B7C30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制浆</w:t>
      </w:r>
    </w:p>
    <w:p w14:paraId="32C1271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经过除杂机预处理的原料油进入制浆罐，制浆罐使用蒸汽加热，保持罐内温度约40℃，原料油在制浆罐内浆化，油、水、渣初步分离。水、渣沉降到</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底部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，上部分油相及下部分少量油、水、渣混合层泵入到加热罐继续处理。制浆工序会产生废气、废水、废渣和噪声。</w:t>
      </w:r>
    </w:p>
    <w:p w14:paraId="079C1F6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加热沉降</w:t>
      </w:r>
    </w:p>
    <w:p w14:paraId="0A93412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经制浆罐初步分离后的原料油在加热罐内继续加热，加热罐外附着蒸汽盘管间接加热，保持罐内温度约60℃，加热时间约1 h，然后原料油在加热罐内沉降1～2 d，实现油、水、渣物理分离。上部分油相经检测合格泵入成品油储罐贮存，下部分油、水、渣混合层泵入搅拌罐继续处理。加热沉降工序会产生废气。</w:t>
      </w:r>
    </w:p>
    <w:p w14:paraId="32728D6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搅拌</w:t>
      </w:r>
    </w:p>
    <w:p w14:paraId="7212D92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加热罐下部分油、水、渣混合层在搅拌罐内继续加热、搅拌，搅拌罐外附着蒸汽盘管间接加热，保持罐内温度约80℃，加热搅拌时间约1 h，经加热搅拌实现油、水、渣分离，提高后续三相分离的效率。搅拌工序会产生废气和噪声。</w:t>
      </w:r>
    </w:p>
    <w:p w14:paraId="3704EDB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三相分离</w:t>
      </w:r>
    </w:p>
    <w:p w14:paraId="6B17FA6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经</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搅拌罐处理</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后的原料油经管道输送至卧式三相离心机中进行三相分离，分离出三种状态的物料</w:t>
      </w:r>
      <w:r>
        <w:rPr>
          <w:rFonts w:hint="default" w:ascii="Times New Roman" w:hAnsi="Times New Roman" w:eastAsia="宋体" w:cs="Times New Roman"/>
          <w:bCs/>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水相、渣相、油相；此时油脂温度约40～50℃左右。水相</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经密闭管道收集汇入隔油池+A/O预处理后，通过园区污水管网排入园平江高新区污水处理厂深度处理</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；渣相</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暂存于沉渣池，定期转运处置</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油相经检测合格泵入成品油储罐贮存</w:t>
      </w:r>
      <w:r>
        <w:rPr>
          <w:rFonts w:hint="default" w:ascii="Times New Roman" w:hAnsi="Times New Roman" w:eastAsia="宋体" w:cs="Times New Roman"/>
          <w:bCs/>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三相分离</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工序会产生</w:t>
      </w:r>
      <w:r>
        <w:rPr>
          <w:rFonts w:hint="default" w:ascii="Times New Roman" w:hAnsi="Times New Roman" w:eastAsia="宋体" w:cs="Times New Roman"/>
          <w:color w:val="000000" w:themeColor="text1"/>
          <w:u w:val="none" w:color="auto"/>
          <w:lang w:eastAsia="zh-CN"/>
          <w14:textFill>
            <w14:solidFill>
              <w14:schemeClr w14:val="tx1"/>
            </w14:solidFill>
          </w14:textFill>
        </w:rPr>
        <w:t>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、废水、废渣和</w:t>
      </w:r>
      <w:r>
        <w:rPr>
          <w:rFonts w:hint="default" w:ascii="Times New Roman" w:hAnsi="Times New Roman" w:eastAsia="宋体" w:cs="Times New Roman"/>
          <w:color w:val="000000" w:themeColor="text1"/>
          <w:u w:val="none" w:color="auto"/>
          <w14:textFill>
            <w14:solidFill>
              <w14:schemeClr w14:val="tx1"/>
            </w14:solidFill>
          </w14:textFill>
        </w:rPr>
        <w:t>噪声。</w:t>
      </w:r>
    </w:p>
    <w:p w14:paraId="6A7158F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检测</w:t>
      </w:r>
    </w:p>
    <w:p w14:paraId="5782438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油</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相</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经人工进行抽样检测（</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检测项目包括酸值、水分+不溶性杂志</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）（检测时间30分钟内即可完成），符合出厂品质后</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的油相</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直接泵入</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成品油储罐贮存。</w:t>
      </w:r>
    </w:p>
    <w:p w14:paraId="6FD225B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成品油贮存</w:t>
      </w:r>
    </w:p>
    <w:p w14:paraId="2C34989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成品油采用密闭常压油罐</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贮存</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，再用泵抽取到专用密闭罐车外售。此过程主要产生</w:t>
      </w:r>
      <w:r>
        <w:rPr>
          <w:rFonts w:hint="default" w:ascii="Times New Roman" w:hAnsi="Times New Roman" w:eastAsia="宋体" w:cs="Times New Roman"/>
          <w:color w:val="000000" w:themeColor="text1"/>
          <w:u w:val="none" w:color="auto"/>
          <w:lang w:eastAsia="zh-CN"/>
          <w14:textFill>
            <w14:solidFill>
              <w14:schemeClr w14:val="tx1"/>
            </w14:solidFill>
          </w14:textFill>
        </w:rPr>
        <w:t>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噪声。</w:t>
      </w:r>
    </w:p>
    <w:p w14:paraId="78CF8983">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2.2.2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煎炸废油处理</w:t>
      </w:r>
      <w:r>
        <w:rPr>
          <w:rFonts w:hint="default" w:ascii="Times New Roman" w:hAnsi="Times New Roman" w:eastAsia="宋体" w:cs="Times New Roman"/>
          <w:color w:val="000000" w:themeColor="text1"/>
          <w:u w:val="none" w:color="auto"/>
          <w14:textFill>
            <w14:solidFill>
              <w14:schemeClr w14:val="tx1"/>
            </w14:solidFill>
          </w14:textFill>
        </w:rPr>
        <w:t>工艺流程</w:t>
      </w:r>
    </w:p>
    <w:p w14:paraId="049A06A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含水含渣率相对很低，经过制浆罐进行油、水、渣分离即可达到产品质量标准。煎炸废油经原料油收运专用车运输至建设单位后卸入制浆罐，制浆罐分离出原料中的水、渣，上部分油相经检测合格泵入成品油储罐贮存。</w:t>
      </w:r>
    </w:p>
    <w:p w14:paraId="36672D8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原料收集与运输</w:t>
      </w:r>
    </w:p>
    <w:p w14:paraId="5648587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煎炸废油经食品厂、方便食品企业等自行收集暂存，通过项目配备的原料油收运专用车进行收集与转运。原料油收运专用车上</w:t>
      </w:r>
      <w:r>
        <w:rPr>
          <w:rFonts w:hint="default" w:ascii="Times New Roman" w:hAnsi="Times New Roman" w:eastAsia="宋体" w:cs="Times New Roman"/>
          <w:color w:val="000000" w:themeColor="text1"/>
          <w:u w:val="none" w:color="auto"/>
          <w:lang w:eastAsia="zh-CN"/>
          <w14:textFill>
            <w14:solidFill>
              <w14:schemeClr w14:val="tx1"/>
            </w14:solidFill>
          </w14:textFill>
        </w:rPr>
        <w:t>收集箱</w:t>
      </w:r>
      <w:r>
        <w:rPr>
          <w:rFonts w:hint="default" w:ascii="Times New Roman" w:hAnsi="Times New Roman" w:eastAsia="宋体" w:cs="Times New Roman"/>
          <w:color w:val="000000" w:themeColor="text1"/>
          <w:u w:val="none" w:color="auto"/>
          <w14:textFill>
            <w14:solidFill>
              <w14:schemeClr w14:val="tx1"/>
            </w14:solidFill>
          </w14:textFill>
        </w:rPr>
        <w:t>加盖密闭</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原料收集与运输</w:t>
      </w:r>
      <w:r>
        <w:rPr>
          <w:rFonts w:hint="default" w:ascii="Times New Roman" w:hAnsi="Times New Roman" w:eastAsia="宋体" w:cs="Times New Roman"/>
          <w:color w:val="000000" w:themeColor="text1"/>
          <w:u w:val="none" w:color="auto"/>
          <w14:textFill>
            <w14:solidFill>
              <w14:schemeClr w14:val="tx1"/>
            </w14:solidFill>
          </w14:textFill>
        </w:rPr>
        <w:t>过程主要产生</w:t>
      </w:r>
      <w:r>
        <w:rPr>
          <w:rFonts w:hint="default" w:ascii="Times New Roman" w:hAnsi="Times New Roman" w:eastAsia="宋体" w:cs="Times New Roman"/>
          <w:color w:val="000000" w:themeColor="text1"/>
          <w:u w:val="none" w:color="auto"/>
          <w:lang w:eastAsia="zh-CN"/>
          <w14:textFill>
            <w14:solidFill>
              <w14:schemeClr w14:val="tx1"/>
            </w14:solidFill>
          </w14:textFill>
        </w:rPr>
        <w:t>废气</w:t>
      </w:r>
      <w:r>
        <w:rPr>
          <w:rFonts w:hint="default" w:ascii="Times New Roman" w:hAnsi="Times New Roman" w:eastAsia="宋体" w:cs="Times New Roman"/>
          <w:color w:val="000000" w:themeColor="text1"/>
          <w:u w:val="none" w:color="auto"/>
          <w14:textFill>
            <w14:solidFill>
              <w14:schemeClr w14:val="tx1"/>
            </w14:solidFill>
          </w14:textFill>
        </w:rPr>
        <w:t>和车辆运输噪声。</w:t>
      </w:r>
    </w:p>
    <w:p w14:paraId="0FADF3B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卸料</w:t>
      </w:r>
    </w:p>
    <w:p w14:paraId="42F99A3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原料经密闭运输至厂</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内</w:t>
      </w:r>
      <w:r>
        <w:rPr>
          <w:rFonts w:hint="default" w:ascii="Times New Roman" w:hAnsi="Times New Roman" w:eastAsia="宋体" w:cs="Times New Roman"/>
          <w:color w:val="000000" w:themeColor="text1"/>
          <w:u w:val="none" w:color="auto"/>
          <w14:textFill>
            <w14:solidFill>
              <w14:schemeClr w14:val="tx1"/>
            </w14:solidFill>
          </w14:textFill>
        </w:rPr>
        <w:t>后，将收集的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煎炸废油通过密闭管道卸</w:t>
      </w:r>
      <w:r>
        <w:rPr>
          <w:rFonts w:hint="default" w:ascii="Times New Roman" w:hAnsi="Times New Roman" w:eastAsia="宋体" w:cs="Times New Roman"/>
          <w:color w:val="000000" w:themeColor="text1"/>
          <w:u w:val="none" w:color="auto"/>
          <w14:textFill>
            <w14:solidFill>
              <w14:schemeClr w14:val="tx1"/>
            </w14:solidFill>
          </w14:textFill>
        </w:rPr>
        <w:t>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制浆罐</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卸料</w:t>
      </w:r>
      <w:r>
        <w:rPr>
          <w:rFonts w:hint="default" w:ascii="Times New Roman" w:hAnsi="Times New Roman" w:eastAsia="宋体" w:cs="Times New Roman"/>
          <w:color w:val="000000" w:themeColor="text1"/>
          <w:u w:val="none" w:color="auto"/>
          <w14:textFill>
            <w14:solidFill>
              <w14:schemeClr w14:val="tx1"/>
            </w14:solidFill>
          </w14:textFill>
        </w:rPr>
        <w:t>工序会产生</w:t>
      </w:r>
      <w:r>
        <w:rPr>
          <w:rFonts w:hint="default" w:ascii="Times New Roman" w:hAnsi="Times New Roman" w:eastAsia="宋体" w:cs="Times New Roman"/>
          <w:color w:val="000000" w:themeColor="text1"/>
          <w:u w:val="none" w:color="auto"/>
          <w:lang w:eastAsia="zh-CN"/>
          <w14:textFill>
            <w14:solidFill>
              <w14:schemeClr w14:val="tx1"/>
            </w14:solidFill>
          </w14:textFill>
        </w:rPr>
        <w:t>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w:t>
      </w:r>
      <w:r>
        <w:rPr>
          <w:rFonts w:hint="default" w:ascii="Times New Roman" w:hAnsi="Times New Roman" w:eastAsia="宋体" w:cs="Times New Roman"/>
          <w:color w:val="000000" w:themeColor="text1"/>
          <w:u w:val="none" w:color="auto"/>
          <w14:textFill>
            <w14:solidFill>
              <w14:schemeClr w14:val="tx1"/>
            </w14:solidFill>
          </w14:textFill>
        </w:rPr>
        <w:t>噪声。</w:t>
      </w:r>
    </w:p>
    <w:p w14:paraId="2B0FE46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制浆</w:t>
      </w:r>
    </w:p>
    <w:p w14:paraId="22205F4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制浆罐使用蒸汽加热，保持罐内温度约40℃，原料油在制浆罐内浆化，油、水、渣初步分离。上部分油相</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经检测合格</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泵入</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成品油储罐贮存，</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下部分油、水、渣混合层泵入隔油池浮渣处理工艺制浆工序继续处理</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制浆工序会产生废气和噪声。</w:t>
      </w:r>
    </w:p>
    <w:p w14:paraId="46F1C64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检测</w:t>
      </w:r>
    </w:p>
    <w:p w14:paraId="7ED2386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油</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相</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经人工进行抽样检测（</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检测项目包括酸值、水分+不溶性杂志</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）（检测时间30分钟内即可完成），符合出厂品质后</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的油相</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直接泵入</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成品油储罐贮存。</w:t>
      </w:r>
    </w:p>
    <w:p w14:paraId="2980F5F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成品油贮存</w:t>
      </w:r>
    </w:p>
    <w:p w14:paraId="7A5525C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sz w:val="24"/>
          <w:szCs w:val="24"/>
          <w:u w:val="none" w:color="auto"/>
          <w14:textFill>
            <w14:solidFill>
              <w14:schemeClr w14:val="tx1"/>
            </w14:solidFill>
          </w14:textFill>
        </w:rPr>
        <w:t>成品油采用密闭常压油罐</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贮存</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，再用泵抽取到专用密闭罐车外售。此过程主要产生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废气和</w:t>
      </w:r>
      <w:r>
        <w:rPr>
          <w:rFonts w:hint="default" w:ascii="Times New Roman" w:hAnsi="Times New Roman" w:eastAsia="宋体" w:cs="Times New Roman"/>
          <w:bCs/>
          <w:color w:val="000000" w:themeColor="text1"/>
          <w:sz w:val="24"/>
          <w:szCs w:val="24"/>
          <w:u w:val="none" w:color="auto"/>
          <w14:textFill>
            <w14:solidFill>
              <w14:schemeClr w14:val="tx1"/>
            </w14:solidFill>
          </w14:textFill>
        </w:rPr>
        <w:t>噪声。</w:t>
      </w:r>
    </w:p>
    <w:p w14:paraId="7695A8FD">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2.2.3 废水处理工艺</w:t>
      </w:r>
    </w:p>
    <w:p w14:paraId="4AF0AC7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项目制浆工序、三相分离工序产生的废水经密闭管道收集汇入隔油池+A/O预处理达到园平江高新区污水处理厂纳污标准后，通过园区污水管网排入园平江高新区污水处理厂深度处理。</w:t>
      </w:r>
    </w:p>
    <w:p w14:paraId="7E6440C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56" w:name="_Toc24849"/>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2.3 产污环节</w:t>
      </w:r>
      <w:bookmarkEnd w:id="156"/>
    </w:p>
    <w:p w14:paraId="6716969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2-5  本项目产污环节分析表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2028"/>
        <w:gridCol w:w="2325"/>
        <w:gridCol w:w="2062"/>
        <w:gridCol w:w="1281"/>
      </w:tblGrid>
      <w:tr w14:paraId="181242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86" w:type="pct"/>
            <w:vAlign w:val="center"/>
          </w:tcPr>
          <w:p w14:paraId="689C1F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类别</w:t>
            </w:r>
          </w:p>
        </w:tc>
        <w:tc>
          <w:tcPr>
            <w:tcW w:w="1189" w:type="pct"/>
            <w:vAlign w:val="center"/>
          </w:tcPr>
          <w:p w14:paraId="4882D2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产生环节</w:t>
            </w:r>
          </w:p>
        </w:tc>
        <w:tc>
          <w:tcPr>
            <w:tcW w:w="1363" w:type="pct"/>
            <w:vAlign w:val="center"/>
          </w:tcPr>
          <w:p w14:paraId="5DD4F9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主要污染物</w:t>
            </w:r>
          </w:p>
        </w:tc>
        <w:tc>
          <w:tcPr>
            <w:tcW w:w="1209" w:type="pct"/>
            <w:vAlign w:val="center"/>
          </w:tcPr>
          <w:p w14:paraId="7932CB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处理方式</w:t>
            </w:r>
          </w:p>
        </w:tc>
        <w:tc>
          <w:tcPr>
            <w:tcW w:w="751" w:type="pct"/>
            <w:vAlign w:val="center"/>
          </w:tcPr>
          <w:p w14:paraId="2CB0DC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排放去向</w:t>
            </w:r>
          </w:p>
        </w:tc>
      </w:tr>
      <w:tr w14:paraId="519B19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restart"/>
            <w:vAlign w:val="center"/>
          </w:tcPr>
          <w:p w14:paraId="0F9635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废气</w:t>
            </w:r>
          </w:p>
        </w:tc>
        <w:tc>
          <w:tcPr>
            <w:tcW w:w="1189" w:type="pct"/>
            <w:vAlign w:val="center"/>
          </w:tcPr>
          <w:p w14:paraId="108D8E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原料油收集与运输</w:t>
            </w:r>
          </w:p>
        </w:tc>
        <w:tc>
          <w:tcPr>
            <w:tcW w:w="1363" w:type="pct"/>
            <w:vAlign w:val="center"/>
          </w:tcPr>
          <w:p w14:paraId="21959D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、臭气浓度、非甲烷总烃</w:t>
            </w:r>
          </w:p>
        </w:tc>
        <w:tc>
          <w:tcPr>
            <w:tcW w:w="1209" w:type="pct"/>
            <w:vAlign w:val="center"/>
          </w:tcPr>
          <w:p w14:paraId="7005D3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加盖密闭</w:t>
            </w:r>
          </w:p>
        </w:tc>
        <w:tc>
          <w:tcPr>
            <w:tcW w:w="751" w:type="pct"/>
            <w:vAlign w:val="center"/>
          </w:tcPr>
          <w:p w14:paraId="2A81D3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无组织废气</w:t>
            </w:r>
          </w:p>
        </w:tc>
      </w:tr>
      <w:tr w14:paraId="7E1795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463EB0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6DF8A9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卸料工序</w:t>
            </w:r>
          </w:p>
        </w:tc>
        <w:tc>
          <w:tcPr>
            <w:tcW w:w="1363" w:type="pct"/>
            <w:vAlign w:val="center"/>
          </w:tcPr>
          <w:p w14:paraId="777FEB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、臭气浓度、非甲烷总烃</w:t>
            </w:r>
          </w:p>
        </w:tc>
        <w:tc>
          <w:tcPr>
            <w:tcW w:w="1209" w:type="pct"/>
            <w:vAlign w:val="center"/>
          </w:tcPr>
          <w:p w14:paraId="16E3C8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厂房密闭</w:t>
            </w:r>
          </w:p>
        </w:tc>
        <w:tc>
          <w:tcPr>
            <w:tcW w:w="1281" w:type="dxa"/>
            <w:vAlign w:val="center"/>
          </w:tcPr>
          <w:p w14:paraId="3B9FD7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无组织废气</w:t>
            </w:r>
          </w:p>
        </w:tc>
      </w:tr>
      <w:tr w14:paraId="79381F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69D5C4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48DC39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除杂工序</w:t>
            </w:r>
          </w:p>
        </w:tc>
        <w:tc>
          <w:tcPr>
            <w:tcW w:w="1363" w:type="pct"/>
            <w:vAlign w:val="center"/>
          </w:tcPr>
          <w:p w14:paraId="439793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、臭气浓度、非甲烷总烃</w:t>
            </w:r>
          </w:p>
        </w:tc>
        <w:tc>
          <w:tcPr>
            <w:tcW w:w="1209" w:type="pct"/>
            <w:vAlign w:val="center"/>
          </w:tcPr>
          <w:p w14:paraId="344206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加盖密闭</w:t>
            </w:r>
          </w:p>
        </w:tc>
        <w:tc>
          <w:tcPr>
            <w:tcW w:w="1281" w:type="dxa"/>
            <w:vAlign w:val="center"/>
          </w:tcPr>
          <w:p w14:paraId="64039A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无组织废气</w:t>
            </w:r>
          </w:p>
        </w:tc>
      </w:tr>
      <w:tr w14:paraId="04EDF2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792458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02532F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制浆工序</w:t>
            </w:r>
          </w:p>
        </w:tc>
        <w:tc>
          <w:tcPr>
            <w:tcW w:w="1363" w:type="pct"/>
            <w:shd w:val="clear" w:color="auto" w:fill="auto"/>
            <w:vAlign w:val="center"/>
          </w:tcPr>
          <w:p w14:paraId="4C4EA1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、臭气浓度、非甲烷总烃</w:t>
            </w:r>
          </w:p>
        </w:tc>
        <w:tc>
          <w:tcPr>
            <w:tcW w:w="1209" w:type="pct"/>
            <w:shd w:val="clear" w:color="auto" w:fill="auto"/>
            <w:vAlign w:val="center"/>
          </w:tcPr>
          <w:p w14:paraId="1B68D4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加盖密闭</w:t>
            </w:r>
          </w:p>
        </w:tc>
        <w:tc>
          <w:tcPr>
            <w:tcW w:w="1281" w:type="dxa"/>
            <w:shd w:val="clear" w:color="auto" w:fill="auto"/>
            <w:vAlign w:val="center"/>
          </w:tcPr>
          <w:p w14:paraId="1FAB2D1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无组织废气</w:t>
            </w:r>
          </w:p>
        </w:tc>
      </w:tr>
      <w:tr w14:paraId="01D6E4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377ADB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7F43A0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加热沉降工序</w:t>
            </w:r>
          </w:p>
        </w:tc>
        <w:tc>
          <w:tcPr>
            <w:tcW w:w="1363" w:type="pct"/>
            <w:shd w:val="clear" w:color="auto" w:fill="auto"/>
            <w:vAlign w:val="center"/>
          </w:tcPr>
          <w:p w14:paraId="606D86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、臭气浓度、非甲烷总烃</w:t>
            </w:r>
          </w:p>
        </w:tc>
        <w:tc>
          <w:tcPr>
            <w:tcW w:w="1209" w:type="pct"/>
            <w:shd w:val="clear" w:color="auto" w:fill="auto"/>
            <w:vAlign w:val="center"/>
          </w:tcPr>
          <w:p w14:paraId="0084F0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水喷淋+过滤棉+二级活性炭+15 m排气筒</w:t>
            </w:r>
          </w:p>
        </w:tc>
        <w:tc>
          <w:tcPr>
            <w:tcW w:w="751" w:type="pct"/>
            <w:shd w:val="clear" w:color="auto" w:fill="auto"/>
            <w:vAlign w:val="center"/>
          </w:tcPr>
          <w:p w14:paraId="071313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DA001</w:t>
            </w:r>
          </w:p>
        </w:tc>
      </w:tr>
      <w:tr w14:paraId="247243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2C0635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30C35F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搅拌工序</w:t>
            </w:r>
          </w:p>
        </w:tc>
        <w:tc>
          <w:tcPr>
            <w:tcW w:w="1363" w:type="pct"/>
            <w:vAlign w:val="center"/>
          </w:tcPr>
          <w:p w14:paraId="4B48A7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、臭气浓度、非甲烷总烃</w:t>
            </w:r>
          </w:p>
        </w:tc>
        <w:tc>
          <w:tcPr>
            <w:tcW w:w="1209" w:type="pct"/>
            <w:vAlign w:val="center"/>
          </w:tcPr>
          <w:p w14:paraId="4E0296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加盖密闭</w:t>
            </w:r>
          </w:p>
        </w:tc>
        <w:tc>
          <w:tcPr>
            <w:tcW w:w="1281" w:type="dxa"/>
            <w:vAlign w:val="center"/>
          </w:tcPr>
          <w:p w14:paraId="17A153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无组织废气</w:t>
            </w:r>
          </w:p>
        </w:tc>
      </w:tr>
      <w:tr w14:paraId="19E5AD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7EE463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59F87E0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三相分离工序</w:t>
            </w:r>
          </w:p>
        </w:tc>
        <w:tc>
          <w:tcPr>
            <w:tcW w:w="1363" w:type="pct"/>
            <w:shd w:val="clear" w:color="auto" w:fill="auto"/>
            <w:vAlign w:val="center"/>
          </w:tcPr>
          <w:p w14:paraId="3C232A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、臭气浓度、非甲烷总烃</w:t>
            </w:r>
          </w:p>
        </w:tc>
        <w:tc>
          <w:tcPr>
            <w:tcW w:w="1209" w:type="pct"/>
            <w:shd w:val="clear" w:color="auto" w:fill="auto"/>
            <w:vAlign w:val="center"/>
          </w:tcPr>
          <w:p w14:paraId="031349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加盖密闭</w:t>
            </w:r>
          </w:p>
        </w:tc>
        <w:tc>
          <w:tcPr>
            <w:tcW w:w="1281" w:type="dxa"/>
            <w:shd w:val="clear" w:color="auto" w:fill="auto"/>
            <w:vAlign w:val="center"/>
          </w:tcPr>
          <w:p w14:paraId="6570ED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无组织废气</w:t>
            </w:r>
          </w:p>
        </w:tc>
      </w:tr>
      <w:tr w14:paraId="04DB60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036295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0537AB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成品油贮存</w:t>
            </w:r>
          </w:p>
        </w:tc>
        <w:tc>
          <w:tcPr>
            <w:tcW w:w="1363" w:type="pct"/>
            <w:shd w:val="clear" w:color="auto" w:fill="auto"/>
            <w:vAlign w:val="center"/>
          </w:tcPr>
          <w:p w14:paraId="43B34D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、臭气浓度、非甲烷总烃</w:t>
            </w:r>
          </w:p>
        </w:tc>
        <w:tc>
          <w:tcPr>
            <w:tcW w:w="1209" w:type="pct"/>
            <w:shd w:val="clear" w:color="auto" w:fill="auto"/>
            <w:vAlign w:val="center"/>
          </w:tcPr>
          <w:p w14:paraId="1C3009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水喷淋+过滤棉+二级活性炭+15 m排气筒</w:t>
            </w:r>
          </w:p>
        </w:tc>
        <w:tc>
          <w:tcPr>
            <w:tcW w:w="751" w:type="pct"/>
            <w:shd w:val="clear" w:color="auto" w:fill="auto"/>
            <w:vAlign w:val="center"/>
          </w:tcPr>
          <w:p w14:paraId="79EFF0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DA001</w:t>
            </w:r>
          </w:p>
        </w:tc>
      </w:tr>
      <w:tr w14:paraId="05EF7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restart"/>
            <w:vAlign w:val="center"/>
          </w:tcPr>
          <w:p w14:paraId="6F0672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w:t>
            </w:r>
          </w:p>
        </w:tc>
        <w:tc>
          <w:tcPr>
            <w:tcW w:w="1189" w:type="pct"/>
            <w:vAlign w:val="center"/>
          </w:tcPr>
          <w:p w14:paraId="65616B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制浆工序</w:t>
            </w:r>
          </w:p>
        </w:tc>
        <w:tc>
          <w:tcPr>
            <w:tcW w:w="1363" w:type="pct"/>
            <w:vAlign w:val="center"/>
          </w:tcPr>
          <w:p w14:paraId="6558E5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COD</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Cr</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、BOD</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-N、动植物油</w:t>
            </w:r>
          </w:p>
        </w:tc>
        <w:tc>
          <w:tcPr>
            <w:tcW w:w="1209" w:type="pct"/>
            <w:vAlign w:val="center"/>
          </w:tcPr>
          <w:p w14:paraId="6C2D76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隔油池+A/O预处理</w:t>
            </w:r>
          </w:p>
        </w:tc>
        <w:tc>
          <w:tcPr>
            <w:tcW w:w="751" w:type="pct"/>
            <w:vAlign w:val="center"/>
          </w:tcPr>
          <w:p w14:paraId="271905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平江高新区污水处理厂</w:t>
            </w:r>
          </w:p>
        </w:tc>
      </w:tr>
      <w:tr w14:paraId="66AA8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429DC7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4EB13D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三相分离工序</w:t>
            </w:r>
          </w:p>
        </w:tc>
        <w:tc>
          <w:tcPr>
            <w:tcW w:w="1363" w:type="pct"/>
            <w:vAlign w:val="center"/>
          </w:tcPr>
          <w:p w14:paraId="007B87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COD</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Cr</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、BOD</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-N、动植物油</w:t>
            </w:r>
          </w:p>
        </w:tc>
        <w:tc>
          <w:tcPr>
            <w:tcW w:w="1209" w:type="pct"/>
            <w:vAlign w:val="center"/>
          </w:tcPr>
          <w:p w14:paraId="6E23BC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隔油池+A/O预处理</w:t>
            </w:r>
          </w:p>
        </w:tc>
        <w:tc>
          <w:tcPr>
            <w:tcW w:w="751" w:type="pct"/>
            <w:vAlign w:val="center"/>
          </w:tcPr>
          <w:p w14:paraId="00D1B8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平江高新区污水处理厂</w:t>
            </w:r>
          </w:p>
        </w:tc>
      </w:tr>
      <w:tr w14:paraId="6D6DF8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7772D6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2BB718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w:t>
            </w:r>
            <w:r>
              <w:rPr>
                <w:rFonts w:hint="eastAsia" w:eastAsia="宋体" w:cs="Times New Roman"/>
                <w:color w:val="000000" w:themeColor="text1"/>
                <w:u w:val="none" w:color="auto"/>
                <w:lang w:val="en-US" w:eastAsia="zh-CN"/>
                <w14:textFill>
                  <w14:solidFill>
                    <w14:schemeClr w14:val="tx1"/>
                  </w14:solidFill>
                </w14:textFill>
              </w:rPr>
              <w:t>（喷淋塔循环水）</w:t>
            </w:r>
          </w:p>
        </w:tc>
        <w:tc>
          <w:tcPr>
            <w:tcW w:w="1363" w:type="pct"/>
            <w:vAlign w:val="center"/>
          </w:tcPr>
          <w:p w14:paraId="4020B0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pH值、COD</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Cr</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-N</w:t>
            </w:r>
          </w:p>
        </w:tc>
        <w:tc>
          <w:tcPr>
            <w:tcW w:w="1209" w:type="pct"/>
            <w:vAlign w:val="center"/>
          </w:tcPr>
          <w:p w14:paraId="5982D0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隔油池+A/O预处理</w:t>
            </w:r>
          </w:p>
        </w:tc>
        <w:tc>
          <w:tcPr>
            <w:tcW w:w="751" w:type="pct"/>
            <w:vAlign w:val="center"/>
          </w:tcPr>
          <w:p w14:paraId="050FD0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平江高新区污水处理厂</w:t>
            </w:r>
          </w:p>
        </w:tc>
      </w:tr>
      <w:tr w14:paraId="4721BC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Align w:val="center"/>
          </w:tcPr>
          <w:p w14:paraId="4ECA7A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w:t>
            </w:r>
          </w:p>
        </w:tc>
        <w:tc>
          <w:tcPr>
            <w:tcW w:w="1189" w:type="pct"/>
            <w:vAlign w:val="center"/>
          </w:tcPr>
          <w:p w14:paraId="48C37F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收运阶段、</w:t>
            </w:r>
            <w:r>
              <w:rPr>
                <w:rFonts w:hint="default" w:ascii="Times New Roman" w:hAnsi="Times New Roman" w:eastAsia="宋体" w:cs="Times New Roman"/>
                <w:color w:val="000000" w:themeColor="text1"/>
                <w:u w:val="none" w:color="auto"/>
                <w14:textFill>
                  <w14:solidFill>
                    <w14:schemeClr w14:val="tx1"/>
                  </w14:solidFill>
                </w14:textFill>
              </w:rPr>
              <w:t>生产阶段</w:t>
            </w:r>
          </w:p>
        </w:tc>
        <w:tc>
          <w:tcPr>
            <w:tcW w:w="1363" w:type="pct"/>
            <w:vAlign w:val="center"/>
          </w:tcPr>
          <w:p w14:paraId="0F05A1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设备造成、机械噪声</w:t>
            </w:r>
          </w:p>
        </w:tc>
        <w:tc>
          <w:tcPr>
            <w:tcW w:w="1209" w:type="pct"/>
            <w:vAlign w:val="center"/>
          </w:tcPr>
          <w:p w14:paraId="2F894A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选用低噪声设备，基础减振</w:t>
            </w:r>
          </w:p>
        </w:tc>
        <w:tc>
          <w:tcPr>
            <w:tcW w:w="751" w:type="pct"/>
            <w:vAlign w:val="center"/>
          </w:tcPr>
          <w:p w14:paraId="4C77FA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0D0ADD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restart"/>
            <w:vAlign w:val="center"/>
          </w:tcPr>
          <w:p w14:paraId="7EA71C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固废</w:t>
            </w:r>
          </w:p>
        </w:tc>
        <w:tc>
          <w:tcPr>
            <w:tcW w:w="1189" w:type="pct"/>
            <w:vAlign w:val="center"/>
          </w:tcPr>
          <w:p w14:paraId="6BFDE9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除杂工序</w:t>
            </w:r>
          </w:p>
        </w:tc>
        <w:tc>
          <w:tcPr>
            <w:tcW w:w="1363" w:type="pct"/>
            <w:vAlign w:val="center"/>
          </w:tcPr>
          <w:p w14:paraId="06FA06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w:t>
            </w:r>
          </w:p>
        </w:tc>
        <w:tc>
          <w:tcPr>
            <w:tcW w:w="1209" w:type="pct"/>
            <w:vMerge w:val="restart"/>
            <w:vAlign w:val="center"/>
          </w:tcPr>
          <w:p w14:paraId="1667AD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暂存沉渣池，定期转运处置</w:t>
            </w:r>
          </w:p>
        </w:tc>
        <w:tc>
          <w:tcPr>
            <w:tcW w:w="751" w:type="pct"/>
            <w:vMerge w:val="restart"/>
            <w:vAlign w:val="center"/>
          </w:tcPr>
          <w:p w14:paraId="32AB6B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63FC1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63F4EE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467664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制浆工序</w:t>
            </w:r>
          </w:p>
        </w:tc>
        <w:tc>
          <w:tcPr>
            <w:tcW w:w="1363" w:type="pct"/>
            <w:vAlign w:val="center"/>
          </w:tcPr>
          <w:p w14:paraId="4705FE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w:t>
            </w:r>
          </w:p>
        </w:tc>
        <w:tc>
          <w:tcPr>
            <w:tcW w:w="1209" w:type="pct"/>
            <w:vMerge w:val="continue"/>
            <w:vAlign w:val="center"/>
          </w:tcPr>
          <w:p w14:paraId="7D070C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1" w:type="pct"/>
            <w:vMerge w:val="continue"/>
            <w:vAlign w:val="center"/>
          </w:tcPr>
          <w:p w14:paraId="435310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139DFE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4ABF42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265E37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三相分离工序</w:t>
            </w:r>
          </w:p>
        </w:tc>
        <w:tc>
          <w:tcPr>
            <w:tcW w:w="1363" w:type="pct"/>
            <w:vAlign w:val="center"/>
          </w:tcPr>
          <w:p w14:paraId="078C61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w:t>
            </w:r>
          </w:p>
        </w:tc>
        <w:tc>
          <w:tcPr>
            <w:tcW w:w="1209" w:type="pct"/>
            <w:vMerge w:val="continue"/>
            <w:vAlign w:val="center"/>
          </w:tcPr>
          <w:p w14:paraId="18BAE4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1" w:type="pct"/>
            <w:vMerge w:val="continue"/>
            <w:vAlign w:val="center"/>
          </w:tcPr>
          <w:p w14:paraId="45F188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54E73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021450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21E231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w:t>
            </w:r>
          </w:p>
        </w:tc>
        <w:tc>
          <w:tcPr>
            <w:tcW w:w="1363" w:type="pct"/>
            <w:vAlign w:val="center"/>
          </w:tcPr>
          <w:p w14:paraId="066BFB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w:t>
            </w:r>
          </w:p>
        </w:tc>
        <w:tc>
          <w:tcPr>
            <w:tcW w:w="1209" w:type="pct"/>
            <w:vAlign w:val="center"/>
          </w:tcPr>
          <w:p w14:paraId="0E046C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回用</w:t>
            </w:r>
          </w:p>
        </w:tc>
        <w:tc>
          <w:tcPr>
            <w:tcW w:w="751" w:type="pct"/>
            <w:vAlign w:val="center"/>
          </w:tcPr>
          <w:p w14:paraId="4FAC74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4D89A9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6" w:type="pct"/>
            <w:vMerge w:val="continue"/>
            <w:vAlign w:val="center"/>
          </w:tcPr>
          <w:p w14:paraId="6AF86A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89" w:type="pct"/>
            <w:vAlign w:val="center"/>
          </w:tcPr>
          <w:p w14:paraId="4F4613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设备维护/维修</w:t>
            </w:r>
          </w:p>
        </w:tc>
        <w:tc>
          <w:tcPr>
            <w:tcW w:w="1363" w:type="pct"/>
            <w:vAlign w:val="center"/>
          </w:tcPr>
          <w:p w14:paraId="4E5FCC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废润滑油桶、废劳保用品等</w:t>
            </w:r>
          </w:p>
        </w:tc>
        <w:tc>
          <w:tcPr>
            <w:tcW w:w="1209" w:type="pct"/>
            <w:vAlign w:val="center"/>
          </w:tcPr>
          <w:p w14:paraId="755C9D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危废暂存间暂存</w:t>
            </w:r>
          </w:p>
        </w:tc>
        <w:tc>
          <w:tcPr>
            <w:tcW w:w="751" w:type="pct"/>
            <w:vAlign w:val="center"/>
          </w:tcPr>
          <w:p w14:paraId="19C288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7ADF2EE8">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57" w:name="_Toc820"/>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3 运营期物料平衡</w:t>
      </w:r>
      <w:bookmarkEnd w:id="157"/>
    </w:p>
    <w:p w14:paraId="5F17649A">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58" w:name="_Toc17495"/>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3.1 总物料平衡</w:t>
      </w:r>
      <w:bookmarkEnd w:id="158"/>
    </w:p>
    <w:p w14:paraId="1F7B5E8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3-1  总物料平衡一览表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03"/>
        <w:gridCol w:w="1909"/>
        <w:gridCol w:w="1278"/>
        <w:gridCol w:w="850"/>
        <w:gridCol w:w="2356"/>
        <w:gridCol w:w="1332"/>
      </w:tblGrid>
      <w:tr w14:paraId="561DDA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2339" w:type="pct"/>
            <w:gridSpan w:val="3"/>
            <w:vAlign w:val="center"/>
          </w:tcPr>
          <w:p w14:paraId="5AE75C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投入</w:t>
            </w:r>
          </w:p>
        </w:tc>
        <w:tc>
          <w:tcPr>
            <w:tcW w:w="2660" w:type="pct"/>
            <w:gridSpan w:val="3"/>
            <w:vAlign w:val="center"/>
          </w:tcPr>
          <w:p w14:paraId="78C26E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产出</w:t>
            </w:r>
          </w:p>
        </w:tc>
      </w:tr>
      <w:tr w14:paraId="0F1B3B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471" w:type="pct"/>
            <w:vAlign w:val="center"/>
          </w:tcPr>
          <w:p w14:paraId="524FF0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118" w:type="pct"/>
            <w:vAlign w:val="center"/>
          </w:tcPr>
          <w:p w14:paraId="5FC9D4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749" w:type="pct"/>
            <w:vAlign w:val="center"/>
          </w:tcPr>
          <w:p w14:paraId="5CDD00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投入量</w:t>
            </w:r>
          </w:p>
          <w:p w14:paraId="255CFC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w:t>
            </w:r>
          </w:p>
        </w:tc>
        <w:tc>
          <w:tcPr>
            <w:tcW w:w="498" w:type="pct"/>
            <w:vAlign w:val="center"/>
          </w:tcPr>
          <w:p w14:paraId="7B4A6E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381" w:type="pct"/>
            <w:vAlign w:val="center"/>
          </w:tcPr>
          <w:p w14:paraId="717282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780" w:type="pct"/>
            <w:vAlign w:val="center"/>
          </w:tcPr>
          <w:p w14:paraId="510093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产出量</w:t>
            </w:r>
          </w:p>
          <w:p w14:paraId="1E326A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w:t>
            </w:r>
          </w:p>
        </w:tc>
      </w:tr>
      <w:tr w14:paraId="5570C2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1" w:type="pct"/>
            <w:vAlign w:val="center"/>
          </w:tcPr>
          <w:p w14:paraId="22B37D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14:textFill>
                  <w14:solidFill>
                    <w14:schemeClr w14:val="tx1"/>
                  </w14:solidFill>
                </w14:textFill>
              </w:rPr>
            </w:pPr>
            <w:r>
              <w:rPr>
                <w:rFonts w:hint="default" w:ascii="Times New Roman" w:hAnsi="Times New Roman" w:eastAsia="宋体" w:cs="Times New Roman"/>
                <w:color w:val="000000" w:themeColor="text1"/>
                <w:kern w:val="0"/>
                <w:szCs w:val="21"/>
                <w:u w:val="none" w:color="auto"/>
                <w14:textFill>
                  <w14:solidFill>
                    <w14:schemeClr w14:val="tx1"/>
                  </w14:solidFill>
                </w14:textFill>
              </w:rPr>
              <w:t>1</w:t>
            </w:r>
          </w:p>
        </w:tc>
        <w:tc>
          <w:tcPr>
            <w:tcW w:w="1118" w:type="pct"/>
            <w:vAlign w:val="center"/>
          </w:tcPr>
          <w:p w14:paraId="5AEB96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14:textFill>
                  <w14:solidFill>
                    <w14:schemeClr w14:val="tx1"/>
                  </w14:solidFill>
                </w14:textFill>
              </w:rPr>
            </w:pPr>
            <w:r>
              <w:rPr>
                <w:rFonts w:hint="default" w:ascii="Times New Roman" w:hAnsi="Times New Roman" w:eastAsia="宋体" w:cs="Times New Roman"/>
                <w:color w:val="000000" w:themeColor="text1"/>
                <w:kern w:val="0"/>
                <w:szCs w:val="21"/>
                <w:u w:val="none" w:color="auto"/>
                <w:lang w:eastAsia="zh-CN"/>
                <w14:textFill>
                  <w14:solidFill>
                    <w14:schemeClr w14:val="tx1"/>
                  </w14:solidFill>
                </w14:textFill>
              </w:rPr>
              <w:t>隔油池浮渣</w:t>
            </w:r>
          </w:p>
        </w:tc>
        <w:tc>
          <w:tcPr>
            <w:tcW w:w="1278" w:type="dxa"/>
            <w:vAlign w:val="center"/>
          </w:tcPr>
          <w:p w14:paraId="1AF87F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t>4194</w:t>
            </w:r>
          </w:p>
        </w:tc>
        <w:tc>
          <w:tcPr>
            <w:tcW w:w="498" w:type="pct"/>
            <w:vAlign w:val="center"/>
          </w:tcPr>
          <w:p w14:paraId="4A3FCE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381" w:type="pct"/>
            <w:vAlign w:val="center"/>
          </w:tcPr>
          <w:p w14:paraId="0CF339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工业级混合油</w:t>
            </w:r>
          </w:p>
        </w:tc>
        <w:tc>
          <w:tcPr>
            <w:tcW w:w="780" w:type="pct"/>
            <w:vAlign w:val="center"/>
          </w:tcPr>
          <w:p w14:paraId="69FACB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10000</w:t>
            </w:r>
          </w:p>
        </w:tc>
      </w:tr>
      <w:tr w14:paraId="009833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1" w:type="pct"/>
            <w:vAlign w:val="center"/>
          </w:tcPr>
          <w:p w14:paraId="61DA63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14:textFill>
                  <w14:solidFill>
                    <w14:schemeClr w14:val="tx1"/>
                  </w14:solidFill>
                </w14:textFill>
              </w:rPr>
            </w:pPr>
            <w:r>
              <w:rPr>
                <w:rFonts w:hint="default" w:ascii="Times New Roman" w:hAnsi="Times New Roman" w:eastAsia="宋体" w:cs="Times New Roman"/>
                <w:color w:val="000000" w:themeColor="text1"/>
                <w:kern w:val="0"/>
                <w:szCs w:val="21"/>
                <w:u w:val="none" w:color="auto"/>
                <w14:textFill>
                  <w14:solidFill>
                    <w14:schemeClr w14:val="tx1"/>
                  </w14:solidFill>
                </w14:textFill>
              </w:rPr>
              <w:t>2</w:t>
            </w:r>
          </w:p>
        </w:tc>
        <w:tc>
          <w:tcPr>
            <w:tcW w:w="1118" w:type="pct"/>
            <w:vAlign w:val="center"/>
          </w:tcPr>
          <w:p w14:paraId="188F75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14:textFill>
                  <w14:solidFill>
                    <w14:schemeClr w14:val="tx1"/>
                  </w14:solidFill>
                </w14:textFill>
              </w:rPr>
            </w:pPr>
            <w:r>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t>煎炸废油</w:t>
            </w:r>
          </w:p>
        </w:tc>
        <w:tc>
          <w:tcPr>
            <w:tcW w:w="1278" w:type="dxa"/>
            <w:vAlign w:val="center"/>
          </w:tcPr>
          <w:p w14:paraId="5293B6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t>6291</w:t>
            </w:r>
          </w:p>
        </w:tc>
        <w:tc>
          <w:tcPr>
            <w:tcW w:w="498" w:type="pct"/>
            <w:vAlign w:val="center"/>
          </w:tcPr>
          <w:p w14:paraId="07C7A1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1381" w:type="pct"/>
            <w:vAlign w:val="center"/>
          </w:tcPr>
          <w:p w14:paraId="10884F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w:t>
            </w:r>
          </w:p>
        </w:tc>
        <w:tc>
          <w:tcPr>
            <w:tcW w:w="1332" w:type="dxa"/>
            <w:vAlign w:val="center"/>
          </w:tcPr>
          <w:p w14:paraId="5870F5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t>248</w:t>
            </w:r>
          </w:p>
        </w:tc>
      </w:tr>
      <w:tr w14:paraId="684A82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1" w:type="pct"/>
            <w:vAlign w:val="center"/>
          </w:tcPr>
          <w:p w14:paraId="0B2D39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1118" w:type="pct"/>
            <w:vAlign w:val="center"/>
          </w:tcPr>
          <w:p w14:paraId="61141E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49" w:type="pct"/>
            <w:vAlign w:val="center"/>
          </w:tcPr>
          <w:p w14:paraId="5BE7BE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98" w:type="pct"/>
            <w:vAlign w:val="center"/>
          </w:tcPr>
          <w:p w14:paraId="648B22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1381" w:type="pct"/>
            <w:vAlign w:val="center"/>
          </w:tcPr>
          <w:p w14:paraId="48ADF9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废水</w:t>
            </w:r>
          </w:p>
        </w:tc>
        <w:tc>
          <w:tcPr>
            <w:tcW w:w="1332" w:type="dxa"/>
            <w:vAlign w:val="center"/>
          </w:tcPr>
          <w:p w14:paraId="555992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u w:val="none" w:color="auto"/>
                <w:lang w:val="en-US" w:eastAsia="zh-CN"/>
                <w14:textFill>
                  <w14:solidFill>
                    <w14:schemeClr w14:val="tx1"/>
                  </w14:solidFill>
                </w14:textFill>
              </w:rPr>
              <w:t>237</w:t>
            </w:r>
          </w:p>
        </w:tc>
      </w:tr>
      <w:tr w14:paraId="3E225B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90" w:type="pct"/>
            <w:gridSpan w:val="2"/>
            <w:vAlign w:val="center"/>
          </w:tcPr>
          <w:p w14:paraId="1B292E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合计</w:t>
            </w:r>
          </w:p>
        </w:tc>
        <w:tc>
          <w:tcPr>
            <w:tcW w:w="749" w:type="pct"/>
            <w:vAlign w:val="center"/>
          </w:tcPr>
          <w:p w14:paraId="15F996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10485</w:t>
            </w:r>
          </w:p>
        </w:tc>
        <w:tc>
          <w:tcPr>
            <w:tcW w:w="1879" w:type="pct"/>
            <w:gridSpan w:val="2"/>
            <w:vAlign w:val="center"/>
          </w:tcPr>
          <w:p w14:paraId="230CE8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合计</w:t>
            </w:r>
          </w:p>
        </w:tc>
        <w:tc>
          <w:tcPr>
            <w:tcW w:w="780" w:type="pct"/>
            <w:vAlign w:val="center"/>
          </w:tcPr>
          <w:p w14:paraId="413F8D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10485</w:t>
            </w:r>
          </w:p>
        </w:tc>
      </w:tr>
    </w:tbl>
    <w:p w14:paraId="4722FE91">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FF0000"/>
          <w:u w:val="none" w:color="auto"/>
          <w:lang w:eastAsia="zh-CN"/>
        </w:rPr>
      </w:pPr>
      <w:r>
        <w:rPr>
          <w:rFonts w:hint="default" w:ascii="Times New Roman" w:hAnsi="Times New Roman" w:eastAsia="宋体" w:cs="Times New Roman"/>
          <w:color w:val="FF0000"/>
          <w:u w:val="none" w:color="auto"/>
          <w:lang w:eastAsia="zh-CN"/>
        </w:rPr>
        <w:drawing>
          <wp:inline distT="0" distB="0" distL="114300" distR="114300">
            <wp:extent cx="4690110" cy="6897370"/>
            <wp:effectExtent l="0" t="0" r="0" b="17780"/>
            <wp:docPr id="4" name="ECB019B1-382A-4266-B25C-5B523AA43C14-3" descr="C:/Users/Administrator/AppData/Local/Temp/wps.vCLels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B019B1-382A-4266-B25C-5B523AA43C14-3" descr="C:/Users/Administrator/AppData/Local/Temp/wps.vCLelswps"/>
                    <pic:cNvPicPr>
                      <a:picLocks noChangeAspect="1"/>
                    </pic:cNvPicPr>
                  </pic:nvPicPr>
                  <pic:blipFill>
                    <a:blip r:embed="rId32"/>
                    <a:srcRect l="2949" t="1728" r="2816" b="2994"/>
                    <a:stretch>
                      <a:fillRect/>
                    </a:stretch>
                  </pic:blipFill>
                  <pic:spPr>
                    <a:xfrm>
                      <a:off x="0" y="0"/>
                      <a:ext cx="4690110" cy="6897370"/>
                    </a:xfrm>
                    <a:prstGeom prst="rect">
                      <a:avLst/>
                    </a:prstGeom>
                  </pic:spPr>
                </pic:pic>
              </a:graphicData>
            </a:graphic>
          </wp:inline>
        </w:drawing>
      </w:r>
    </w:p>
    <w:p w14:paraId="248CE5E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14:textFill>
            <w14:solidFill>
              <w14:schemeClr w14:val="tx1"/>
            </w14:solidFill>
          </w14:textFill>
        </w:rPr>
        <w:t>图</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3-1  物料平衡示意图</w:t>
      </w:r>
    </w:p>
    <w:p w14:paraId="5892519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59" w:name="_Toc27640"/>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水平衡</w:t>
      </w:r>
      <w:bookmarkEnd w:id="159"/>
    </w:p>
    <w:p w14:paraId="641D43BC">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用水</w:t>
      </w:r>
    </w:p>
    <w:p w14:paraId="33A04B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1）生活用水</w:t>
      </w:r>
    </w:p>
    <w:p w14:paraId="472351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本项目劳动定员20人，厂内不设食堂、宿舍，用水量参考《湖南用水定额 第3部分：生活、服务业及建筑业》（DB43/T 388.2-2025）城镇居民生活用水通用值145 L/（人·d），则项目生活用水量为2.9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/d（870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w:t>
      </w:r>
    </w:p>
    <w:p w14:paraId="40DABD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2）车间地面拖洗用水</w:t>
      </w:r>
    </w:p>
    <w:p w14:paraId="650045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废弃油脂加工车间地面采用拖洗方式清洁，约5天拖洗一次，用水量按2.0 L/m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·次计，车间清洗面积约500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，则地面拖洗用水量约60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w:t>
      </w:r>
    </w:p>
    <w:p w14:paraId="7CFCAB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3）车辆清洗用水</w:t>
      </w:r>
    </w:p>
    <w:p w14:paraId="3F5900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原料油收运专用车</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油罐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内部采用干净自来水进行冲洗，约5天清洗一次，用水量按0.1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/次计，项目配备3辆原料油收运专用车，则车辆清洗用水约18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w:t>
      </w:r>
    </w:p>
    <w:p w14:paraId="2407A8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4）设备管道清洗</w:t>
      </w:r>
    </w:p>
    <w:p w14:paraId="031369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为防止油脂加工管道堵塞，需定期采用蒸汽对管路进行冲洗，蒸汽依托园区供热系统，根据建设单位提供资料，设备管道大约每月清洗1次，每次用蒸汽量约1 t，则设备管道清洗用蒸汽量约10 t/a（换算成水约10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w:t>
      </w:r>
    </w:p>
    <w:p w14:paraId="0C4CFE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4）喷淋塔用水</w:t>
      </w:r>
    </w:p>
    <w:p w14:paraId="488A2C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喷淋塔当运行时间6个月左右或检测发现pH值过低影响废气处理效率时，将循环水进行更换，更换量约为2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/次（4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w:t>
      </w:r>
    </w:p>
    <w:p w14:paraId="6EF095D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.3.2.</w:t>
      </w:r>
      <w:r>
        <w:rPr>
          <w:rFonts w:hint="default" w:ascii="Times New Roman" w:hAnsi="Times New Roman" w:eastAsia="宋体" w:cs="Times New Roman"/>
          <w:color w:val="000000" w:themeColor="text1"/>
          <w:u w:val="none" w:color="auto"/>
          <w14:textFill>
            <w14:solidFill>
              <w14:schemeClr w14:val="tx1"/>
            </w14:solidFill>
          </w14:textFill>
        </w:rPr>
        <w:t>2 排水</w:t>
      </w:r>
    </w:p>
    <w:p w14:paraId="49C018A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项目运营期产生的废水主要包括生活废水</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生产废水，其中生产废水包括废弃油脂加工工序产生的废水、车间</w:t>
      </w:r>
      <w:r>
        <w:rPr>
          <w:rFonts w:hint="default" w:ascii="Times New Roman" w:hAnsi="Times New Roman" w:eastAsia="宋体" w:cs="Times New Roman"/>
          <w:color w:val="000000" w:themeColor="text1"/>
          <w:u w:val="none" w:color="auto"/>
          <w14:textFill>
            <w14:solidFill>
              <w14:schemeClr w14:val="tx1"/>
            </w14:solidFill>
          </w14:textFill>
        </w:rPr>
        <w:t>地面</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拖洗</w:t>
      </w:r>
      <w:r>
        <w:rPr>
          <w:rFonts w:hint="default" w:ascii="Times New Roman" w:hAnsi="Times New Roman" w:eastAsia="宋体" w:cs="Times New Roman"/>
          <w:color w:val="000000" w:themeColor="text1"/>
          <w:u w:val="none" w:color="auto"/>
          <w14:textFill>
            <w14:solidFill>
              <w14:schemeClr w14:val="tx1"/>
            </w14:solidFill>
          </w14:textFill>
        </w:rPr>
        <w:t>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车辆清洗废水、</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设备管道清洗废水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、喷淋塔循环废水</w:t>
      </w:r>
      <w:r>
        <w:rPr>
          <w:rFonts w:hint="default" w:ascii="Times New Roman" w:hAnsi="Times New Roman" w:eastAsia="宋体" w:cs="Times New Roman"/>
          <w:color w:val="000000" w:themeColor="text1"/>
          <w:u w:val="none" w:color="auto"/>
          <w14:textFill>
            <w14:solidFill>
              <w14:schemeClr w14:val="tx1"/>
            </w14:solidFill>
          </w14:textFill>
        </w:rPr>
        <w:t>。</w:t>
      </w:r>
    </w:p>
    <w:p w14:paraId="540A1B3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生活废水</w:t>
      </w:r>
    </w:p>
    <w:p w14:paraId="65A2D74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项目生活用水量为870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/a，该部分废水产生系数按0.8计，则生活污水产生量约696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/a，生活污水</w:t>
      </w:r>
      <w:r>
        <w:rPr>
          <w:rFonts w:hint="default" w:ascii="Times New Roman" w:hAnsi="Times New Roman" w:eastAsia="宋体" w:cs="Times New Roman"/>
          <w:color w:val="000000" w:themeColor="text1"/>
          <w:u w:val="none" w:color="auto"/>
          <w14:textFill>
            <w14:solidFill>
              <w14:schemeClr w14:val="tx1"/>
            </w14:solidFill>
          </w14:textFill>
        </w:rPr>
        <w:t>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园区化粪池</w:t>
      </w:r>
      <w:r>
        <w:rPr>
          <w:rFonts w:hint="default" w:ascii="Times New Roman" w:hAnsi="Times New Roman" w:eastAsia="宋体" w:cs="Times New Roman"/>
          <w:color w:val="000000" w:themeColor="text1"/>
          <w:u w:val="none" w:color="auto"/>
          <w14:textFill>
            <w14:solidFill>
              <w14:schemeClr w14:val="tx1"/>
            </w14:solidFill>
          </w14:textFill>
        </w:rPr>
        <w:t>处理后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通过园区污水管网排入园平江高新区污水处理厂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w:t>
      </w:r>
    </w:p>
    <w:p w14:paraId="7876B4D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（2）生产废水</w:t>
      </w:r>
    </w:p>
    <w:p w14:paraId="153E148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① 废弃油脂加工工序产生的废水</w:t>
      </w:r>
    </w:p>
    <w:p w14:paraId="1E86A02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废弃油脂加工工序产生的废水包括制浆工序分离出来的废水、三相分离工序分离出来的废水，根据原料使用量及原料含水率、含渣率，项目原料含水总量约311 t/a，产品含水率1.5%，含渣率1.5%。则废渣产生量约248 t/a，其中含水量约30%（74 t/a），则外排废水约237 t/a。废弃油脂加工工序产生的废水经密闭管道收集汇入隔油池+A/O预处理后通过园区污水管网排入园平江高新区污水处理厂深度处理。</w:t>
      </w:r>
    </w:p>
    <w:p w14:paraId="0D7F786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② 地面拖洗废水</w:t>
      </w:r>
    </w:p>
    <w:p w14:paraId="6BC096F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地面拖洗用水量约60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/a。该部分废水产生系数按0.8计，则拖洗废水量约为48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/a，经收集汇入隔油池+A/O预处理后通过园区污水管网排入园平江高新区污水处理厂深度处理。</w:t>
      </w:r>
    </w:p>
    <w:p w14:paraId="3E38D01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③ 车辆清洗废水</w:t>
      </w:r>
    </w:p>
    <w:p w14:paraId="3D15DC4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车辆清洗用水约18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，清洗废水产生量约</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18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，清洗废水全部倒入除杂机，与除杂废水一起经密闭管道收集汇入隔油池+A/O预处理后通过园区污水管网排入园平江高新区污水处理厂深度处理。</w:t>
      </w:r>
    </w:p>
    <w:p w14:paraId="4DD63BB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④ 设备管道清洗废水</w:t>
      </w:r>
    </w:p>
    <w:p w14:paraId="13E71B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设备管道清洗用蒸汽量约10 t/a（换算成水约10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/a），设备管道密闭联通，则清洗废水产生量约10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/a，清洗废水经密闭管道收集汇入隔油池+A/O预处理后通过园区污水管网排入园平江高新区污水处理厂深度处理。</w:t>
      </w:r>
    </w:p>
    <w:p w14:paraId="569A06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⑤ 喷淋塔循环废水</w:t>
      </w:r>
    </w:p>
    <w:p w14:paraId="393CA9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喷淋塔循环用水量4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/a，则喷淋塔循环废水产生量为4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/a。喷淋塔循环废水经水泵抽至</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隔油池+</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A/O预处理后通过园区污水管网排入园平江高新区污水处理厂深度处理。</w:t>
      </w:r>
    </w:p>
    <w:p w14:paraId="05CF93C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项目水平衡情况如下：</w:t>
      </w:r>
    </w:p>
    <w:p w14:paraId="05F4A25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2-9  水平衡一览表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单位：m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02"/>
        <w:gridCol w:w="2187"/>
        <w:gridCol w:w="1088"/>
        <w:gridCol w:w="993"/>
        <w:gridCol w:w="2438"/>
        <w:gridCol w:w="1020"/>
      </w:tblGrid>
      <w:tr w14:paraId="6CF5FE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2390" w:type="pct"/>
            <w:gridSpan w:val="3"/>
            <w:vAlign w:val="center"/>
          </w:tcPr>
          <w:p w14:paraId="1505CF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投入</w:t>
            </w:r>
          </w:p>
        </w:tc>
        <w:tc>
          <w:tcPr>
            <w:tcW w:w="2609" w:type="pct"/>
            <w:gridSpan w:val="3"/>
            <w:vAlign w:val="center"/>
          </w:tcPr>
          <w:p w14:paraId="1AEC0E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产出</w:t>
            </w:r>
          </w:p>
        </w:tc>
      </w:tr>
      <w:tr w14:paraId="628A24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470" w:type="pct"/>
            <w:vAlign w:val="center"/>
          </w:tcPr>
          <w:p w14:paraId="34254E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282" w:type="pct"/>
            <w:vAlign w:val="center"/>
          </w:tcPr>
          <w:p w14:paraId="165156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637" w:type="pct"/>
            <w:vAlign w:val="center"/>
          </w:tcPr>
          <w:p w14:paraId="497331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投入量</w:t>
            </w:r>
          </w:p>
        </w:tc>
        <w:tc>
          <w:tcPr>
            <w:tcW w:w="582" w:type="pct"/>
            <w:vAlign w:val="center"/>
          </w:tcPr>
          <w:p w14:paraId="632BA0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429" w:type="pct"/>
            <w:vAlign w:val="center"/>
          </w:tcPr>
          <w:p w14:paraId="1BBAE2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598" w:type="pct"/>
            <w:vAlign w:val="center"/>
          </w:tcPr>
          <w:p w14:paraId="6B9587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产出量</w:t>
            </w:r>
          </w:p>
        </w:tc>
      </w:tr>
      <w:tr w14:paraId="4E4A53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68B15A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282" w:type="pct"/>
            <w:vAlign w:val="center"/>
          </w:tcPr>
          <w:p w14:paraId="76DF59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生活用水</w:t>
            </w:r>
          </w:p>
        </w:tc>
        <w:tc>
          <w:tcPr>
            <w:tcW w:w="637" w:type="pct"/>
            <w:vAlign w:val="center"/>
          </w:tcPr>
          <w:p w14:paraId="7188F6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870</w:t>
            </w:r>
          </w:p>
        </w:tc>
        <w:tc>
          <w:tcPr>
            <w:tcW w:w="582" w:type="pct"/>
            <w:vAlign w:val="center"/>
          </w:tcPr>
          <w:p w14:paraId="2E5C78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429" w:type="pct"/>
            <w:vAlign w:val="center"/>
          </w:tcPr>
          <w:p w14:paraId="2C8A92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生活污水</w:t>
            </w:r>
          </w:p>
        </w:tc>
        <w:tc>
          <w:tcPr>
            <w:tcW w:w="598" w:type="pct"/>
            <w:vAlign w:val="center"/>
          </w:tcPr>
          <w:p w14:paraId="5B25A5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2"/>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696</w:t>
            </w:r>
          </w:p>
        </w:tc>
      </w:tr>
      <w:tr w14:paraId="701C10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1475EE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1282" w:type="pct"/>
            <w:vAlign w:val="center"/>
          </w:tcPr>
          <w:p w14:paraId="0B4597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车间地面拖洗用水</w:t>
            </w:r>
          </w:p>
        </w:tc>
        <w:tc>
          <w:tcPr>
            <w:tcW w:w="637" w:type="pct"/>
            <w:vAlign w:val="center"/>
          </w:tcPr>
          <w:p w14:paraId="07C011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60</w:t>
            </w:r>
          </w:p>
        </w:tc>
        <w:tc>
          <w:tcPr>
            <w:tcW w:w="582" w:type="pct"/>
            <w:vAlign w:val="center"/>
          </w:tcPr>
          <w:p w14:paraId="6E76F3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1429" w:type="pct"/>
            <w:vAlign w:val="center"/>
          </w:tcPr>
          <w:p w14:paraId="646891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生活污水损耗</w:t>
            </w:r>
          </w:p>
        </w:tc>
        <w:tc>
          <w:tcPr>
            <w:tcW w:w="598" w:type="pct"/>
            <w:vAlign w:val="center"/>
          </w:tcPr>
          <w:p w14:paraId="1AA2BC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174</w:t>
            </w:r>
          </w:p>
        </w:tc>
      </w:tr>
      <w:tr w14:paraId="1C08E7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7FAD37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1282" w:type="pct"/>
            <w:vAlign w:val="center"/>
          </w:tcPr>
          <w:p w14:paraId="332891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车辆清洗用水</w:t>
            </w:r>
          </w:p>
        </w:tc>
        <w:tc>
          <w:tcPr>
            <w:tcW w:w="637" w:type="pct"/>
            <w:vAlign w:val="center"/>
          </w:tcPr>
          <w:p w14:paraId="3650A1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18</w:t>
            </w:r>
          </w:p>
        </w:tc>
        <w:tc>
          <w:tcPr>
            <w:tcW w:w="582" w:type="pct"/>
            <w:vAlign w:val="center"/>
          </w:tcPr>
          <w:p w14:paraId="4E550F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1429" w:type="pct"/>
            <w:shd w:val="clear" w:color="auto" w:fill="auto"/>
            <w:vAlign w:val="center"/>
          </w:tcPr>
          <w:p w14:paraId="304836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车间地面拖洗废水</w:t>
            </w:r>
          </w:p>
        </w:tc>
        <w:tc>
          <w:tcPr>
            <w:tcW w:w="598" w:type="pct"/>
            <w:shd w:val="clear" w:color="auto" w:fill="auto"/>
            <w:vAlign w:val="center"/>
          </w:tcPr>
          <w:p w14:paraId="5D4E33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48</w:t>
            </w:r>
          </w:p>
        </w:tc>
      </w:tr>
      <w:tr w14:paraId="4408C1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1CB206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1282" w:type="pct"/>
            <w:vAlign w:val="center"/>
          </w:tcPr>
          <w:p w14:paraId="74C1AA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设备管道清洗用水</w:t>
            </w:r>
          </w:p>
        </w:tc>
        <w:tc>
          <w:tcPr>
            <w:tcW w:w="637" w:type="pct"/>
            <w:vAlign w:val="center"/>
          </w:tcPr>
          <w:p w14:paraId="44A9D9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582" w:type="pct"/>
            <w:vAlign w:val="center"/>
          </w:tcPr>
          <w:p w14:paraId="4316B2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1429" w:type="pct"/>
            <w:shd w:val="clear" w:color="auto" w:fill="auto"/>
            <w:vAlign w:val="center"/>
          </w:tcPr>
          <w:p w14:paraId="58D5FD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车间地面拖洗废水损耗</w:t>
            </w:r>
          </w:p>
        </w:tc>
        <w:tc>
          <w:tcPr>
            <w:tcW w:w="598" w:type="pct"/>
            <w:shd w:val="clear" w:color="auto" w:fill="auto"/>
            <w:vAlign w:val="center"/>
          </w:tcPr>
          <w:p w14:paraId="246EA6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12</w:t>
            </w:r>
          </w:p>
        </w:tc>
      </w:tr>
      <w:tr w14:paraId="2855BD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1EE8AF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1282" w:type="pct"/>
            <w:vAlign w:val="center"/>
          </w:tcPr>
          <w:p w14:paraId="5F9F94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原料油含水</w:t>
            </w:r>
          </w:p>
        </w:tc>
        <w:tc>
          <w:tcPr>
            <w:tcW w:w="637" w:type="pct"/>
            <w:vAlign w:val="center"/>
          </w:tcPr>
          <w:p w14:paraId="0803CA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461</w:t>
            </w:r>
          </w:p>
        </w:tc>
        <w:tc>
          <w:tcPr>
            <w:tcW w:w="582" w:type="pct"/>
            <w:vAlign w:val="center"/>
          </w:tcPr>
          <w:p w14:paraId="1477AA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1429" w:type="pct"/>
            <w:shd w:val="clear" w:color="auto" w:fill="auto"/>
            <w:vAlign w:val="center"/>
          </w:tcPr>
          <w:p w14:paraId="4DDF6F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车辆清洗废水</w:t>
            </w:r>
          </w:p>
        </w:tc>
        <w:tc>
          <w:tcPr>
            <w:tcW w:w="598" w:type="pct"/>
            <w:shd w:val="clear" w:color="auto" w:fill="auto"/>
            <w:vAlign w:val="center"/>
          </w:tcPr>
          <w:p w14:paraId="0FBEDD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18</w:t>
            </w:r>
          </w:p>
        </w:tc>
      </w:tr>
      <w:tr w14:paraId="08EEEA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7C5FF5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w:t>
            </w:r>
          </w:p>
        </w:tc>
        <w:tc>
          <w:tcPr>
            <w:tcW w:w="1282" w:type="pct"/>
            <w:vAlign w:val="center"/>
          </w:tcPr>
          <w:p w14:paraId="085A5C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喷淋塔循环水</w:t>
            </w:r>
          </w:p>
        </w:tc>
        <w:tc>
          <w:tcPr>
            <w:tcW w:w="637" w:type="pct"/>
            <w:vAlign w:val="center"/>
          </w:tcPr>
          <w:p w14:paraId="0D9611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582" w:type="pct"/>
            <w:vAlign w:val="center"/>
          </w:tcPr>
          <w:p w14:paraId="51194BE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w:t>
            </w:r>
          </w:p>
        </w:tc>
        <w:tc>
          <w:tcPr>
            <w:tcW w:w="1429" w:type="pct"/>
            <w:shd w:val="clear" w:color="auto" w:fill="auto"/>
            <w:vAlign w:val="center"/>
          </w:tcPr>
          <w:p w14:paraId="5281EC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设备管道清洗废水</w:t>
            </w:r>
          </w:p>
        </w:tc>
        <w:tc>
          <w:tcPr>
            <w:tcW w:w="598" w:type="pct"/>
            <w:shd w:val="clear" w:color="auto" w:fill="auto"/>
            <w:vAlign w:val="center"/>
          </w:tcPr>
          <w:p w14:paraId="5D6864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w:t>
            </w:r>
          </w:p>
        </w:tc>
      </w:tr>
      <w:tr w14:paraId="3BB470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509D8F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w:t>
            </w:r>
          </w:p>
        </w:tc>
        <w:tc>
          <w:tcPr>
            <w:tcW w:w="1282" w:type="pct"/>
            <w:vAlign w:val="center"/>
          </w:tcPr>
          <w:p w14:paraId="47A1F9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37" w:type="pct"/>
            <w:vAlign w:val="center"/>
          </w:tcPr>
          <w:p w14:paraId="2BED51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82" w:type="pct"/>
            <w:vAlign w:val="center"/>
          </w:tcPr>
          <w:p w14:paraId="4A4B70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w:t>
            </w:r>
          </w:p>
        </w:tc>
        <w:tc>
          <w:tcPr>
            <w:tcW w:w="1429" w:type="pct"/>
            <w:shd w:val="clear" w:color="auto" w:fill="auto"/>
            <w:vAlign w:val="center"/>
          </w:tcPr>
          <w:p w14:paraId="4B2FBB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废弃油脂加工工序产生的废水</w:t>
            </w:r>
          </w:p>
        </w:tc>
        <w:tc>
          <w:tcPr>
            <w:tcW w:w="598" w:type="pct"/>
            <w:shd w:val="clear" w:color="auto" w:fill="auto"/>
            <w:vAlign w:val="center"/>
          </w:tcPr>
          <w:p w14:paraId="01447E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237</w:t>
            </w:r>
          </w:p>
        </w:tc>
      </w:tr>
      <w:tr w14:paraId="535F78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14526C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w:t>
            </w:r>
          </w:p>
        </w:tc>
        <w:tc>
          <w:tcPr>
            <w:tcW w:w="1282" w:type="pct"/>
            <w:vAlign w:val="center"/>
          </w:tcPr>
          <w:p w14:paraId="392665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37" w:type="pct"/>
            <w:vAlign w:val="center"/>
          </w:tcPr>
          <w:p w14:paraId="1120E5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82" w:type="pct"/>
            <w:vAlign w:val="center"/>
          </w:tcPr>
          <w:p w14:paraId="3605C6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w:t>
            </w:r>
          </w:p>
        </w:tc>
        <w:tc>
          <w:tcPr>
            <w:tcW w:w="1429" w:type="pct"/>
            <w:shd w:val="clear" w:color="auto" w:fill="auto"/>
            <w:vAlign w:val="center"/>
          </w:tcPr>
          <w:p w14:paraId="16AC12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成品油含水</w:t>
            </w:r>
          </w:p>
        </w:tc>
        <w:tc>
          <w:tcPr>
            <w:tcW w:w="598" w:type="pct"/>
            <w:shd w:val="clear" w:color="auto" w:fill="auto"/>
            <w:vAlign w:val="center"/>
          </w:tcPr>
          <w:p w14:paraId="624385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150</w:t>
            </w:r>
          </w:p>
        </w:tc>
      </w:tr>
      <w:tr w14:paraId="51399E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108F76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p>
        </w:tc>
        <w:tc>
          <w:tcPr>
            <w:tcW w:w="1282" w:type="pct"/>
            <w:vAlign w:val="center"/>
          </w:tcPr>
          <w:p w14:paraId="6ABA67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37" w:type="pct"/>
            <w:vAlign w:val="center"/>
          </w:tcPr>
          <w:p w14:paraId="0C2738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82" w:type="pct"/>
            <w:vAlign w:val="center"/>
          </w:tcPr>
          <w:p w14:paraId="57BFAB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p>
        </w:tc>
        <w:tc>
          <w:tcPr>
            <w:tcW w:w="1429" w:type="pct"/>
            <w:shd w:val="clear" w:color="auto" w:fill="auto"/>
            <w:vAlign w:val="center"/>
          </w:tcPr>
          <w:p w14:paraId="6F353B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废渣含水</w:t>
            </w:r>
          </w:p>
        </w:tc>
        <w:tc>
          <w:tcPr>
            <w:tcW w:w="598" w:type="pct"/>
            <w:shd w:val="clear" w:color="auto" w:fill="auto"/>
            <w:vAlign w:val="center"/>
          </w:tcPr>
          <w:p w14:paraId="682792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74</w:t>
            </w:r>
          </w:p>
        </w:tc>
      </w:tr>
      <w:tr w14:paraId="6B3128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Align w:val="center"/>
          </w:tcPr>
          <w:p w14:paraId="14701E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1282" w:type="pct"/>
            <w:vAlign w:val="center"/>
          </w:tcPr>
          <w:p w14:paraId="4A7FD9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37" w:type="pct"/>
            <w:vAlign w:val="center"/>
          </w:tcPr>
          <w:p w14:paraId="212332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82" w:type="pct"/>
            <w:vAlign w:val="center"/>
          </w:tcPr>
          <w:p w14:paraId="151676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1429" w:type="pct"/>
            <w:shd w:val="clear" w:color="auto" w:fill="auto"/>
            <w:vAlign w:val="center"/>
          </w:tcPr>
          <w:p w14:paraId="71A731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喷淋塔循环废水</w:t>
            </w:r>
          </w:p>
        </w:tc>
        <w:tc>
          <w:tcPr>
            <w:tcW w:w="598" w:type="pct"/>
            <w:shd w:val="clear" w:color="auto" w:fill="auto"/>
            <w:vAlign w:val="center"/>
          </w:tcPr>
          <w:p w14:paraId="7DFE08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r>
      <w:tr w14:paraId="36E560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52" w:type="pct"/>
            <w:gridSpan w:val="2"/>
            <w:vAlign w:val="center"/>
          </w:tcPr>
          <w:p w14:paraId="033F4E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合计</w:t>
            </w:r>
          </w:p>
        </w:tc>
        <w:tc>
          <w:tcPr>
            <w:tcW w:w="637" w:type="pct"/>
            <w:vAlign w:val="center"/>
          </w:tcPr>
          <w:p w14:paraId="2EC5AD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1423</w:t>
            </w:r>
          </w:p>
        </w:tc>
        <w:tc>
          <w:tcPr>
            <w:tcW w:w="2011" w:type="pct"/>
            <w:gridSpan w:val="2"/>
            <w:vAlign w:val="center"/>
          </w:tcPr>
          <w:p w14:paraId="70AE46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合计</w:t>
            </w:r>
          </w:p>
        </w:tc>
        <w:tc>
          <w:tcPr>
            <w:tcW w:w="598" w:type="pct"/>
            <w:vAlign w:val="center"/>
          </w:tcPr>
          <w:p w14:paraId="68D462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1423</w:t>
            </w:r>
          </w:p>
        </w:tc>
      </w:tr>
    </w:tbl>
    <w:p w14:paraId="18C4D4C5">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FF0000"/>
          <w:u w:val="none" w:color="auto"/>
          <w:lang w:eastAsia="zh-CN"/>
        </w:rPr>
      </w:pPr>
      <w:r>
        <w:rPr>
          <w:rFonts w:hint="default" w:ascii="Times New Roman" w:hAnsi="Times New Roman" w:eastAsia="宋体" w:cs="Times New Roman"/>
          <w:color w:val="FF0000"/>
          <w:u w:val="none" w:color="auto"/>
          <w:lang w:eastAsia="zh-CN"/>
        </w:rPr>
        <w:drawing>
          <wp:inline distT="0" distB="0" distL="114300" distR="114300">
            <wp:extent cx="5083175" cy="4231640"/>
            <wp:effectExtent l="0" t="0" r="3175" b="16510"/>
            <wp:docPr id="6" name="ECB019B1-382A-4266-B25C-5B523AA43C14-4" descr="C:/Users/Administrator/AppData/Local/Temp/wps.btEhj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B019B1-382A-4266-B25C-5B523AA43C14-4" descr="C:/Users/Administrator/AppData/Local/Temp/wps.btEhjrwps"/>
                    <pic:cNvPicPr>
                      <a:picLocks noChangeAspect="1"/>
                    </pic:cNvPicPr>
                  </pic:nvPicPr>
                  <pic:blipFill>
                    <a:blip r:embed="rId33"/>
                    <a:srcRect l="1952" t="4184" r="1590" b="2184"/>
                    <a:stretch>
                      <a:fillRect/>
                    </a:stretch>
                  </pic:blipFill>
                  <pic:spPr>
                    <a:xfrm>
                      <a:off x="0" y="0"/>
                      <a:ext cx="5083175" cy="4231640"/>
                    </a:xfrm>
                    <a:prstGeom prst="rect">
                      <a:avLst/>
                    </a:prstGeom>
                  </pic:spPr>
                </pic:pic>
              </a:graphicData>
            </a:graphic>
          </wp:inline>
        </w:drawing>
      </w:r>
    </w:p>
    <w:p w14:paraId="52234D8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图</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3-7  水平衡示意图</w:t>
      </w:r>
    </w:p>
    <w:p w14:paraId="2F620438">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60" w:name="_Toc2006"/>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 运营期污染源强核算</w:t>
      </w:r>
      <w:bookmarkEnd w:id="160"/>
    </w:p>
    <w:p w14:paraId="5E48997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61" w:name="_Toc10825"/>
      <w:bookmarkStart w:id="162" w:name="_Toc191239996"/>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4.1 废气污染源强</w:t>
      </w:r>
      <w:bookmarkEnd w:id="161"/>
      <w:bookmarkEnd w:id="162"/>
    </w:p>
    <w:p w14:paraId="245178AF">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3.4.1.1 原料油运输过程产生的废气</w:t>
      </w:r>
    </w:p>
    <w:p w14:paraId="188431A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不收集餐厨垃圾，原料为食品加工厂和食用油生产厂隔油池的浮渣和食品加工厂使用过的煎炸废油，项目采用密闭罐车运输原料，运输过程中容器全程密闭，定期维护，防止跑冒滴漏现象，正常情况下运输过程中仅有极少量恶臭气体和挥发性有机气体散逸出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，以及少量汽车尾气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。本评价不做定量分析。</w:t>
      </w:r>
    </w:p>
    <w:p w14:paraId="3546A10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3.4.1.2 废弃油脂加工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及成品油储存</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产生的废气</w:t>
      </w:r>
    </w:p>
    <w:p w14:paraId="1761E43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本项目原料主要为废弃油脂，烟点＞170℃，油品沸点及烟点较高，</w:t>
      </w:r>
      <w:r>
        <w:rPr>
          <w:rFonts w:hint="default" w:ascii="Times New Roman" w:hAnsi="Times New Roman" w:eastAsia="宋体" w:cs="Times New Roman"/>
          <w:color w:val="000000" w:themeColor="text1"/>
          <w:u w:val="none" w:color="auto"/>
          <w:lang w:eastAsia="zh-CN"/>
          <w14:textFill>
            <w14:solidFill>
              <w14:schemeClr w14:val="tx1"/>
            </w14:solidFill>
          </w14:textFill>
        </w:rPr>
        <w:t>本项目加热温度最高为80℃，不会产生油烟，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常温下气体挥发量极少，但原料油在前端生产过程中由于油脂受热（煎炸温度约180～220℃）发生分解，产生亚油酸与空气结合产生醛类、酮类等物质，以非甲烷总烃计。</w:t>
      </w:r>
    </w:p>
    <w:p w14:paraId="77C2FAD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根据产污环节分析，本项目营运期产生的废气主要为原料收集运输环节产生的废气，卸料、除杂、制浆、加热沉降、搅拌、三相分离等生产环节产生的废气，以及成品油于储罐贮存产生的废气。主要污染物为 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和臭气浓度、非甲烷总烃。</w:t>
      </w:r>
    </w:p>
    <w:p w14:paraId="7187121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本项目属于《建设项目环境影响评价分类管理名录（2021年版）》（部令第16号）</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三十九、废弃资源综合利用业42-85.非金属废料和碎屑加工处理 422（不含原料为险险废物的，均不含仅分拣、破碎的）-废油加工处理</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类别，《排放源统计调查产排污核算方法和系数手册》中无相关产排污核算方法和系数，因此本次环评采用类比法计算项目油脂加工废气的产生量。</w:t>
      </w:r>
    </w:p>
    <w:p w14:paraId="5757548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本次评价收集了国内废弃动植物油脂回收利用项目环评及竣工环境保护验收报告，并进行了类比资料调研，通过对比分析发现湖南庚辰生物科技有限责任公司</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废弃动植物油脂循环再利用项目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湖南将蓝生物能源有限公司33万吨年废弃油脂资源化利用项目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平江和旺环保科技有限公司废弃食用油脂无害化利用项目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汨罗市湘环再生资源有限公司（3600 t/a）废弃油脂回收和粗加工项目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山西恒岳坏保料技有限公司年回收处理2000吨废弃动植物油脂项目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、山东中源再生资源有限公司</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淄博市餐厨废油脂资源化利用项目（二期）</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与本项目类似，因此本次评价参考上述项目进行污染源源强核算。</w:t>
      </w:r>
    </w:p>
    <w:p w14:paraId="45E30E5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类比项目与本项目相似性分析见下表。</w:t>
      </w:r>
    </w:p>
    <w:p w14:paraId="6692264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0E8E610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4-1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类比项目情况</w:t>
      </w:r>
      <w:r>
        <w:rPr>
          <w:rFonts w:hint="default" w:ascii="Times New Roman" w:hAnsi="Times New Roman" w:eastAsia="宋体" w:cs="Times New Roman"/>
          <w:color w:val="000000" w:themeColor="text1"/>
          <w:u w:val="none" w:color="auto"/>
          <w14:textFill>
            <w14:solidFill>
              <w14:schemeClr w14:val="tx1"/>
            </w14:solidFill>
          </w14:textFill>
        </w:rPr>
        <w:t>一览表</w:t>
      </w:r>
    </w:p>
    <w:tbl>
      <w:tblPr>
        <w:tblStyle w:val="38"/>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677"/>
        <w:gridCol w:w="1855"/>
        <w:gridCol w:w="1855"/>
        <w:gridCol w:w="1855"/>
        <w:gridCol w:w="1855"/>
        <w:gridCol w:w="1855"/>
        <w:gridCol w:w="1866"/>
        <w:gridCol w:w="1724"/>
      </w:tblGrid>
      <w:tr w14:paraId="029CF2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blHeader/>
        </w:trPr>
        <w:tc>
          <w:tcPr>
            <w:tcW w:w="222" w:type="pct"/>
            <w:vMerge w:val="restart"/>
            <w:vAlign w:val="center"/>
          </w:tcPr>
          <w:p w14:paraId="4FD26F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序号</w:t>
            </w:r>
          </w:p>
        </w:tc>
        <w:tc>
          <w:tcPr>
            <w:tcW w:w="239" w:type="pct"/>
            <w:vMerge w:val="restart"/>
            <w:vAlign w:val="center"/>
          </w:tcPr>
          <w:p w14:paraId="458591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内容</w:t>
            </w:r>
          </w:p>
        </w:tc>
        <w:tc>
          <w:tcPr>
            <w:tcW w:w="3928" w:type="pct"/>
            <w:gridSpan w:val="6"/>
            <w:vAlign w:val="center"/>
          </w:tcPr>
          <w:p w14:paraId="0A5532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w:t>
            </w:r>
          </w:p>
        </w:tc>
        <w:tc>
          <w:tcPr>
            <w:tcW w:w="608" w:type="pct"/>
            <w:vMerge w:val="restart"/>
            <w:vAlign w:val="center"/>
          </w:tcPr>
          <w:p w14:paraId="77FDDB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w:t>
            </w:r>
          </w:p>
        </w:tc>
      </w:tr>
      <w:tr w14:paraId="4C2912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22" w:type="pct"/>
            <w:vMerge w:val="continue"/>
            <w:vAlign w:val="center"/>
          </w:tcPr>
          <w:p w14:paraId="12B2DE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239" w:type="pct"/>
            <w:vMerge w:val="continue"/>
            <w:vAlign w:val="center"/>
          </w:tcPr>
          <w:p w14:paraId="007872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654" w:type="pct"/>
            <w:vAlign w:val="center"/>
          </w:tcPr>
          <w:p w14:paraId="2EB3273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湖南庚辰生物科技有限责任公司废弃动植物油脂循环再利用项目</w:t>
            </w:r>
          </w:p>
        </w:tc>
        <w:tc>
          <w:tcPr>
            <w:tcW w:w="654" w:type="pct"/>
            <w:vAlign w:val="center"/>
          </w:tcPr>
          <w:p w14:paraId="7C15A21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湖南将蓝生物能源有限公司33万吨年废弃油脂资源化利用项目</w:t>
            </w:r>
          </w:p>
        </w:tc>
        <w:tc>
          <w:tcPr>
            <w:tcW w:w="654" w:type="pct"/>
            <w:vAlign w:val="center"/>
          </w:tcPr>
          <w:p w14:paraId="013F279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平江和旺环保科技有限公司废弃食用油脂无害化利用项目</w:t>
            </w:r>
          </w:p>
        </w:tc>
        <w:tc>
          <w:tcPr>
            <w:tcW w:w="654" w:type="pct"/>
            <w:vAlign w:val="center"/>
          </w:tcPr>
          <w:p w14:paraId="17805A0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汨罗市湘环再生资源有限公司（3600 t/a）废弃油脂回收和粗加工项目</w:t>
            </w:r>
          </w:p>
        </w:tc>
        <w:tc>
          <w:tcPr>
            <w:tcW w:w="654" w:type="pct"/>
            <w:vAlign w:val="center"/>
          </w:tcPr>
          <w:p w14:paraId="62A5401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山西恒岳坏保料技有限公司年回收处理2000吨废弃动植物油脂项目</w:t>
            </w:r>
          </w:p>
        </w:tc>
        <w:tc>
          <w:tcPr>
            <w:tcW w:w="657" w:type="pct"/>
            <w:vAlign w:val="center"/>
          </w:tcPr>
          <w:p w14:paraId="7FEC8E2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山东中源再生资源有限公司淄博市餐厨废油脂资源化利用项目</w:t>
            </w:r>
            <w:r>
              <w:rPr>
                <w:rFonts w:hint="eastAsia" w:ascii="Times New Roman" w:hAnsi="Times New Roman" w:eastAsia="宋体" w:cs="Times New Roman"/>
                <w:i w:val="0"/>
                <w:iCs w:val="0"/>
                <w:color w:val="000000"/>
                <w:kern w:val="0"/>
                <w:sz w:val="21"/>
                <w:szCs w:val="21"/>
                <w:u w:val="none" w:color="auto"/>
                <w:lang w:val="en-US" w:eastAsia="zh-CN" w:bidi="ar"/>
              </w:rPr>
              <w:t>（二期）</w:t>
            </w:r>
          </w:p>
        </w:tc>
        <w:tc>
          <w:tcPr>
            <w:tcW w:w="608" w:type="pct"/>
            <w:vMerge w:val="continue"/>
            <w:vAlign w:val="center"/>
          </w:tcPr>
          <w:p w14:paraId="3B4226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72C337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2" w:type="pct"/>
            <w:vAlign w:val="center"/>
          </w:tcPr>
          <w:p w14:paraId="71F87C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p>
        </w:tc>
        <w:tc>
          <w:tcPr>
            <w:tcW w:w="239" w:type="pct"/>
            <w:vAlign w:val="center"/>
          </w:tcPr>
          <w:p w14:paraId="17AEC7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生产规模</w:t>
            </w:r>
          </w:p>
        </w:tc>
        <w:tc>
          <w:tcPr>
            <w:tcW w:w="654" w:type="pct"/>
            <w:vAlign w:val="center"/>
          </w:tcPr>
          <w:p w14:paraId="3BBCF73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产能100000 t/a</w:t>
            </w:r>
          </w:p>
        </w:tc>
        <w:tc>
          <w:tcPr>
            <w:tcW w:w="654" w:type="pct"/>
            <w:vAlign w:val="center"/>
          </w:tcPr>
          <w:p w14:paraId="5963A05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处理废弃油脂</w:t>
            </w:r>
          </w:p>
          <w:p w14:paraId="0ACFA42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330000 t/a</w:t>
            </w:r>
          </w:p>
        </w:tc>
        <w:tc>
          <w:tcPr>
            <w:tcW w:w="654" w:type="pct"/>
            <w:vAlign w:val="center"/>
          </w:tcPr>
          <w:p w14:paraId="1CB45B2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处理废弃油脂</w:t>
            </w:r>
          </w:p>
          <w:p w14:paraId="62C1879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13006.45 t/a</w:t>
            </w:r>
          </w:p>
        </w:tc>
        <w:tc>
          <w:tcPr>
            <w:tcW w:w="654" w:type="pct"/>
            <w:vAlign w:val="center"/>
          </w:tcPr>
          <w:p w14:paraId="1CA972B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处理废弃油脂</w:t>
            </w:r>
          </w:p>
          <w:p w14:paraId="144607B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3600 t/a</w:t>
            </w:r>
          </w:p>
        </w:tc>
        <w:tc>
          <w:tcPr>
            <w:tcW w:w="654" w:type="pct"/>
            <w:vAlign w:val="center"/>
          </w:tcPr>
          <w:p w14:paraId="3C3DE5F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处理废弃油脂</w:t>
            </w:r>
          </w:p>
          <w:p w14:paraId="081FFA8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2000 t/a</w:t>
            </w:r>
          </w:p>
        </w:tc>
        <w:tc>
          <w:tcPr>
            <w:tcW w:w="657" w:type="pct"/>
            <w:vAlign w:val="center"/>
          </w:tcPr>
          <w:p w14:paraId="757406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处理废弃油脂3500 t/a</w:t>
            </w:r>
          </w:p>
        </w:tc>
        <w:tc>
          <w:tcPr>
            <w:tcW w:w="608" w:type="pct"/>
            <w:vAlign w:val="center"/>
          </w:tcPr>
          <w:p w14:paraId="121112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拟建产能10000 t/a，折合处理能力10485 t/a</w:t>
            </w:r>
          </w:p>
        </w:tc>
      </w:tr>
      <w:tr w14:paraId="51338F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2" w:type="pct"/>
            <w:vAlign w:val="center"/>
          </w:tcPr>
          <w:p w14:paraId="5B73D4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239" w:type="pct"/>
            <w:vAlign w:val="center"/>
          </w:tcPr>
          <w:p w14:paraId="479615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主要工艺</w:t>
            </w:r>
          </w:p>
        </w:tc>
        <w:tc>
          <w:tcPr>
            <w:tcW w:w="654" w:type="pct"/>
            <w:vAlign w:val="center"/>
          </w:tcPr>
          <w:p w14:paraId="5335DB7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烘房加热（80℃）+三相分离</w:t>
            </w:r>
          </w:p>
        </w:tc>
        <w:tc>
          <w:tcPr>
            <w:tcW w:w="654" w:type="pct"/>
            <w:vAlign w:val="center"/>
          </w:tcPr>
          <w:p w14:paraId="05B9617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加热/干燥+酸碱反应+水洗+离心分离</w:t>
            </w:r>
          </w:p>
        </w:tc>
        <w:tc>
          <w:tcPr>
            <w:tcW w:w="654" w:type="pct"/>
            <w:vAlign w:val="center"/>
          </w:tcPr>
          <w:p w14:paraId="43B65C0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废弃油脂回收+除渣+加热+分离</w:t>
            </w:r>
          </w:p>
        </w:tc>
        <w:tc>
          <w:tcPr>
            <w:tcW w:w="654" w:type="pct"/>
            <w:vAlign w:val="center"/>
          </w:tcPr>
          <w:p w14:paraId="3C1D191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主要工艺加热至 80℃分层+三相分离</w:t>
            </w:r>
          </w:p>
        </w:tc>
        <w:tc>
          <w:tcPr>
            <w:tcW w:w="654" w:type="pct"/>
            <w:vAlign w:val="center"/>
          </w:tcPr>
          <w:p w14:paraId="72A9A1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废弃油脂除渣+加热+三相分离</w:t>
            </w:r>
          </w:p>
        </w:tc>
        <w:tc>
          <w:tcPr>
            <w:tcW w:w="657" w:type="pct"/>
            <w:vAlign w:val="center"/>
          </w:tcPr>
          <w:p w14:paraId="5BA5833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粉碎+蒸汽加热+离心</w:t>
            </w:r>
          </w:p>
          <w:p w14:paraId="08AA368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p>
        </w:tc>
        <w:tc>
          <w:tcPr>
            <w:tcW w:w="608" w:type="pct"/>
            <w:vAlign w:val="center"/>
          </w:tcPr>
          <w:p w14:paraId="067F37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卸料、除杂、制浆、加热沉降（约80℃）、搅拌、三相分离</w:t>
            </w:r>
          </w:p>
        </w:tc>
      </w:tr>
      <w:tr w14:paraId="7F39EA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2" w:type="pct"/>
            <w:shd w:val="clear" w:color="auto" w:fill="auto"/>
            <w:vAlign w:val="center"/>
          </w:tcPr>
          <w:p w14:paraId="51A30B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239" w:type="pct"/>
            <w:vAlign w:val="center"/>
          </w:tcPr>
          <w:p w14:paraId="556B44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原材料</w:t>
            </w:r>
          </w:p>
        </w:tc>
        <w:tc>
          <w:tcPr>
            <w:tcW w:w="654" w:type="pct"/>
            <w:shd w:val="clear" w:color="auto" w:fill="auto"/>
            <w:vAlign w:val="center"/>
          </w:tcPr>
          <w:p w14:paraId="78B2190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废弃动植物油脂（来自餐厨垃圾处理公司）</w:t>
            </w:r>
          </w:p>
        </w:tc>
        <w:tc>
          <w:tcPr>
            <w:tcW w:w="654" w:type="pct"/>
            <w:shd w:val="clear" w:color="auto" w:fill="auto"/>
            <w:vAlign w:val="center"/>
          </w:tcPr>
          <w:p w14:paraId="37693E6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废弃油脂</w:t>
            </w:r>
          </w:p>
        </w:tc>
        <w:tc>
          <w:tcPr>
            <w:tcW w:w="654" w:type="pct"/>
            <w:shd w:val="clear" w:color="auto" w:fill="auto"/>
            <w:vAlign w:val="center"/>
          </w:tcPr>
          <w:p w14:paraId="038FC07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隔油池浮渣、二次废油（煎炸废油）（食品加工企业）</w:t>
            </w:r>
          </w:p>
        </w:tc>
        <w:tc>
          <w:tcPr>
            <w:tcW w:w="654" w:type="pct"/>
            <w:shd w:val="clear" w:color="auto" w:fill="auto"/>
            <w:vAlign w:val="center"/>
          </w:tcPr>
          <w:p w14:paraId="6DDFB55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食品厂废油炸动植物油</w:t>
            </w:r>
          </w:p>
        </w:tc>
        <w:tc>
          <w:tcPr>
            <w:tcW w:w="654" w:type="pct"/>
            <w:shd w:val="clear" w:color="auto" w:fill="auto"/>
            <w:vAlign w:val="center"/>
          </w:tcPr>
          <w:p w14:paraId="3BFD9F0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餐厨废弃油脂、火锅油脂</w:t>
            </w:r>
          </w:p>
        </w:tc>
        <w:tc>
          <w:tcPr>
            <w:tcW w:w="657" w:type="pct"/>
            <w:shd w:val="clear" w:color="auto" w:fill="auto"/>
            <w:vAlign w:val="center"/>
          </w:tcPr>
          <w:p w14:paraId="1CCC932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餐厨废油</w:t>
            </w:r>
          </w:p>
        </w:tc>
        <w:tc>
          <w:tcPr>
            <w:tcW w:w="608" w:type="pct"/>
            <w:vAlign w:val="center"/>
          </w:tcPr>
          <w:p w14:paraId="1668F0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隔油池浮渣、煎炸废油（食品加工企业）</w:t>
            </w:r>
          </w:p>
        </w:tc>
      </w:tr>
      <w:tr w14:paraId="3CC0C7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2" w:type="pct"/>
            <w:shd w:val="clear" w:color="auto" w:fill="auto"/>
            <w:vAlign w:val="center"/>
          </w:tcPr>
          <w:p w14:paraId="15F4CAC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239" w:type="pct"/>
            <w:vAlign w:val="center"/>
          </w:tcPr>
          <w:p w14:paraId="0392F5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产品</w:t>
            </w:r>
          </w:p>
        </w:tc>
        <w:tc>
          <w:tcPr>
            <w:tcW w:w="654" w:type="pct"/>
            <w:shd w:val="clear" w:color="auto" w:fill="auto"/>
            <w:vAlign w:val="center"/>
          </w:tcPr>
          <w:p w14:paraId="1F1A6DB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工业级混合油</w:t>
            </w:r>
          </w:p>
        </w:tc>
        <w:tc>
          <w:tcPr>
            <w:tcW w:w="654" w:type="pct"/>
            <w:shd w:val="clear" w:color="auto" w:fill="auto"/>
            <w:vAlign w:val="center"/>
          </w:tcPr>
          <w:p w14:paraId="3769C875">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工业级混合油</w:t>
            </w:r>
          </w:p>
        </w:tc>
        <w:tc>
          <w:tcPr>
            <w:tcW w:w="654" w:type="pct"/>
            <w:shd w:val="clear" w:color="auto" w:fill="auto"/>
            <w:vAlign w:val="center"/>
          </w:tcPr>
          <w:p w14:paraId="06502D4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初级工业油脂</w:t>
            </w:r>
          </w:p>
        </w:tc>
        <w:tc>
          <w:tcPr>
            <w:tcW w:w="654" w:type="pct"/>
            <w:shd w:val="clear" w:color="auto" w:fill="auto"/>
            <w:vAlign w:val="center"/>
          </w:tcPr>
          <w:p w14:paraId="27E87ED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初级工业油脂</w:t>
            </w:r>
          </w:p>
        </w:tc>
        <w:tc>
          <w:tcPr>
            <w:tcW w:w="654" w:type="pct"/>
            <w:shd w:val="clear" w:color="auto" w:fill="auto"/>
            <w:vAlign w:val="center"/>
          </w:tcPr>
          <w:p w14:paraId="445B49B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初级工业油脂</w:t>
            </w:r>
          </w:p>
        </w:tc>
        <w:tc>
          <w:tcPr>
            <w:tcW w:w="657" w:type="pct"/>
            <w:shd w:val="clear" w:color="auto" w:fill="auto"/>
            <w:vAlign w:val="center"/>
          </w:tcPr>
          <w:p w14:paraId="585D309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初级工业油脂</w:t>
            </w:r>
          </w:p>
        </w:tc>
        <w:tc>
          <w:tcPr>
            <w:tcW w:w="608" w:type="pct"/>
            <w:vAlign w:val="center"/>
          </w:tcPr>
          <w:p w14:paraId="007946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工业级混合油</w:t>
            </w:r>
          </w:p>
        </w:tc>
      </w:tr>
      <w:tr w14:paraId="3C3199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2" w:type="pct"/>
            <w:shd w:val="clear" w:color="auto" w:fill="auto"/>
            <w:vAlign w:val="center"/>
          </w:tcPr>
          <w:p w14:paraId="5ADB09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239" w:type="pct"/>
            <w:vAlign w:val="center"/>
          </w:tcPr>
          <w:p w14:paraId="6DBE0D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废气处理设施</w:t>
            </w:r>
          </w:p>
        </w:tc>
        <w:tc>
          <w:tcPr>
            <w:tcW w:w="654" w:type="pct"/>
            <w:vAlign w:val="center"/>
          </w:tcPr>
          <w:p w14:paraId="7F53F6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烘房、保温暂存罐1、保温暂存罐2、污水收集箱、成品油罐、固废暂存间产生的废气设管道收集；三相分离机、沉淀池产生的少量废气由封闭车间负压系统收集；废气集中收集至</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冷凝+过滤棉+二级活性炭吸附</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装置统一处理后经15 m排气筒（DA001）排放。</w:t>
            </w:r>
          </w:p>
        </w:tc>
        <w:tc>
          <w:tcPr>
            <w:tcW w:w="654" w:type="pct"/>
            <w:vAlign w:val="center"/>
          </w:tcPr>
          <w:p w14:paraId="55E770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项目进料干燥剂、真空系统、酸反应器、碱反应器、水洗反应器、清洗分离器、胶质收集罐、洗涤水分离罐、原料储罐、成品储罐、污水处理站产生的非甲烷总烃、臭气浓度、H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S、NH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通过二级碱喷淋+活性炭吸附后通过15 m高排气筒排放（DA001）。</w:t>
            </w:r>
          </w:p>
        </w:tc>
        <w:tc>
          <w:tcPr>
            <w:tcW w:w="654" w:type="pct"/>
            <w:vAlign w:val="center"/>
          </w:tcPr>
          <w:p w14:paraId="4558FB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三相分离机上方设集气罩进行抽吸，4个加热罐在呼吸孔上方设置对接口与管道相连引至废气处理设备，恶臭气体经收集后采用</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生物滴滤塔</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处理后通过1根15 m 高的排气筒（DA001）排放。</w:t>
            </w:r>
          </w:p>
        </w:tc>
        <w:tc>
          <w:tcPr>
            <w:tcW w:w="654" w:type="pct"/>
            <w:vAlign w:val="center"/>
          </w:tcPr>
          <w:p w14:paraId="2828F2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加热槽封闭、三相分离机设置集气罩负压收集后，通过生物滴滤塔进行除臭处理，处理后通过1根 15 m排气筒1#排放。</w:t>
            </w:r>
          </w:p>
        </w:tc>
        <w:tc>
          <w:tcPr>
            <w:tcW w:w="654" w:type="pct"/>
            <w:vAlign w:val="center"/>
          </w:tcPr>
          <w:p w14:paraId="1E4B74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厂房生产区为密闭负压设置，废油脂在投料、加热等过程产生的废气经引风机抽吸收集后引至</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二级喷淋除臭塔</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处理后由1根15 m排气筒排放。</w:t>
            </w:r>
          </w:p>
        </w:tc>
        <w:tc>
          <w:tcPr>
            <w:tcW w:w="657" w:type="pct"/>
            <w:vAlign w:val="center"/>
          </w:tcPr>
          <w:p w14:paraId="25EFCD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餐厨废油暂存、处</w:t>
            </w:r>
          </w:p>
          <w:p w14:paraId="141C42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理过程</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废渣暂存、成品罐废</w:t>
            </w:r>
          </w:p>
          <w:p w14:paraId="429029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气经各自集气系统收集</w:t>
            </w:r>
            <w:r>
              <w:rPr>
                <w:rFonts w:hint="eastAsia" w:eastAsia="宋体" w:cs="Times New Roman"/>
                <w:color w:val="000000" w:themeColor="text1"/>
                <w:u w:val="none" w:color="auto"/>
                <w:lang w:val="en-US" w:eastAsia="zh-CN"/>
                <w14:textFill>
                  <w14:solidFill>
                    <w14:schemeClr w14:val="tx1"/>
                  </w14:solidFill>
                </w14:textFill>
              </w:rPr>
              <w:t>至</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逆流式 </w:t>
            </w:r>
          </w:p>
          <w:p w14:paraId="460AEB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雾化碱喷淋塔+UV光氧+活性炭吸附处理后经1#排气筒</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r>
              <w:rPr>
                <w:rFonts w:hint="eastAsia"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排放</w:t>
            </w:r>
            <w:r>
              <w:rPr>
                <w:rFonts w:hint="eastAsia" w:eastAsia="宋体" w:cs="Times New Roman"/>
                <w:color w:val="000000" w:themeColor="text1"/>
                <w:u w:val="none" w:color="auto"/>
                <w:lang w:val="en-US" w:eastAsia="zh-CN"/>
                <w14:textFill>
                  <w14:solidFill>
                    <w14:schemeClr w14:val="tx1"/>
                  </w14:solidFill>
                </w14:textFill>
              </w:rPr>
              <w:t>。</w:t>
            </w:r>
          </w:p>
        </w:tc>
        <w:tc>
          <w:tcPr>
            <w:tcW w:w="608" w:type="pct"/>
            <w:vAlign w:val="center"/>
          </w:tcPr>
          <w:p w14:paraId="201DD3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6个加热罐、4个立式储罐使用全密闭收集管道进行抽吸，3个的卧式储罐在观察孔上方设置集气罩进行抽吸，废气经收集汇入喷淋塔+过滤棉+二级活性炭处理后通过15 m高的排气筒（DA001）有组织排放。</w:t>
            </w:r>
          </w:p>
        </w:tc>
      </w:tr>
      <w:tr w14:paraId="1CE0D0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2" w:type="pct"/>
            <w:shd w:val="clear" w:color="auto" w:fill="auto"/>
            <w:vAlign w:val="center"/>
          </w:tcPr>
          <w:p w14:paraId="166837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p>
        </w:tc>
        <w:tc>
          <w:tcPr>
            <w:tcW w:w="239" w:type="pct"/>
            <w:vAlign w:val="center"/>
          </w:tcPr>
          <w:p w14:paraId="68406E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类比情况分析</w:t>
            </w:r>
          </w:p>
        </w:tc>
        <w:tc>
          <w:tcPr>
            <w:tcW w:w="654" w:type="pct"/>
            <w:vAlign w:val="center"/>
          </w:tcPr>
          <w:p w14:paraId="419CE3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本项目与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类比项目主要原料相似，产品相似，主要生产工艺及废气处理工艺相似。</w:t>
            </w:r>
          </w:p>
        </w:tc>
        <w:tc>
          <w:tcPr>
            <w:tcW w:w="654" w:type="pct"/>
            <w:vAlign w:val="center"/>
          </w:tcPr>
          <w:p w14:paraId="4AF3C0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本项目与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类比项目主要原料相似，产品相似，主要生产工艺及废气处理工艺相似。</w:t>
            </w:r>
          </w:p>
        </w:tc>
        <w:tc>
          <w:tcPr>
            <w:tcW w:w="654" w:type="pct"/>
            <w:shd w:val="clear" w:color="auto" w:fill="auto"/>
            <w:vAlign w:val="center"/>
          </w:tcPr>
          <w:p w14:paraId="254B7B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本项目与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类比项目主要原料相似，产品相似，主要生产工艺及废气处理工艺相似。</w:t>
            </w:r>
          </w:p>
        </w:tc>
        <w:tc>
          <w:tcPr>
            <w:tcW w:w="654" w:type="pct"/>
            <w:vAlign w:val="center"/>
          </w:tcPr>
          <w:p w14:paraId="25642C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本项目与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类比项目主要原料相似，产品相似，主要生产工艺及废气处理工艺相似。</w:t>
            </w:r>
          </w:p>
        </w:tc>
        <w:tc>
          <w:tcPr>
            <w:tcW w:w="654" w:type="pct"/>
            <w:vAlign w:val="center"/>
          </w:tcPr>
          <w:p w14:paraId="3180FF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本项目与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类比项目主要原料相似，产品相似，主要生产工艺及废气处理工艺相似。</w:t>
            </w:r>
          </w:p>
        </w:tc>
        <w:tc>
          <w:tcPr>
            <w:tcW w:w="657" w:type="pct"/>
            <w:vAlign w:val="center"/>
          </w:tcPr>
          <w:p w14:paraId="63FD8F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本项目与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类比项目主要原料相似，产品相似，主要生产工艺及废气处理工艺相似。</w:t>
            </w:r>
          </w:p>
        </w:tc>
        <w:tc>
          <w:tcPr>
            <w:tcW w:w="608" w:type="pct"/>
            <w:vAlign w:val="center"/>
          </w:tcPr>
          <w:p w14:paraId="790E88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63A5803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7A90C8F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类比项目废弃油脂加工生产车间污染物产生量按照本项目产能进行折算，折算后的产生量见下表，本项目废弃油脂加工生产车间污染物产生量以类比项目折算后产生量的平均值计。</w:t>
      </w:r>
    </w:p>
    <w:p w14:paraId="7C94FB9D">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废弃油脂加工生产车间污染物产生情况</w:t>
      </w:r>
      <w:r>
        <w:rPr>
          <w:rFonts w:hint="default" w:ascii="Times New Roman" w:hAnsi="Times New Roman" w:eastAsia="宋体" w:cs="Times New Roman"/>
          <w:color w:val="000000" w:themeColor="text1"/>
          <w:u w:val="none" w:color="auto"/>
          <w14:textFill>
            <w14:solidFill>
              <w14:schemeClr w14:val="tx1"/>
            </w14:solidFill>
          </w14:textFill>
        </w:rPr>
        <w:t>一览表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单位：t/万吨·产品</w:t>
      </w:r>
    </w:p>
    <w:tbl>
      <w:tblPr>
        <w:tblStyle w:val="3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3"/>
        <w:gridCol w:w="2625"/>
        <w:gridCol w:w="1311"/>
        <w:gridCol w:w="1311"/>
        <w:gridCol w:w="1311"/>
        <w:gridCol w:w="1314"/>
      </w:tblGrid>
      <w:tr w14:paraId="44D50D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278" w:type="dxa"/>
            <w:gridSpan w:val="2"/>
            <w:vAlign w:val="center"/>
          </w:tcPr>
          <w:p w14:paraId="7D2332FD">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产生工序</w:t>
            </w:r>
          </w:p>
        </w:tc>
        <w:tc>
          <w:tcPr>
            <w:tcW w:w="5247" w:type="dxa"/>
            <w:gridSpan w:val="4"/>
            <w:vAlign w:val="center"/>
          </w:tcPr>
          <w:p w14:paraId="3525EAAF">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废弃油脂加工生产车间</w:t>
            </w:r>
          </w:p>
        </w:tc>
      </w:tr>
      <w:tr w14:paraId="5D7BA2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278" w:type="dxa"/>
            <w:gridSpan w:val="2"/>
            <w:vAlign w:val="center"/>
          </w:tcPr>
          <w:p w14:paraId="4E8BB942">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污染物</w:t>
            </w:r>
          </w:p>
        </w:tc>
        <w:tc>
          <w:tcPr>
            <w:tcW w:w="1311" w:type="dxa"/>
            <w:vAlign w:val="center"/>
          </w:tcPr>
          <w:p w14:paraId="394A01E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color="auto"/>
                <w:lang w:val="en-US" w:eastAsia="zh-CN" w:bidi="ar"/>
              </w:rPr>
              <w:t>氨</w:t>
            </w:r>
          </w:p>
        </w:tc>
        <w:tc>
          <w:tcPr>
            <w:tcW w:w="1311" w:type="dxa"/>
            <w:vAlign w:val="center"/>
          </w:tcPr>
          <w:p w14:paraId="6F11DB5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color="auto"/>
                <w:lang w:val="en-US" w:eastAsia="zh-CN" w:bidi="ar"/>
              </w:rPr>
              <w:t>硫化氢</w:t>
            </w:r>
          </w:p>
        </w:tc>
        <w:tc>
          <w:tcPr>
            <w:tcW w:w="1311" w:type="dxa"/>
            <w:vAlign w:val="center"/>
          </w:tcPr>
          <w:p w14:paraId="7063C7E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color="auto"/>
                <w:lang w:val="en-US" w:eastAsia="zh-CN" w:bidi="ar"/>
              </w:rPr>
              <w:t>臭气浓度</w:t>
            </w:r>
          </w:p>
        </w:tc>
        <w:tc>
          <w:tcPr>
            <w:tcW w:w="1314" w:type="dxa"/>
            <w:vAlign w:val="center"/>
          </w:tcPr>
          <w:p w14:paraId="48F5226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color="auto"/>
                <w:lang w:val="en-US" w:eastAsia="zh-CN" w:bidi="ar"/>
              </w:rPr>
              <w:t>非甲烷总烃</w:t>
            </w:r>
          </w:p>
        </w:tc>
      </w:tr>
      <w:tr w14:paraId="6197CB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3" w:type="dxa"/>
            <w:vMerge w:val="restart"/>
            <w:vAlign w:val="center"/>
          </w:tcPr>
          <w:p w14:paraId="7681219F">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类比项目</w:t>
            </w:r>
          </w:p>
        </w:tc>
        <w:tc>
          <w:tcPr>
            <w:tcW w:w="2625" w:type="dxa"/>
            <w:vAlign w:val="center"/>
          </w:tcPr>
          <w:p w14:paraId="13703BE9">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湖南庚辰生物科技有限责任公司废弃动植物油脂循环再利用项目</w:t>
            </w:r>
          </w:p>
        </w:tc>
        <w:tc>
          <w:tcPr>
            <w:tcW w:w="1311" w:type="dxa"/>
            <w:vAlign w:val="center"/>
          </w:tcPr>
          <w:p w14:paraId="731316E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0.00921</w:t>
            </w:r>
          </w:p>
        </w:tc>
        <w:tc>
          <w:tcPr>
            <w:tcW w:w="1311" w:type="dxa"/>
            <w:vAlign w:val="center"/>
          </w:tcPr>
          <w:p w14:paraId="09C890E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0.00012</w:t>
            </w:r>
          </w:p>
        </w:tc>
        <w:tc>
          <w:tcPr>
            <w:tcW w:w="1311" w:type="dxa"/>
            <w:vAlign w:val="center"/>
          </w:tcPr>
          <w:p w14:paraId="1293B43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46</w:t>
            </w:r>
          </w:p>
        </w:tc>
        <w:tc>
          <w:tcPr>
            <w:tcW w:w="1314" w:type="dxa"/>
            <w:vAlign w:val="center"/>
          </w:tcPr>
          <w:p w14:paraId="748C80E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0.04</w:t>
            </w:r>
          </w:p>
        </w:tc>
      </w:tr>
      <w:tr w14:paraId="35B08C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3" w:type="dxa"/>
            <w:vMerge w:val="continue"/>
            <w:vAlign w:val="center"/>
          </w:tcPr>
          <w:p w14:paraId="33A64A93">
            <w:pPr>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2625" w:type="dxa"/>
            <w:vAlign w:val="center"/>
          </w:tcPr>
          <w:p w14:paraId="3B0B7C2C">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湖南将蓝生物能源有限公司33万吨年废弃油脂资源化利用项目</w:t>
            </w:r>
          </w:p>
        </w:tc>
        <w:tc>
          <w:tcPr>
            <w:tcW w:w="1311" w:type="dxa"/>
            <w:vAlign w:val="center"/>
          </w:tcPr>
          <w:p w14:paraId="0F8FA39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0.215991</w:t>
            </w:r>
          </w:p>
        </w:tc>
        <w:tc>
          <w:tcPr>
            <w:tcW w:w="1311" w:type="dxa"/>
            <w:vAlign w:val="center"/>
          </w:tcPr>
          <w:p w14:paraId="210677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0.005306045</w:t>
            </w:r>
          </w:p>
        </w:tc>
        <w:tc>
          <w:tcPr>
            <w:tcW w:w="1311" w:type="dxa"/>
            <w:vAlign w:val="center"/>
          </w:tcPr>
          <w:p w14:paraId="7CD911E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w:t>
            </w:r>
          </w:p>
        </w:tc>
        <w:tc>
          <w:tcPr>
            <w:tcW w:w="1314" w:type="dxa"/>
            <w:vAlign w:val="center"/>
          </w:tcPr>
          <w:p w14:paraId="7004E50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0.6741855</w:t>
            </w:r>
          </w:p>
        </w:tc>
      </w:tr>
      <w:tr w14:paraId="5CBC13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3" w:type="dxa"/>
            <w:vMerge w:val="continue"/>
            <w:vAlign w:val="center"/>
          </w:tcPr>
          <w:p w14:paraId="77F3A9B9">
            <w:pPr>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2625" w:type="dxa"/>
            <w:vAlign w:val="center"/>
          </w:tcPr>
          <w:p w14:paraId="7438C02D">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平江和旺环保科技有限公司废弃食用油脂无害化利用项目</w:t>
            </w:r>
          </w:p>
        </w:tc>
        <w:tc>
          <w:tcPr>
            <w:tcW w:w="1311" w:type="dxa"/>
            <w:vAlign w:val="center"/>
          </w:tcPr>
          <w:p w14:paraId="7284A65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0.185411853</w:t>
            </w:r>
          </w:p>
        </w:tc>
        <w:tc>
          <w:tcPr>
            <w:tcW w:w="1311" w:type="dxa"/>
            <w:vAlign w:val="center"/>
          </w:tcPr>
          <w:p w14:paraId="6B91FF1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0.002418415</w:t>
            </w:r>
          </w:p>
        </w:tc>
        <w:tc>
          <w:tcPr>
            <w:tcW w:w="1311" w:type="dxa"/>
            <w:vAlign w:val="center"/>
          </w:tcPr>
          <w:p w14:paraId="27935DE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247</w:t>
            </w:r>
          </w:p>
        </w:tc>
        <w:tc>
          <w:tcPr>
            <w:tcW w:w="1314" w:type="dxa"/>
            <w:vAlign w:val="center"/>
          </w:tcPr>
          <w:p w14:paraId="4015171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w:t>
            </w:r>
          </w:p>
        </w:tc>
      </w:tr>
      <w:tr w14:paraId="3CB1F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3" w:type="dxa"/>
            <w:vMerge w:val="continue"/>
            <w:vAlign w:val="center"/>
          </w:tcPr>
          <w:p w14:paraId="165156ED">
            <w:pPr>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2625" w:type="dxa"/>
            <w:vAlign w:val="center"/>
          </w:tcPr>
          <w:p w14:paraId="77A5BA4B">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汨罗市湘环再生资源有限公司（3600 t/a）废弃油脂回收和粗加工项目</w:t>
            </w:r>
          </w:p>
        </w:tc>
        <w:tc>
          <w:tcPr>
            <w:tcW w:w="1311" w:type="dxa"/>
            <w:vAlign w:val="center"/>
          </w:tcPr>
          <w:p w14:paraId="7315E9F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0.3524125</w:t>
            </w:r>
          </w:p>
        </w:tc>
        <w:tc>
          <w:tcPr>
            <w:tcW w:w="1311" w:type="dxa"/>
            <w:vAlign w:val="center"/>
          </w:tcPr>
          <w:p w14:paraId="0FFAB89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0.00466</w:t>
            </w:r>
          </w:p>
        </w:tc>
        <w:tc>
          <w:tcPr>
            <w:tcW w:w="1311" w:type="dxa"/>
            <w:vAlign w:val="center"/>
          </w:tcPr>
          <w:p w14:paraId="011D4E3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w:t>
            </w:r>
          </w:p>
        </w:tc>
        <w:tc>
          <w:tcPr>
            <w:tcW w:w="1314" w:type="dxa"/>
            <w:vAlign w:val="center"/>
          </w:tcPr>
          <w:p w14:paraId="2586553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w:t>
            </w:r>
          </w:p>
        </w:tc>
      </w:tr>
      <w:tr w14:paraId="2CCC90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3" w:type="dxa"/>
            <w:vMerge w:val="continue"/>
            <w:vAlign w:val="center"/>
          </w:tcPr>
          <w:p w14:paraId="463C2047">
            <w:pPr>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2625" w:type="dxa"/>
            <w:vAlign w:val="center"/>
          </w:tcPr>
          <w:p w14:paraId="64852C9B">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山西恒岳</w:t>
            </w:r>
            <w:r>
              <w:rPr>
                <w:rFonts w:hint="eastAsia" w:ascii="Times New Roman" w:hAnsi="Times New Roman" w:eastAsia="宋体" w:cs="Times New Roman"/>
                <w:i w:val="0"/>
                <w:iCs w:val="0"/>
                <w:color w:val="000000"/>
                <w:kern w:val="0"/>
                <w:sz w:val="21"/>
                <w:szCs w:val="21"/>
                <w:u w:val="none" w:color="auto"/>
                <w:lang w:val="en-US" w:eastAsia="zh-CN" w:bidi="ar"/>
              </w:rPr>
              <w:t>环保科技</w:t>
            </w:r>
            <w:r>
              <w:rPr>
                <w:rFonts w:hint="default" w:ascii="Times New Roman" w:hAnsi="Times New Roman" w:eastAsia="宋体" w:cs="Times New Roman"/>
                <w:i w:val="0"/>
                <w:iCs w:val="0"/>
                <w:color w:val="000000"/>
                <w:kern w:val="0"/>
                <w:sz w:val="21"/>
                <w:szCs w:val="21"/>
                <w:u w:val="none" w:color="auto"/>
                <w:lang w:val="en-US" w:eastAsia="zh-CN" w:bidi="ar"/>
              </w:rPr>
              <w:t>有限公司年回收处理2000吨废弃动植物油脂项目</w:t>
            </w:r>
          </w:p>
        </w:tc>
        <w:tc>
          <w:tcPr>
            <w:tcW w:w="1311" w:type="dxa"/>
            <w:vAlign w:val="center"/>
          </w:tcPr>
          <w:p w14:paraId="4408545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0.2375901</w:t>
            </w:r>
          </w:p>
        </w:tc>
        <w:tc>
          <w:tcPr>
            <w:tcW w:w="1311" w:type="dxa"/>
            <w:vAlign w:val="center"/>
          </w:tcPr>
          <w:p w14:paraId="36DB300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0.040021245</w:t>
            </w:r>
          </w:p>
        </w:tc>
        <w:tc>
          <w:tcPr>
            <w:tcW w:w="1311" w:type="dxa"/>
            <w:vAlign w:val="center"/>
          </w:tcPr>
          <w:p w14:paraId="587A16E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w:t>
            </w:r>
          </w:p>
        </w:tc>
        <w:tc>
          <w:tcPr>
            <w:tcW w:w="1314" w:type="dxa"/>
            <w:vAlign w:val="center"/>
          </w:tcPr>
          <w:p w14:paraId="2186557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2.3067</w:t>
            </w:r>
          </w:p>
        </w:tc>
      </w:tr>
      <w:tr w14:paraId="161BDC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3" w:type="dxa"/>
            <w:vMerge w:val="continue"/>
            <w:vAlign w:val="center"/>
          </w:tcPr>
          <w:p w14:paraId="64E62558">
            <w:pPr>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2625" w:type="dxa"/>
            <w:vAlign w:val="center"/>
          </w:tcPr>
          <w:p w14:paraId="34B11A4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山东中源再生资源有限公司淄博市餐厨废油脂资源化利用项目</w:t>
            </w:r>
          </w:p>
        </w:tc>
        <w:tc>
          <w:tcPr>
            <w:tcW w:w="1311" w:type="dxa"/>
            <w:vAlign w:val="center"/>
          </w:tcPr>
          <w:p w14:paraId="300649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0.0864</w:t>
            </w:r>
          </w:p>
        </w:tc>
        <w:tc>
          <w:tcPr>
            <w:tcW w:w="1311" w:type="dxa"/>
            <w:vAlign w:val="center"/>
          </w:tcPr>
          <w:p w14:paraId="0059FF9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0.00624024</w:t>
            </w:r>
          </w:p>
        </w:tc>
        <w:tc>
          <w:tcPr>
            <w:tcW w:w="1311" w:type="dxa"/>
            <w:vAlign w:val="center"/>
          </w:tcPr>
          <w:p w14:paraId="44DB510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w:t>
            </w:r>
          </w:p>
        </w:tc>
        <w:tc>
          <w:tcPr>
            <w:tcW w:w="1314" w:type="dxa"/>
            <w:vAlign w:val="center"/>
          </w:tcPr>
          <w:p w14:paraId="02A2BA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2.2608</w:t>
            </w:r>
          </w:p>
        </w:tc>
      </w:tr>
      <w:tr w14:paraId="71A63B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78" w:type="dxa"/>
            <w:gridSpan w:val="2"/>
            <w:vAlign w:val="center"/>
          </w:tcPr>
          <w:p w14:paraId="1F2D3B5B">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color="auto"/>
                <w:lang w:val="en-US" w:eastAsia="zh-CN" w:bidi="ar"/>
              </w:rPr>
              <w:t>平均值（本项目取值）</w:t>
            </w:r>
          </w:p>
        </w:tc>
        <w:tc>
          <w:tcPr>
            <w:tcW w:w="1311" w:type="dxa"/>
            <w:vAlign w:val="center"/>
          </w:tcPr>
          <w:p w14:paraId="5EC38A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0.181169 </w:t>
            </w:r>
          </w:p>
        </w:tc>
        <w:tc>
          <w:tcPr>
            <w:tcW w:w="1311" w:type="dxa"/>
            <w:vAlign w:val="center"/>
          </w:tcPr>
          <w:p w14:paraId="58268E2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0.009794 </w:t>
            </w:r>
          </w:p>
        </w:tc>
        <w:tc>
          <w:tcPr>
            <w:tcW w:w="1311" w:type="dxa"/>
            <w:vAlign w:val="center"/>
          </w:tcPr>
          <w:p w14:paraId="359891B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147 </w:t>
            </w:r>
          </w:p>
        </w:tc>
        <w:tc>
          <w:tcPr>
            <w:tcW w:w="1314" w:type="dxa"/>
            <w:vAlign w:val="center"/>
          </w:tcPr>
          <w:p w14:paraId="78604F5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 xml:space="preserve">1.320421 </w:t>
            </w:r>
          </w:p>
        </w:tc>
      </w:tr>
    </w:tbl>
    <w:p w14:paraId="66B6040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年工作300天，加热罐和成品储罐均24小时运行，年工作时间按7200小时计，年生产工业级混合油10000吨。项目卸料、除杂、制浆、加热沉降、搅拌、三相分离等生产环节均在密闭设备内进行，废气收集效率按90%计。由上表类比结果可得本项目废弃油脂加工及成品油储存产生的废气中氨产生量为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181169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t/a，其中有组织产生量0.1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630521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t/a，车间无组织产生量0.0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181169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t/a；硫化氢产生量为0.0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09794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t/a，其中有组织产生量0.0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088146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t/a，车间无组织产生量0.00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09794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t/a；臭气浓度产生量为147（无量纲），其中有组织产生量132（无量纲），车间无组织产生量15（无量纲）；非甲烷总烃产生量为1.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320421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t/a，其中有组织产生量</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1.1883789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t/a，车间无组织产生量0.1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320421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w:t>
      </w:r>
    </w:p>
    <w:p w14:paraId="72B1952D">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3.4.1.3 沉渣池产生的废气</w:t>
      </w:r>
    </w:p>
    <w:p w14:paraId="0AD0509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项目除杂、制浆、三相分离工序产生的废渣暂存于沉渣池，废渣暂存会产生恶臭气体，该恶臭气体为多组分、低浓度化学物质形成的混合物，其主要成分有氨、硫化氢等</w:t>
      </w:r>
      <w:r>
        <w:rPr>
          <w:rFonts w:hint="default" w:ascii="Times New Roman" w:hAnsi="Times New Roman" w:eastAsia="宋体" w:cs="Times New Roman"/>
          <w:color w:val="000000" w:themeColor="text1"/>
          <w:highlight w:val="none"/>
          <w:u w:val="none" w:color="auto"/>
          <w:lang w:val="en-US" w:eastAsia="zh-CN"/>
          <w14:textFill>
            <w14:solidFill>
              <w14:schemeClr w14:val="tx1"/>
            </w14:solidFill>
          </w14:textFill>
        </w:rPr>
        <w:t>脂肪族类物质。</w:t>
      </w: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沉渣池废气源强采用类比法。</w:t>
      </w:r>
    </w:p>
    <w:p w14:paraId="060A4C92">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通过类比分析，上述6个项目中</w:t>
      </w:r>
      <w:r>
        <w:rPr>
          <w:rFonts w:hint="default" w:ascii="Times New Roman" w:hAnsi="Times New Roman" w:eastAsia="宋体" w:cs="Times New Roman"/>
          <w:color w:val="000000" w:themeColor="text1"/>
          <w:highlight w:val="none"/>
          <w:u w:val="none" w:color="auto"/>
          <w:lang w:val="en-US" w:eastAsia="zh-CN"/>
          <w14:textFill>
            <w14:solidFill>
              <w14:schemeClr w14:val="tx1"/>
            </w14:solidFill>
          </w14:textFill>
        </w:rPr>
        <w:t>湖南庚辰生物科技有限责任公司</w:t>
      </w: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u w:val="none" w:color="auto"/>
          <w:lang w:val="en-US" w:eastAsia="zh-CN"/>
          <w14:textFill>
            <w14:solidFill>
              <w14:schemeClr w14:val="tx1"/>
            </w14:solidFill>
          </w14:textFill>
        </w:rPr>
        <w:t>废弃动植物油脂循环再利用项目</w:t>
      </w: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》一般固废暂存间主要用于暂存三相分离废渣，与本项目沉渣池功能相似，具有可类比性。</w:t>
      </w:r>
    </w:p>
    <w:p w14:paraId="47E1485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沉渣池</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污染物产生情况</w:t>
      </w:r>
      <w:r>
        <w:rPr>
          <w:rFonts w:hint="default" w:ascii="Times New Roman" w:hAnsi="Times New Roman" w:eastAsia="宋体" w:cs="Times New Roman"/>
          <w:color w:val="000000" w:themeColor="text1"/>
          <w:u w:val="none" w:color="auto"/>
          <w14:textFill>
            <w14:solidFill>
              <w14:schemeClr w14:val="tx1"/>
            </w14:solidFill>
          </w14:textFill>
        </w:rPr>
        <w:t>一览表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单位：kg/（t·h）</w:t>
      </w:r>
    </w:p>
    <w:tbl>
      <w:tblPr>
        <w:tblStyle w:val="3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278"/>
        <w:gridCol w:w="2623"/>
        <w:gridCol w:w="2624"/>
      </w:tblGrid>
      <w:tr w14:paraId="671354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278" w:type="dxa"/>
            <w:vAlign w:val="center"/>
          </w:tcPr>
          <w:p w14:paraId="65813943">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产生工序</w:t>
            </w:r>
          </w:p>
        </w:tc>
        <w:tc>
          <w:tcPr>
            <w:tcW w:w="5247" w:type="dxa"/>
            <w:gridSpan w:val="2"/>
            <w:vAlign w:val="center"/>
          </w:tcPr>
          <w:p w14:paraId="09AA260B">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废弃油脂加工生产车间</w:t>
            </w:r>
          </w:p>
        </w:tc>
      </w:tr>
      <w:tr w14:paraId="5216D2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278" w:type="dxa"/>
            <w:vAlign w:val="center"/>
          </w:tcPr>
          <w:p w14:paraId="60678755">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污染物</w:t>
            </w:r>
          </w:p>
        </w:tc>
        <w:tc>
          <w:tcPr>
            <w:tcW w:w="2623" w:type="dxa"/>
            <w:vAlign w:val="center"/>
          </w:tcPr>
          <w:p w14:paraId="43C30B0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color="auto"/>
                <w:lang w:val="en-US" w:eastAsia="zh-CN" w:bidi="ar"/>
              </w:rPr>
              <w:t>氨</w:t>
            </w:r>
          </w:p>
        </w:tc>
        <w:tc>
          <w:tcPr>
            <w:tcW w:w="2624" w:type="dxa"/>
            <w:vAlign w:val="center"/>
          </w:tcPr>
          <w:p w14:paraId="572233C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0"/>
                <w:szCs w:val="20"/>
                <w:u w:val="none" w:color="auto"/>
                <w:lang w:val="en-US" w:eastAsia="zh-CN" w:bidi="ar"/>
              </w:rPr>
              <w:t>硫化氢</w:t>
            </w:r>
          </w:p>
        </w:tc>
      </w:tr>
      <w:tr w14:paraId="3BF30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78" w:type="dxa"/>
            <w:vAlign w:val="center"/>
          </w:tcPr>
          <w:p w14:paraId="6742B1F8">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类比项目</w:t>
            </w:r>
          </w:p>
        </w:tc>
        <w:tc>
          <w:tcPr>
            <w:tcW w:w="2623" w:type="dxa"/>
            <w:vAlign w:val="center"/>
          </w:tcPr>
          <w:p w14:paraId="713D0F6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0.0012</w:t>
            </w:r>
          </w:p>
        </w:tc>
        <w:tc>
          <w:tcPr>
            <w:tcW w:w="2624" w:type="dxa"/>
            <w:vAlign w:val="center"/>
          </w:tcPr>
          <w:p w14:paraId="7428665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0.00035</w:t>
            </w:r>
          </w:p>
        </w:tc>
      </w:tr>
      <w:tr w14:paraId="70390D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78" w:type="dxa"/>
            <w:vAlign w:val="center"/>
          </w:tcPr>
          <w:p w14:paraId="3854AADB">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color="auto"/>
                <w:lang w:val="en-US" w:eastAsia="zh-CN" w:bidi="ar"/>
              </w:rPr>
              <w:t>本项目取值</w:t>
            </w:r>
          </w:p>
        </w:tc>
        <w:tc>
          <w:tcPr>
            <w:tcW w:w="2623" w:type="dxa"/>
            <w:vAlign w:val="center"/>
          </w:tcPr>
          <w:p w14:paraId="7725E51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0.0012</w:t>
            </w:r>
          </w:p>
        </w:tc>
        <w:tc>
          <w:tcPr>
            <w:tcW w:w="2624" w:type="dxa"/>
            <w:vAlign w:val="center"/>
          </w:tcPr>
          <w:p w14:paraId="36BD56F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0.00035</w:t>
            </w:r>
          </w:p>
        </w:tc>
      </w:tr>
    </w:tbl>
    <w:p w14:paraId="6A7CA63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highlight w:val="yellow"/>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本项目沉渣池</w:t>
      </w:r>
      <w:r>
        <w:rPr>
          <w:rFonts w:hint="default" w:ascii="Times New Roman" w:hAnsi="Times New Roman" w:eastAsia="宋体" w:cs="Times New Roman"/>
          <w:color w:val="000000" w:themeColor="text1"/>
          <w:highlight w:val="none"/>
          <w:u w:val="none" w:color="auto"/>
          <w:lang w:val="en-US" w:eastAsia="zh-CN"/>
          <w14:textFill>
            <w14:solidFill>
              <w14:schemeClr w14:val="tx1"/>
            </w14:solidFill>
          </w14:textFill>
        </w:rPr>
        <w:t>氨产生速率</w:t>
      </w: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取值</w:t>
      </w:r>
      <w:r>
        <w:rPr>
          <w:rFonts w:hint="default" w:ascii="Times New Roman" w:hAnsi="Times New Roman" w:eastAsia="宋体" w:cs="Times New Roman"/>
          <w:color w:val="000000" w:themeColor="text1"/>
          <w:highlight w:val="none"/>
          <w:u w:val="none" w:color="auto"/>
          <w:lang w:val="en-US" w:eastAsia="zh-CN"/>
          <w14:textFill>
            <w14:solidFill>
              <w14:schemeClr w14:val="tx1"/>
            </w14:solidFill>
          </w14:textFill>
        </w:rPr>
        <w:t>为0.0012 kg/（t·h），硫化氢产生速率</w:t>
      </w:r>
      <w:r>
        <w:rPr>
          <w:rFonts w:hint="eastAsia" w:ascii="Times New Roman" w:hAnsi="Times New Roman" w:eastAsia="宋体" w:cs="Times New Roman"/>
          <w:color w:val="000000" w:themeColor="text1"/>
          <w:highlight w:val="none"/>
          <w:u w:val="none" w:color="auto"/>
          <w:lang w:val="en-US" w:eastAsia="zh-CN"/>
          <w14:textFill>
            <w14:solidFill>
              <w14:schemeClr w14:val="tx1"/>
            </w14:solidFill>
          </w14:textFill>
        </w:rPr>
        <w:t>取值</w:t>
      </w:r>
      <w:r>
        <w:rPr>
          <w:rFonts w:hint="default" w:ascii="Times New Roman" w:hAnsi="Times New Roman" w:eastAsia="宋体" w:cs="Times New Roman"/>
          <w:color w:val="000000" w:themeColor="text1"/>
          <w:highlight w:val="none"/>
          <w:u w:val="none" w:color="auto"/>
          <w:lang w:val="en-US" w:eastAsia="zh-CN"/>
          <w14:textFill>
            <w14:solidFill>
              <w14:schemeClr w14:val="tx1"/>
            </w14:solidFill>
          </w14:textFill>
        </w:rPr>
        <w:t>为0.00035 kg/（t·h）。本项目废渣产生量为248 t/a，则沉渣池恶臭氨的产生速率为0.000041 kg/h，硫化氢产生速率约为0.000012 kg/h。项目年生产300 d，废渣暂存每天按24 h计，则氨产生量为0.0002952 t/a，硫化氢产生量为0.0000864 t/a，在车间内无组织排放。</w:t>
      </w:r>
    </w:p>
    <w:p w14:paraId="23B0193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综上，车间内无组织排放的氨为0.0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184121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t/a，速率0.002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5572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kg/h，硫化氢为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0.0010658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t/a，速率0.0.0001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480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kg/h；臭气浓度为15（无量纲）；非甲烷总烃为0.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1320421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t/a，速率0.01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83392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kg/h。生产过程车间密闭，车间阻隔率按80%计，则厂界无组织排放的氨为0.00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36824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t/a，排放速率0.0005</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114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kg/h；硫化氢为0.0002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132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t/a，排放速率0.0000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296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kg/h；臭气浓度为3（无量纲）；非甲烷总烃为0.02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64084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t/a，排放速率0.00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36678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w:t>
      </w:r>
    </w:p>
    <w:p w14:paraId="3752D6A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项目拟建1台20000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/h的风机收集有组织废气，根据前文分析，本项目氨有组织产生量为0.1801107 t/a，产生速率0.0250154 kg/h，产生浓度1.2507688 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；硫化氢有组织产生量为0.0094545 t/a，产生速率0.0013131 kg/h，产生浓度0.0656563 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；臭气浓度有组织产生量为132（无量纲）；非甲烷总烃有组织产生量为0.9062658 t/a，产生速率0.1258703 kg/h，产生浓度6.2935125 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。有组织废气经收集汇入喷淋塔+过滤棉+二级活性炭处理后通过15 m高的排气筒（DA001）有组织排放。项目除臭效率按</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0%计，挥发性有机物去除率按</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%计，则本项目氨有组织排放量为0.0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652208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t/a，排放速率0.0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090585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kg/h，排放浓度0.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4529225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；硫化氢有组织排放量为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0.0035258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t/a，排放速率</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0.0004897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kg/h，排放浓度0.0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244850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；臭气浓度有组织排放量为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（无量纲）；非甲烷总烃有组织排放量为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0.4753516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t/a，排放速率0.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0660211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kg/h，排放浓度</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3.3010525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p w14:paraId="6237F5E0">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3.4.1.4 污水处理设施产生的恶臭</w:t>
      </w:r>
    </w:p>
    <w:p w14:paraId="261BD55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lang w:val="en-US"/>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auto"/>
          <w:sz w:val="24"/>
          <w:highlight w:val="none"/>
          <w:u w:val="none" w:color="auto"/>
          <w:lang w:val="en-US" w:eastAsia="zh-CN"/>
        </w:rPr>
        <w:t>本项目生产废水经厂内污水处理站处理达标后排入园区污水管网，进入天源污水处理厂进一步处理。生产废水成分主要为COD、BOD</w:t>
      </w:r>
      <w:r>
        <w:rPr>
          <w:rFonts w:hint="default" w:ascii="Times New Roman" w:hAnsi="Times New Roman" w:eastAsia="宋体" w:cs="Times New Roman"/>
          <w:color w:val="auto"/>
          <w:sz w:val="24"/>
          <w:highlight w:val="none"/>
          <w:u w:val="none" w:color="auto"/>
          <w:vertAlign w:val="subscript"/>
          <w:lang w:val="en-US" w:eastAsia="zh-CN"/>
        </w:rPr>
        <w:t>5</w:t>
      </w:r>
      <w:r>
        <w:rPr>
          <w:rFonts w:hint="default" w:ascii="Times New Roman" w:hAnsi="Times New Roman" w:eastAsia="宋体" w:cs="Times New Roman"/>
          <w:color w:val="auto"/>
          <w:sz w:val="24"/>
          <w:highlight w:val="none"/>
          <w:u w:val="none" w:color="auto"/>
          <w:lang w:val="en-US" w:eastAsia="zh-CN"/>
        </w:rPr>
        <w:t>、NH</w:t>
      </w:r>
      <w:r>
        <w:rPr>
          <w:rFonts w:hint="default" w:ascii="Times New Roman" w:hAnsi="Times New Roman" w:eastAsia="宋体" w:cs="Times New Roman"/>
          <w:color w:val="auto"/>
          <w:sz w:val="24"/>
          <w:highlight w:val="none"/>
          <w:u w:val="none" w:color="auto"/>
          <w:vertAlign w:val="subscript"/>
          <w:lang w:val="en-US" w:eastAsia="zh-CN"/>
        </w:rPr>
        <w:t>3</w:t>
      </w:r>
      <w:r>
        <w:rPr>
          <w:rFonts w:hint="default" w:ascii="Times New Roman" w:hAnsi="Times New Roman" w:eastAsia="宋体" w:cs="Times New Roman"/>
          <w:color w:val="auto"/>
          <w:sz w:val="24"/>
          <w:highlight w:val="none"/>
          <w:u w:val="none" w:color="auto"/>
          <w:lang w:val="en-US" w:eastAsia="zh-CN"/>
        </w:rPr>
        <w:t>-N、SS、动植物油等，污水处理站产生恶臭的环节多，主要有调节池、生物处理池等。恶臭的种类最主要的污染物为氨气及硫化氢。根据美国EPA的研究，污水处理过程中每处理1 g BOD</w:t>
      </w:r>
      <w:r>
        <w:rPr>
          <w:rFonts w:hint="default" w:ascii="Times New Roman" w:hAnsi="Times New Roman" w:eastAsia="宋体" w:cs="Times New Roman"/>
          <w:color w:val="auto"/>
          <w:sz w:val="24"/>
          <w:highlight w:val="none"/>
          <w:u w:val="none" w:color="auto"/>
          <w:vertAlign w:val="subscript"/>
          <w:lang w:val="en-US" w:eastAsia="zh-CN"/>
        </w:rPr>
        <w:t>5</w:t>
      </w:r>
      <w:r>
        <w:rPr>
          <w:rFonts w:hint="default" w:ascii="Times New Roman" w:hAnsi="Times New Roman" w:eastAsia="宋体" w:cs="Times New Roman"/>
          <w:color w:val="auto"/>
          <w:sz w:val="24"/>
          <w:highlight w:val="none"/>
          <w:u w:val="none" w:color="auto"/>
          <w:lang w:val="en-US" w:eastAsia="zh-CN"/>
        </w:rPr>
        <w:t>产生0.0031 g氨气和0.00012 g硫化氢，根据工程分析，本项目污水处理站BOD</w:t>
      </w:r>
      <w:r>
        <w:rPr>
          <w:rFonts w:hint="default" w:ascii="Times New Roman" w:hAnsi="Times New Roman" w:eastAsia="宋体" w:cs="Times New Roman"/>
          <w:color w:val="auto"/>
          <w:sz w:val="24"/>
          <w:highlight w:val="none"/>
          <w:u w:val="none" w:color="auto"/>
          <w:vertAlign w:val="subscript"/>
          <w:lang w:val="en-US" w:eastAsia="zh-CN"/>
        </w:rPr>
        <w:t>5</w:t>
      </w:r>
      <w:r>
        <w:rPr>
          <w:rFonts w:hint="default" w:ascii="Times New Roman" w:hAnsi="Times New Roman" w:eastAsia="宋体" w:cs="Times New Roman"/>
          <w:color w:val="auto"/>
          <w:sz w:val="24"/>
          <w:highlight w:val="none"/>
          <w:u w:val="none" w:color="auto"/>
          <w:lang w:val="en-US" w:eastAsia="zh-CN"/>
        </w:rPr>
        <w:t>去除量约为0.5595 t/a。本项目污水处理设施运行时间以7200 h/a计，经计算，本项目运营后污水处理设施氨气产生量0.0017345 t/a，产生速率0.0002409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w:t>
      </w:r>
      <w:r>
        <w:rPr>
          <w:rFonts w:hint="default" w:ascii="Times New Roman" w:hAnsi="Times New Roman" w:eastAsia="宋体" w:cs="Times New Roman"/>
          <w:color w:val="auto"/>
          <w:sz w:val="24"/>
          <w:highlight w:val="none"/>
          <w:u w:val="none" w:color="auto"/>
          <w:lang w:val="en-US" w:eastAsia="zh-CN"/>
        </w:rPr>
        <w:t>；硫化氢产生量0.0000671 t/a，产生速率0.0000093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w:t>
      </w:r>
      <w:r>
        <w:rPr>
          <w:rFonts w:hint="default" w:ascii="Times New Roman" w:hAnsi="Times New Roman" w:eastAsia="宋体" w:cs="Times New Roman"/>
          <w:color w:val="auto"/>
          <w:sz w:val="24"/>
          <w:highlight w:val="none"/>
          <w:u w:val="none" w:color="auto"/>
          <w:lang w:val="en-US" w:eastAsia="zh-CN"/>
        </w:rPr>
        <w:t>。本项目污水处理设施规模不大，臭气产生量小，经加盖密闭等措施处理后对周边环境影响较小。加盖密闭阻隔率按80%计，则氨气无组织排放量0.0003469 t/a，排放速率0.0000482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w:t>
      </w:r>
      <w:r>
        <w:rPr>
          <w:rFonts w:hint="default" w:ascii="Times New Roman" w:hAnsi="Times New Roman" w:eastAsia="宋体" w:cs="Times New Roman"/>
          <w:color w:val="auto"/>
          <w:sz w:val="24"/>
          <w:highlight w:val="none"/>
          <w:u w:val="none" w:color="auto"/>
          <w:lang w:val="en-US" w:eastAsia="zh-CN"/>
        </w:rPr>
        <w:t>；硫化氢无组织排放量0.0000134 t/a，排放速率0.0000019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kg/h。</w:t>
      </w:r>
    </w:p>
    <w:p w14:paraId="14D3A21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正常工况下废气排放源强分析</w:t>
      </w:r>
    </w:p>
    <w:p w14:paraId="15FD935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全厂废气排放情况汇总表</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0"/>
        <w:gridCol w:w="847"/>
        <w:gridCol w:w="938"/>
        <w:gridCol w:w="1170"/>
        <w:gridCol w:w="1140"/>
        <w:gridCol w:w="1155"/>
        <w:gridCol w:w="690"/>
        <w:gridCol w:w="1155"/>
        <w:gridCol w:w="1140"/>
        <w:gridCol w:w="1140"/>
        <w:gridCol w:w="810"/>
        <w:gridCol w:w="645"/>
        <w:gridCol w:w="465"/>
        <w:gridCol w:w="495"/>
        <w:gridCol w:w="495"/>
        <w:gridCol w:w="773"/>
        <w:gridCol w:w="425"/>
      </w:tblGrid>
      <w:tr w14:paraId="6AB102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40" w:type="pct"/>
            <w:vMerge w:val="restart"/>
            <w:vAlign w:val="center"/>
          </w:tcPr>
          <w:p w14:paraId="365E79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产污环节</w:t>
            </w:r>
          </w:p>
        </w:tc>
        <w:tc>
          <w:tcPr>
            <w:tcW w:w="299" w:type="pct"/>
            <w:vMerge w:val="restart"/>
            <w:vAlign w:val="center"/>
          </w:tcPr>
          <w:p w14:paraId="3C0A1B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w:t>
            </w:r>
          </w:p>
          <w:p w14:paraId="6AC6BA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编号</w:t>
            </w:r>
          </w:p>
        </w:tc>
        <w:tc>
          <w:tcPr>
            <w:tcW w:w="331" w:type="pct"/>
            <w:vMerge w:val="restart"/>
            <w:vAlign w:val="center"/>
          </w:tcPr>
          <w:p w14:paraId="64EAFD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w:t>
            </w:r>
          </w:p>
        </w:tc>
        <w:tc>
          <w:tcPr>
            <w:tcW w:w="1223" w:type="pct"/>
            <w:gridSpan w:val="3"/>
            <w:vAlign w:val="center"/>
          </w:tcPr>
          <w:p w14:paraId="25FEB0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产生情况</w:t>
            </w:r>
          </w:p>
        </w:tc>
        <w:tc>
          <w:tcPr>
            <w:tcW w:w="243" w:type="pct"/>
            <w:vMerge w:val="restart"/>
            <w:vAlign w:val="center"/>
          </w:tcPr>
          <w:p w14:paraId="36BDC8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治理措施</w:t>
            </w:r>
          </w:p>
        </w:tc>
        <w:tc>
          <w:tcPr>
            <w:tcW w:w="1212" w:type="pct"/>
            <w:gridSpan w:val="3"/>
            <w:vAlign w:val="center"/>
          </w:tcPr>
          <w:p w14:paraId="29C834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w:t>
            </w:r>
          </w:p>
        </w:tc>
        <w:tc>
          <w:tcPr>
            <w:tcW w:w="513" w:type="pct"/>
            <w:gridSpan w:val="2"/>
            <w:vAlign w:val="center"/>
          </w:tcPr>
          <w:p w14:paraId="008ECC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w:t>
            </w:r>
          </w:p>
        </w:tc>
        <w:tc>
          <w:tcPr>
            <w:tcW w:w="786" w:type="pct"/>
            <w:gridSpan w:val="4"/>
            <w:vAlign w:val="center"/>
          </w:tcPr>
          <w:p w14:paraId="013D96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排放参数</w:t>
            </w:r>
          </w:p>
        </w:tc>
        <w:tc>
          <w:tcPr>
            <w:tcW w:w="150" w:type="pct"/>
            <w:vMerge w:val="restart"/>
            <w:vAlign w:val="center"/>
          </w:tcPr>
          <w:p w14:paraId="32B527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是否达标</w:t>
            </w:r>
          </w:p>
        </w:tc>
      </w:tr>
      <w:tr w14:paraId="49BCBE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40" w:type="pct"/>
            <w:vMerge w:val="continue"/>
            <w:vAlign w:val="center"/>
          </w:tcPr>
          <w:p w14:paraId="23C57D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99" w:type="pct"/>
            <w:vMerge w:val="continue"/>
            <w:vAlign w:val="center"/>
          </w:tcPr>
          <w:p w14:paraId="57F1E8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31" w:type="pct"/>
            <w:vMerge w:val="continue"/>
            <w:vAlign w:val="center"/>
          </w:tcPr>
          <w:p w14:paraId="6A7AE5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13" w:type="pct"/>
            <w:vAlign w:val="center"/>
          </w:tcPr>
          <w:p w14:paraId="07B896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产生量</w:t>
            </w:r>
          </w:p>
          <w:p w14:paraId="4F6AAC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t/a</w:t>
            </w:r>
          </w:p>
        </w:tc>
        <w:tc>
          <w:tcPr>
            <w:tcW w:w="402" w:type="pct"/>
            <w:vAlign w:val="center"/>
          </w:tcPr>
          <w:p w14:paraId="52B8CD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产生速率</w:t>
            </w:r>
          </w:p>
          <w:p w14:paraId="4A5E76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kg/h</w:t>
            </w:r>
          </w:p>
        </w:tc>
        <w:tc>
          <w:tcPr>
            <w:tcW w:w="407" w:type="pct"/>
            <w:vAlign w:val="center"/>
          </w:tcPr>
          <w:p w14:paraId="7BBECF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产生浓度</w:t>
            </w:r>
          </w:p>
          <w:p w14:paraId="24FCA9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p>
        </w:tc>
        <w:tc>
          <w:tcPr>
            <w:tcW w:w="243" w:type="pct"/>
            <w:vMerge w:val="continue"/>
            <w:vAlign w:val="center"/>
          </w:tcPr>
          <w:p w14:paraId="0BFA23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7" w:type="pct"/>
            <w:vAlign w:val="center"/>
          </w:tcPr>
          <w:p w14:paraId="1637D4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排放量</w:t>
            </w:r>
          </w:p>
          <w:p w14:paraId="76E6E4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t/a</w:t>
            </w:r>
          </w:p>
        </w:tc>
        <w:tc>
          <w:tcPr>
            <w:tcW w:w="402" w:type="pct"/>
            <w:vAlign w:val="center"/>
          </w:tcPr>
          <w:p w14:paraId="080A86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排放速率</w:t>
            </w:r>
          </w:p>
          <w:p w14:paraId="12D767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kg/h</w:t>
            </w:r>
          </w:p>
        </w:tc>
        <w:tc>
          <w:tcPr>
            <w:tcW w:w="402" w:type="pct"/>
            <w:vAlign w:val="center"/>
          </w:tcPr>
          <w:p w14:paraId="1D5B23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排放浓度</w:t>
            </w:r>
          </w:p>
          <w:p w14:paraId="6C9BEB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p>
        </w:tc>
        <w:tc>
          <w:tcPr>
            <w:tcW w:w="285" w:type="pct"/>
            <w:vAlign w:val="center"/>
          </w:tcPr>
          <w:p w14:paraId="4B19281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浓度</w:t>
            </w:r>
          </w:p>
          <w:p w14:paraId="34AA36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p>
        </w:tc>
        <w:tc>
          <w:tcPr>
            <w:tcW w:w="227" w:type="pct"/>
            <w:vAlign w:val="center"/>
          </w:tcPr>
          <w:p w14:paraId="00FAD3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速率</w:t>
            </w:r>
          </w:p>
          <w:p w14:paraId="318721E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kg/h</w:t>
            </w:r>
          </w:p>
        </w:tc>
        <w:tc>
          <w:tcPr>
            <w:tcW w:w="164" w:type="pct"/>
            <w:vAlign w:val="center"/>
          </w:tcPr>
          <w:p w14:paraId="282C8B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排放温度℃</w:t>
            </w:r>
          </w:p>
        </w:tc>
        <w:tc>
          <w:tcPr>
            <w:tcW w:w="174" w:type="pct"/>
            <w:vAlign w:val="center"/>
          </w:tcPr>
          <w:p w14:paraId="0FFDB2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排气筒高度</w:t>
            </w:r>
          </w:p>
          <w:p w14:paraId="4FE0AD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w:t>
            </w:r>
          </w:p>
        </w:tc>
        <w:tc>
          <w:tcPr>
            <w:tcW w:w="174" w:type="pct"/>
            <w:vAlign w:val="center"/>
          </w:tcPr>
          <w:p w14:paraId="79D97C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排气筒内径</w:t>
            </w:r>
          </w:p>
          <w:p w14:paraId="795DF2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w:t>
            </w:r>
          </w:p>
        </w:tc>
        <w:tc>
          <w:tcPr>
            <w:tcW w:w="272" w:type="pct"/>
            <w:vAlign w:val="center"/>
          </w:tcPr>
          <w:p w14:paraId="2436EE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烟气量m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/h</w:t>
            </w:r>
          </w:p>
        </w:tc>
        <w:tc>
          <w:tcPr>
            <w:tcW w:w="150" w:type="pct"/>
            <w:vMerge w:val="continue"/>
            <w:vAlign w:val="center"/>
          </w:tcPr>
          <w:p w14:paraId="6A57EA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1807B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restart"/>
            <w:vAlign w:val="center"/>
          </w:tcPr>
          <w:p w14:paraId="7AACDAF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生产车间产生的有组织废气</w:t>
            </w:r>
          </w:p>
        </w:tc>
        <w:tc>
          <w:tcPr>
            <w:tcW w:w="299" w:type="pct"/>
            <w:vMerge w:val="restart"/>
            <w:vAlign w:val="center"/>
          </w:tcPr>
          <w:p w14:paraId="669B936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DA001</w:t>
            </w:r>
          </w:p>
        </w:tc>
        <w:tc>
          <w:tcPr>
            <w:tcW w:w="331" w:type="pct"/>
            <w:vAlign w:val="center"/>
          </w:tcPr>
          <w:p w14:paraId="5EC5BCC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1170" w:type="dxa"/>
            <w:vAlign w:val="center"/>
          </w:tcPr>
          <w:p w14:paraId="3FB3A2E5">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0.1630521 </w:t>
            </w:r>
          </w:p>
        </w:tc>
        <w:tc>
          <w:tcPr>
            <w:tcW w:w="1140" w:type="dxa"/>
            <w:vAlign w:val="center"/>
          </w:tcPr>
          <w:p w14:paraId="7CAE8D79">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0.0226461 </w:t>
            </w:r>
          </w:p>
        </w:tc>
        <w:tc>
          <w:tcPr>
            <w:tcW w:w="1155" w:type="dxa"/>
            <w:vAlign w:val="center"/>
          </w:tcPr>
          <w:p w14:paraId="645A2929">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1.1323063 </w:t>
            </w:r>
          </w:p>
        </w:tc>
        <w:tc>
          <w:tcPr>
            <w:tcW w:w="243" w:type="pct"/>
            <w:vMerge w:val="restart"/>
            <w:vAlign w:val="center"/>
          </w:tcPr>
          <w:p w14:paraId="789D6B2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喷淋塔+过滤棉+二级活性炭</w:t>
            </w:r>
          </w:p>
        </w:tc>
        <w:tc>
          <w:tcPr>
            <w:tcW w:w="1155" w:type="dxa"/>
            <w:vAlign w:val="center"/>
          </w:tcPr>
          <w:p w14:paraId="7F76FFF2">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0.0652208 </w:t>
            </w:r>
          </w:p>
        </w:tc>
        <w:tc>
          <w:tcPr>
            <w:tcW w:w="1140" w:type="dxa"/>
            <w:vAlign w:val="center"/>
          </w:tcPr>
          <w:p w14:paraId="3D745BFC">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0.0090585 </w:t>
            </w:r>
          </w:p>
        </w:tc>
        <w:tc>
          <w:tcPr>
            <w:tcW w:w="1140" w:type="dxa"/>
            <w:vAlign w:val="center"/>
          </w:tcPr>
          <w:p w14:paraId="0BACB7BA">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0.4529225 </w:t>
            </w:r>
          </w:p>
        </w:tc>
        <w:tc>
          <w:tcPr>
            <w:tcW w:w="285" w:type="pct"/>
            <w:vAlign w:val="center"/>
          </w:tcPr>
          <w:p w14:paraId="75ED464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27" w:type="pct"/>
            <w:vAlign w:val="center"/>
          </w:tcPr>
          <w:p w14:paraId="5E63D80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4.9</w:t>
            </w:r>
          </w:p>
        </w:tc>
        <w:tc>
          <w:tcPr>
            <w:tcW w:w="164" w:type="pct"/>
            <w:vMerge w:val="restart"/>
            <w:vAlign w:val="center"/>
          </w:tcPr>
          <w:p w14:paraId="0BD1CC04">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常温</w:t>
            </w:r>
          </w:p>
        </w:tc>
        <w:tc>
          <w:tcPr>
            <w:tcW w:w="174" w:type="pct"/>
            <w:vMerge w:val="restart"/>
            <w:vAlign w:val="center"/>
          </w:tcPr>
          <w:p w14:paraId="65D82B37">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15</w:t>
            </w:r>
          </w:p>
        </w:tc>
        <w:tc>
          <w:tcPr>
            <w:tcW w:w="174" w:type="pct"/>
            <w:vMerge w:val="restart"/>
            <w:vAlign w:val="center"/>
          </w:tcPr>
          <w:p w14:paraId="11DDF0D2">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0.8</w:t>
            </w:r>
          </w:p>
        </w:tc>
        <w:tc>
          <w:tcPr>
            <w:tcW w:w="272" w:type="pct"/>
            <w:vMerge w:val="restart"/>
            <w:vAlign w:val="center"/>
          </w:tcPr>
          <w:p w14:paraId="69401ECB">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20000</w:t>
            </w:r>
          </w:p>
        </w:tc>
        <w:tc>
          <w:tcPr>
            <w:tcW w:w="150" w:type="pct"/>
            <w:vAlign w:val="center"/>
          </w:tcPr>
          <w:p w14:paraId="67AF08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0655E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continue"/>
            <w:vAlign w:val="center"/>
          </w:tcPr>
          <w:p w14:paraId="3A55B7CE">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99" w:type="pct"/>
            <w:vMerge w:val="continue"/>
            <w:vAlign w:val="center"/>
          </w:tcPr>
          <w:p w14:paraId="1698CD6B">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31" w:type="pct"/>
            <w:vAlign w:val="center"/>
          </w:tcPr>
          <w:p w14:paraId="6620D43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1170" w:type="dxa"/>
            <w:vAlign w:val="center"/>
          </w:tcPr>
          <w:p w14:paraId="434FCF2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0.0088146 </w:t>
            </w:r>
          </w:p>
        </w:tc>
        <w:tc>
          <w:tcPr>
            <w:tcW w:w="1140" w:type="dxa"/>
            <w:vAlign w:val="center"/>
          </w:tcPr>
          <w:p w14:paraId="536181B7">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0.0012243 </w:t>
            </w:r>
          </w:p>
        </w:tc>
        <w:tc>
          <w:tcPr>
            <w:tcW w:w="1155" w:type="dxa"/>
            <w:vAlign w:val="center"/>
          </w:tcPr>
          <w:p w14:paraId="17F8C499">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0.0612125 </w:t>
            </w:r>
          </w:p>
        </w:tc>
        <w:tc>
          <w:tcPr>
            <w:tcW w:w="243" w:type="pct"/>
            <w:vMerge w:val="continue"/>
            <w:vAlign w:val="center"/>
          </w:tcPr>
          <w:p w14:paraId="06B66AA3">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p>
        </w:tc>
        <w:tc>
          <w:tcPr>
            <w:tcW w:w="1155" w:type="dxa"/>
            <w:vAlign w:val="center"/>
          </w:tcPr>
          <w:p w14:paraId="5582D462">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0.0035258 </w:t>
            </w:r>
          </w:p>
        </w:tc>
        <w:tc>
          <w:tcPr>
            <w:tcW w:w="1140" w:type="dxa"/>
            <w:vAlign w:val="center"/>
          </w:tcPr>
          <w:p w14:paraId="6E43823F">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0.0004897 </w:t>
            </w:r>
          </w:p>
        </w:tc>
        <w:tc>
          <w:tcPr>
            <w:tcW w:w="1140" w:type="dxa"/>
            <w:vAlign w:val="center"/>
          </w:tcPr>
          <w:p w14:paraId="2621248F">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0.0244850 </w:t>
            </w:r>
          </w:p>
        </w:tc>
        <w:tc>
          <w:tcPr>
            <w:tcW w:w="285" w:type="pct"/>
            <w:vAlign w:val="center"/>
          </w:tcPr>
          <w:p w14:paraId="7B97C9FF">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27" w:type="pct"/>
            <w:vAlign w:val="center"/>
          </w:tcPr>
          <w:p w14:paraId="7C0BE3C5">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0.33</w:t>
            </w:r>
          </w:p>
        </w:tc>
        <w:tc>
          <w:tcPr>
            <w:tcW w:w="164" w:type="pct"/>
            <w:vMerge w:val="continue"/>
            <w:vAlign w:val="center"/>
          </w:tcPr>
          <w:p w14:paraId="2A006464">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 w:type="pct"/>
            <w:vMerge w:val="continue"/>
            <w:vAlign w:val="center"/>
          </w:tcPr>
          <w:p w14:paraId="7276DD47">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 w:type="pct"/>
            <w:vMerge w:val="continue"/>
            <w:vAlign w:val="center"/>
          </w:tcPr>
          <w:p w14:paraId="53565B46">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72" w:type="pct"/>
            <w:vMerge w:val="continue"/>
            <w:vAlign w:val="center"/>
          </w:tcPr>
          <w:p w14:paraId="63B348C3">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0" w:type="pct"/>
            <w:vAlign w:val="center"/>
          </w:tcPr>
          <w:p w14:paraId="3441D3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64F659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continue"/>
            <w:vAlign w:val="center"/>
          </w:tcPr>
          <w:p w14:paraId="12E421BF">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99" w:type="pct"/>
            <w:vMerge w:val="continue"/>
            <w:vAlign w:val="center"/>
          </w:tcPr>
          <w:p w14:paraId="0B469D97">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31" w:type="pct"/>
            <w:vAlign w:val="center"/>
          </w:tcPr>
          <w:p w14:paraId="06C161F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1170" w:type="dxa"/>
            <w:vAlign w:val="center"/>
          </w:tcPr>
          <w:p w14:paraId="03E7805F">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132 </w:t>
            </w:r>
          </w:p>
        </w:tc>
        <w:tc>
          <w:tcPr>
            <w:tcW w:w="1140" w:type="dxa"/>
            <w:vAlign w:val="center"/>
          </w:tcPr>
          <w:p w14:paraId="4502E814">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155" w:type="dxa"/>
            <w:vAlign w:val="center"/>
          </w:tcPr>
          <w:p w14:paraId="1B9F4551">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43" w:type="pct"/>
            <w:vMerge w:val="continue"/>
            <w:vAlign w:val="center"/>
          </w:tcPr>
          <w:p w14:paraId="6A456097">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p>
        </w:tc>
        <w:tc>
          <w:tcPr>
            <w:tcW w:w="1155" w:type="dxa"/>
            <w:vAlign w:val="center"/>
          </w:tcPr>
          <w:p w14:paraId="1DDFD34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53 </w:t>
            </w:r>
          </w:p>
        </w:tc>
        <w:tc>
          <w:tcPr>
            <w:tcW w:w="1140" w:type="dxa"/>
            <w:vAlign w:val="center"/>
          </w:tcPr>
          <w:p w14:paraId="14344514">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140" w:type="dxa"/>
            <w:vAlign w:val="center"/>
          </w:tcPr>
          <w:p w14:paraId="66ACF612">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vAlign w:val="center"/>
          </w:tcPr>
          <w:p w14:paraId="2096C5C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227" w:type="pct"/>
            <w:vAlign w:val="center"/>
          </w:tcPr>
          <w:p w14:paraId="6A21E040">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2000</w:t>
            </w:r>
          </w:p>
        </w:tc>
        <w:tc>
          <w:tcPr>
            <w:tcW w:w="164" w:type="pct"/>
            <w:vMerge w:val="continue"/>
            <w:vAlign w:val="center"/>
          </w:tcPr>
          <w:p w14:paraId="41446358">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 w:type="pct"/>
            <w:vMerge w:val="continue"/>
            <w:vAlign w:val="center"/>
          </w:tcPr>
          <w:p w14:paraId="7484B4A4">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 w:type="pct"/>
            <w:vMerge w:val="continue"/>
            <w:vAlign w:val="center"/>
          </w:tcPr>
          <w:p w14:paraId="6445485A">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72" w:type="pct"/>
            <w:vMerge w:val="continue"/>
            <w:vAlign w:val="center"/>
          </w:tcPr>
          <w:p w14:paraId="5AA6BE04">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0" w:type="pct"/>
            <w:vAlign w:val="center"/>
          </w:tcPr>
          <w:p w14:paraId="1447D9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082CC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continue"/>
            <w:vAlign w:val="center"/>
          </w:tcPr>
          <w:p w14:paraId="2B1A6813">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99" w:type="pct"/>
            <w:vMerge w:val="continue"/>
            <w:vAlign w:val="center"/>
          </w:tcPr>
          <w:p w14:paraId="7E1581EF">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31" w:type="pct"/>
            <w:vAlign w:val="center"/>
          </w:tcPr>
          <w:p w14:paraId="58AE078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1170" w:type="dxa"/>
            <w:vAlign w:val="center"/>
          </w:tcPr>
          <w:p w14:paraId="584893F2">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1.1883789 </w:t>
            </w:r>
          </w:p>
        </w:tc>
        <w:tc>
          <w:tcPr>
            <w:tcW w:w="1140" w:type="dxa"/>
            <w:vAlign w:val="center"/>
          </w:tcPr>
          <w:p w14:paraId="642A06BB">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0.1650526 </w:t>
            </w:r>
          </w:p>
        </w:tc>
        <w:tc>
          <w:tcPr>
            <w:tcW w:w="1155" w:type="dxa"/>
            <w:vAlign w:val="center"/>
          </w:tcPr>
          <w:p w14:paraId="59C3CF79">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8.2526313 </w:t>
            </w:r>
          </w:p>
        </w:tc>
        <w:tc>
          <w:tcPr>
            <w:tcW w:w="243" w:type="pct"/>
            <w:vMerge w:val="continue"/>
            <w:vAlign w:val="center"/>
          </w:tcPr>
          <w:p w14:paraId="0CA1BEF0">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p>
        </w:tc>
        <w:tc>
          <w:tcPr>
            <w:tcW w:w="1155" w:type="dxa"/>
            <w:vAlign w:val="center"/>
          </w:tcPr>
          <w:p w14:paraId="49BDB241">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0.4753516 </w:t>
            </w:r>
          </w:p>
        </w:tc>
        <w:tc>
          <w:tcPr>
            <w:tcW w:w="1140" w:type="dxa"/>
            <w:vAlign w:val="center"/>
          </w:tcPr>
          <w:p w14:paraId="7F216BA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0.0660211 </w:t>
            </w:r>
          </w:p>
        </w:tc>
        <w:tc>
          <w:tcPr>
            <w:tcW w:w="1140" w:type="dxa"/>
            <w:vAlign w:val="center"/>
          </w:tcPr>
          <w:p w14:paraId="3177A571">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3.3010525 </w:t>
            </w:r>
          </w:p>
        </w:tc>
        <w:tc>
          <w:tcPr>
            <w:tcW w:w="285" w:type="pct"/>
            <w:vAlign w:val="center"/>
          </w:tcPr>
          <w:p w14:paraId="4158C6D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120</w:t>
            </w:r>
          </w:p>
        </w:tc>
        <w:tc>
          <w:tcPr>
            <w:tcW w:w="227" w:type="pct"/>
            <w:vAlign w:val="center"/>
          </w:tcPr>
          <w:p w14:paraId="1A18103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10</w:t>
            </w:r>
          </w:p>
        </w:tc>
        <w:tc>
          <w:tcPr>
            <w:tcW w:w="164" w:type="pct"/>
            <w:vMerge w:val="continue"/>
            <w:vAlign w:val="center"/>
          </w:tcPr>
          <w:p w14:paraId="6E8410F6">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 w:type="pct"/>
            <w:vMerge w:val="continue"/>
            <w:vAlign w:val="center"/>
          </w:tcPr>
          <w:p w14:paraId="7E0FA6DA">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74" w:type="pct"/>
            <w:vMerge w:val="continue"/>
            <w:vAlign w:val="center"/>
          </w:tcPr>
          <w:p w14:paraId="5FB11E36">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72" w:type="pct"/>
            <w:vMerge w:val="continue"/>
            <w:vAlign w:val="center"/>
          </w:tcPr>
          <w:p w14:paraId="5A593790">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0" w:type="pct"/>
            <w:vAlign w:val="center"/>
          </w:tcPr>
          <w:p w14:paraId="0A9D2E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009E01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restart"/>
            <w:vAlign w:val="center"/>
          </w:tcPr>
          <w:p w14:paraId="5CD944E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生产车间产生的无组织废气</w:t>
            </w:r>
          </w:p>
        </w:tc>
        <w:tc>
          <w:tcPr>
            <w:tcW w:w="299" w:type="pct"/>
            <w:vMerge w:val="restart"/>
            <w:vAlign w:val="center"/>
          </w:tcPr>
          <w:p w14:paraId="624F815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331" w:type="pct"/>
            <w:vAlign w:val="center"/>
          </w:tcPr>
          <w:p w14:paraId="50236E9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1170" w:type="dxa"/>
            <w:vAlign w:val="center"/>
          </w:tcPr>
          <w:p w14:paraId="66CB998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0.0184121 </w:t>
            </w:r>
          </w:p>
        </w:tc>
        <w:tc>
          <w:tcPr>
            <w:tcW w:w="1140" w:type="dxa"/>
            <w:vAlign w:val="center"/>
          </w:tcPr>
          <w:p w14:paraId="0EF55E02">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0.0025572 </w:t>
            </w:r>
          </w:p>
        </w:tc>
        <w:tc>
          <w:tcPr>
            <w:tcW w:w="1155" w:type="dxa"/>
            <w:vAlign w:val="center"/>
          </w:tcPr>
          <w:p w14:paraId="30038614">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43" w:type="pct"/>
            <w:vMerge w:val="restart"/>
            <w:vAlign w:val="center"/>
          </w:tcPr>
          <w:p w14:paraId="399F106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密闭车间阻隔</w:t>
            </w:r>
          </w:p>
        </w:tc>
        <w:tc>
          <w:tcPr>
            <w:tcW w:w="1155" w:type="dxa"/>
            <w:vAlign w:val="center"/>
          </w:tcPr>
          <w:p w14:paraId="5B91D57F">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0.0036824 </w:t>
            </w:r>
          </w:p>
        </w:tc>
        <w:tc>
          <w:tcPr>
            <w:tcW w:w="1140" w:type="dxa"/>
            <w:vAlign w:val="center"/>
          </w:tcPr>
          <w:p w14:paraId="51972652">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0.0005114 </w:t>
            </w:r>
          </w:p>
        </w:tc>
        <w:tc>
          <w:tcPr>
            <w:tcW w:w="1140" w:type="dxa"/>
            <w:vAlign w:val="center"/>
          </w:tcPr>
          <w:p w14:paraId="4F902673">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vAlign w:val="center"/>
          </w:tcPr>
          <w:p w14:paraId="2A42F43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1.5</w:t>
            </w:r>
          </w:p>
        </w:tc>
        <w:tc>
          <w:tcPr>
            <w:tcW w:w="227" w:type="pct"/>
            <w:vAlign w:val="center"/>
          </w:tcPr>
          <w:p w14:paraId="5C365128">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64" w:type="pct"/>
            <w:vAlign w:val="center"/>
          </w:tcPr>
          <w:p w14:paraId="445AC85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0B3EB4C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7275E35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72" w:type="pct"/>
            <w:vAlign w:val="center"/>
          </w:tcPr>
          <w:p w14:paraId="5CC3C057">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50" w:type="pct"/>
            <w:vAlign w:val="center"/>
          </w:tcPr>
          <w:p w14:paraId="485AB6F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r>
      <w:tr w14:paraId="3A5F36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continue"/>
            <w:vAlign w:val="center"/>
          </w:tcPr>
          <w:p w14:paraId="1F54AB6A">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99" w:type="pct"/>
            <w:vMerge w:val="continue"/>
            <w:vAlign w:val="center"/>
          </w:tcPr>
          <w:p w14:paraId="3F31D95A">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31" w:type="pct"/>
            <w:vAlign w:val="center"/>
          </w:tcPr>
          <w:p w14:paraId="712A3EA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1170" w:type="dxa"/>
            <w:vAlign w:val="center"/>
          </w:tcPr>
          <w:p w14:paraId="50E0687D">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0.0010658 </w:t>
            </w:r>
          </w:p>
        </w:tc>
        <w:tc>
          <w:tcPr>
            <w:tcW w:w="1140" w:type="dxa"/>
            <w:vAlign w:val="center"/>
          </w:tcPr>
          <w:p w14:paraId="623C7EC0">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0.0001480 </w:t>
            </w:r>
          </w:p>
        </w:tc>
        <w:tc>
          <w:tcPr>
            <w:tcW w:w="1155" w:type="dxa"/>
            <w:vAlign w:val="center"/>
          </w:tcPr>
          <w:p w14:paraId="3472613A">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43" w:type="pct"/>
            <w:vMerge w:val="continue"/>
            <w:vAlign w:val="center"/>
          </w:tcPr>
          <w:p w14:paraId="7FB11C9B">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p>
        </w:tc>
        <w:tc>
          <w:tcPr>
            <w:tcW w:w="1155" w:type="dxa"/>
            <w:vAlign w:val="center"/>
          </w:tcPr>
          <w:p w14:paraId="0391837F">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0.0002132 </w:t>
            </w:r>
          </w:p>
        </w:tc>
        <w:tc>
          <w:tcPr>
            <w:tcW w:w="1140" w:type="dxa"/>
            <w:vAlign w:val="center"/>
          </w:tcPr>
          <w:p w14:paraId="7B4C6CD7">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0.0000296 </w:t>
            </w:r>
          </w:p>
        </w:tc>
        <w:tc>
          <w:tcPr>
            <w:tcW w:w="1140" w:type="dxa"/>
            <w:vAlign w:val="center"/>
          </w:tcPr>
          <w:p w14:paraId="5C618AAC">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vAlign w:val="center"/>
          </w:tcPr>
          <w:p w14:paraId="3EA79BB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0.06</w:t>
            </w:r>
          </w:p>
        </w:tc>
        <w:tc>
          <w:tcPr>
            <w:tcW w:w="227" w:type="pct"/>
            <w:vAlign w:val="center"/>
          </w:tcPr>
          <w:p w14:paraId="7D152B1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64" w:type="pct"/>
            <w:vAlign w:val="center"/>
          </w:tcPr>
          <w:p w14:paraId="4806F7F5">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1DB8C93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178A3CC0">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72" w:type="pct"/>
            <w:vAlign w:val="center"/>
          </w:tcPr>
          <w:p w14:paraId="0EC7B118">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50" w:type="pct"/>
            <w:vAlign w:val="center"/>
          </w:tcPr>
          <w:p w14:paraId="766A03B9">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r>
      <w:tr w14:paraId="142FBE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continue"/>
            <w:vAlign w:val="center"/>
          </w:tcPr>
          <w:p w14:paraId="0B3E42F1">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99" w:type="pct"/>
            <w:vMerge w:val="continue"/>
            <w:vAlign w:val="center"/>
          </w:tcPr>
          <w:p w14:paraId="64F3D200">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31" w:type="pct"/>
            <w:vAlign w:val="center"/>
          </w:tcPr>
          <w:p w14:paraId="6E59187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1170" w:type="dxa"/>
            <w:vAlign w:val="center"/>
          </w:tcPr>
          <w:p w14:paraId="25A0562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15 </w:t>
            </w:r>
          </w:p>
        </w:tc>
        <w:tc>
          <w:tcPr>
            <w:tcW w:w="1140" w:type="dxa"/>
            <w:vAlign w:val="center"/>
          </w:tcPr>
          <w:p w14:paraId="35ED8FF3">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155" w:type="dxa"/>
            <w:vAlign w:val="center"/>
          </w:tcPr>
          <w:p w14:paraId="0DA4A1C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43" w:type="pct"/>
            <w:vMerge w:val="continue"/>
            <w:vAlign w:val="center"/>
          </w:tcPr>
          <w:p w14:paraId="639D0719">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p>
        </w:tc>
        <w:tc>
          <w:tcPr>
            <w:tcW w:w="1155" w:type="dxa"/>
            <w:vAlign w:val="center"/>
          </w:tcPr>
          <w:p w14:paraId="021DBB1B">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3 </w:t>
            </w:r>
          </w:p>
        </w:tc>
        <w:tc>
          <w:tcPr>
            <w:tcW w:w="1140" w:type="dxa"/>
            <w:vAlign w:val="center"/>
          </w:tcPr>
          <w:p w14:paraId="08BBF153">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140" w:type="dxa"/>
            <w:vAlign w:val="center"/>
          </w:tcPr>
          <w:p w14:paraId="3C4063CA">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vAlign w:val="center"/>
          </w:tcPr>
          <w:p w14:paraId="36A0CCAF">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w:t>
            </w:r>
          </w:p>
        </w:tc>
        <w:tc>
          <w:tcPr>
            <w:tcW w:w="227" w:type="pct"/>
            <w:vAlign w:val="center"/>
          </w:tcPr>
          <w:p w14:paraId="72484A2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64" w:type="pct"/>
            <w:vAlign w:val="center"/>
          </w:tcPr>
          <w:p w14:paraId="5D9565B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7B79659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717A70C0">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72" w:type="pct"/>
            <w:vAlign w:val="center"/>
          </w:tcPr>
          <w:p w14:paraId="02C49BE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50" w:type="pct"/>
            <w:vAlign w:val="center"/>
          </w:tcPr>
          <w:p w14:paraId="469B1C5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r>
      <w:tr w14:paraId="5E11F9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continue"/>
            <w:vAlign w:val="center"/>
          </w:tcPr>
          <w:p w14:paraId="1F7001E9">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99" w:type="pct"/>
            <w:vMerge w:val="continue"/>
            <w:vAlign w:val="center"/>
          </w:tcPr>
          <w:p w14:paraId="57A55652">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31" w:type="pct"/>
            <w:vAlign w:val="center"/>
          </w:tcPr>
          <w:p w14:paraId="46E8E0C9">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1170" w:type="dxa"/>
            <w:vAlign w:val="center"/>
          </w:tcPr>
          <w:p w14:paraId="5BAB9D20">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0.1320421 </w:t>
            </w:r>
          </w:p>
        </w:tc>
        <w:tc>
          <w:tcPr>
            <w:tcW w:w="1140" w:type="dxa"/>
            <w:vAlign w:val="center"/>
          </w:tcPr>
          <w:p w14:paraId="781AF694">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0.0183392 </w:t>
            </w:r>
          </w:p>
        </w:tc>
        <w:tc>
          <w:tcPr>
            <w:tcW w:w="1155" w:type="dxa"/>
            <w:vAlign w:val="center"/>
          </w:tcPr>
          <w:p w14:paraId="74FE0AF1">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43" w:type="pct"/>
            <w:vMerge w:val="continue"/>
            <w:vAlign w:val="center"/>
          </w:tcPr>
          <w:p w14:paraId="20E13BAB">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p>
        </w:tc>
        <w:tc>
          <w:tcPr>
            <w:tcW w:w="1155" w:type="dxa"/>
            <w:vAlign w:val="center"/>
          </w:tcPr>
          <w:p w14:paraId="354F2F91">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0.0264084 </w:t>
            </w:r>
          </w:p>
        </w:tc>
        <w:tc>
          <w:tcPr>
            <w:tcW w:w="1140" w:type="dxa"/>
            <w:vAlign w:val="center"/>
          </w:tcPr>
          <w:p w14:paraId="3F4069B6">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0.0036678 </w:t>
            </w:r>
          </w:p>
        </w:tc>
        <w:tc>
          <w:tcPr>
            <w:tcW w:w="1140" w:type="dxa"/>
            <w:vAlign w:val="center"/>
          </w:tcPr>
          <w:p w14:paraId="7F0B8A63">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vAlign w:val="center"/>
          </w:tcPr>
          <w:p w14:paraId="20828B7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4.0</w:t>
            </w:r>
          </w:p>
        </w:tc>
        <w:tc>
          <w:tcPr>
            <w:tcW w:w="227" w:type="pct"/>
            <w:vAlign w:val="center"/>
          </w:tcPr>
          <w:p w14:paraId="38879828">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64" w:type="pct"/>
            <w:vAlign w:val="center"/>
          </w:tcPr>
          <w:p w14:paraId="21A6E17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4C7FC31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16233CD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72" w:type="pct"/>
            <w:vAlign w:val="center"/>
          </w:tcPr>
          <w:p w14:paraId="304106A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50" w:type="pct"/>
            <w:vAlign w:val="center"/>
          </w:tcPr>
          <w:p w14:paraId="3289C9F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r>
      <w:tr w14:paraId="5E997E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8" w:hRule="atLeast"/>
          <w:jc w:val="center"/>
        </w:trPr>
        <w:tc>
          <w:tcPr>
            <w:tcW w:w="240" w:type="pct"/>
            <w:vMerge w:val="restart"/>
            <w:vAlign w:val="center"/>
          </w:tcPr>
          <w:p w14:paraId="34FF9CC9">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污水处理设施产生的无组织废气</w:t>
            </w:r>
          </w:p>
        </w:tc>
        <w:tc>
          <w:tcPr>
            <w:tcW w:w="299" w:type="pct"/>
            <w:vMerge w:val="restart"/>
            <w:vAlign w:val="center"/>
          </w:tcPr>
          <w:p w14:paraId="6EE4E955">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331" w:type="pct"/>
            <w:vAlign w:val="center"/>
          </w:tcPr>
          <w:p w14:paraId="74AD311A">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1170" w:type="dxa"/>
            <w:vAlign w:val="center"/>
          </w:tcPr>
          <w:p w14:paraId="50AFAA39">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0.0017345 </w:t>
            </w:r>
          </w:p>
        </w:tc>
        <w:tc>
          <w:tcPr>
            <w:tcW w:w="1140" w:type="dxa"/>
            <w:vAlign w:val="center"/>
          </w:tcPr>
          <w:p w14:paraId="700AC831">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0.0002409 </w:t>
            </w:r>
          </w:p>
        </w:tc>
        <w:tc>
          <w:tcPr>
            <w:tcW w:w="1155" w:type="dxa"/>
            <w:vAlign w:val="center"/>
          </w:tcPr>
          <w:p w14:paraId="2A1D22A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43" w:type="pct"/>
            <w:vMerge w:val="restart"/>
            <w:vAlign w:val="center"/>
          </w:tcPr>
          <w:p w14:paraId="679C1346">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加盖密闭</w:t>
            </w:r>
          </w:p>
        </w:tc>
        <w:tc>
          <w:tcPr>
            <w:tcW w:w="1155" w:type="dxa"/>
            <w:vAlign w:val="center"/>
          </w:tcPr>
          <w:p w14:paraId="46A920BD">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0.0003469 </w:t>
            </w:r>
          </w:p>
        </w:tc>
        <w:tc>
          <w:tcPr>
            <w:tcW w:w="1140" w:type="dxa"/>
            <w:vAlign w:val="center"/>
          </w:tcPr>
          <w:p w14:paraId="387C68D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0.0000482 </w:t>
            </w:r>
          </w:p>
        </w:tc>
        <w:tc>
          <w:tcPr>
            <w:tcW w:w="1140" w:type="dxa"/>
            <w:vAlign w:val="center"/>
          </w:tcPr>
          <w:p w14:paraId="583D8744">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vAlign w:val="center"/>
          </w:tcPr>
          <w:p w14:paraId="345AEB47">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1.5</w:t>
            </w:r>
          </w:p>
        </w:tc>
        <w:tc>
          <w:tcPr>
            <w:tcW w:w="227" w:type="pct"/>
            <w:vAlign w:val="center"/>
          </w:tcPr>
          <w:p w14:paraId="584438C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64" w:type="pct"/>
            <w:vAlign w:val="center"/>
          </w:tcPr>
          <w:p w14:paraId="2DE9E4B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124A114F">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659C0EA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72" w:type="pct"/>
            <w:vAlign w:val="center"/>
          </w:tcPr>
          <w:p w14:paraId="29B63B58">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50" w:type="pct"/>
            <w:vAlign w:val="center"/>
          </w:tcPr>
          <w:p w14:paraId="7BB1410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r>
      <w:tr w14:paraId="0143B2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 w:type="pct"/>
            <w:vMerge w:val="continue"/>
            <w:vAlign w:val="center"/>
          </w:tcPr>
          <w:p w14:paraId="11E8A4D9">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299" w:type="pct"/>
            <w:vMerge w:val="continue"/>
            <w:vAlign w:val="center"/>
          </w:tcPr>
          <w:p w14:paraId="7D045A18">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31" w:type="pct"/>
            <w:vAlign w:val="center"/>
          </w:tcPr>
          <w:p w14:paraId="7B384DC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1170" w:type="dxa"/>
            <w:vAlign w:val="center"/>
          </w:tcPr>
          <w:p w14:paraId="738BB0A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0.0000671 </w:t>
            </w:r>
          </w:p>
        </w:tc>
        <w:tc>
          <w:tcPr>
            <w:tcW w:w="1140" w:type="dxa"/>
            <w:vAlign w:val="center"/>
          </w:tcPr>
          <w:p w14:paraId="36556C2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0.0000093 </w:t>
            </w:r>
          </w:p>
        </w:tc>
        <w:tc>
          <w:tcPr>
            <w:tcW w:w="1155" w:type="dxa"/>
            <w:vAlign w:val="center"/>
          </w:tcPr>
          <w:p w14:paraId="6F19DCC3">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43" w:type="pct"/>
            <w:vMerge w:val="continue"/>
            <w:vAlign w:val="center"/>
          </w:tcPr>
          <w:p w14:paraId="4790571C">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p>
        </w:tc>
        <w:tc>
          <w:tcPr>
            <w:tcW w:w="1155" w:type="dxa"/>
            <w:vAlign w:val="center"/>
          </w:tcPr>
          <w:p w14:paraId="3F48DB2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0.0000134 </w:t>
            </w:r>
          </w:p>
        </w:tc>
        <w:tc>
          <w:tcPr>
            <w:tcW w:w="1140" w:type="dxa"/>
            <w:vAlign w:val="center"/>
          </w:tcPr>
          <w:p w14:paraId="10008054">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0.0000019 </w:t>
            </w:r>
          </w:p>
        </w:tc>
        <w:tc>
          <w:tcPr>
            <w:tcW w:w="1140" w:type="dxa"/>
            <w:vAlign w:val="center"/>
          </w:tcPr>
          <w:p w14:paraId="4C38D3E6">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vAlign w:val="center"/>
          </w:tcPr>
          <w:p w14:paraId="2958DC95">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0.06</w:t>
            </w:r>
          </w:p>
        </w:tc>
        <w:tc>
          <w:tcPr>
            <w:tcW w:w="227" w:type="pct"/>
            <w:vAlign w:val="center"/>
          </w:tcPr>
          <w:p w14:paraId="60A8C1F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64" w:type="pct"/>
            <w:vAlign w:val="center"/>
          </w:tcPr>
          <w:p w14:paraId="23E4B9D5">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00B5E6C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74" w:type="pct"/>
            <w:vAlign w:val="center"/>
          </w:tcPr>
          <w:p w14:paraId="7688975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72" w:type="pct"/>
            <w:vAlign w:val="center"/>
          </w:tcPr>
          <w:p w14:paraId="3456CF8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50" w:type="pct"/>
            <w:vAlign w:val="center"/>
          </w:tcPr>
          <w:p w14:paraId="3BD0C90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r>
    </w:tbl>
    <w:p w14:paraId="37D58BFA">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3452D85E">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非正常工况下废气排放源强分析</w:t>
      </w:r>
    </w:p>
    <w:p w14:paraId="69435B2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项目在非正常工况下，主要考虑废气处理效率下降，即处理效率为50%情况时，主要工艺废气排气筒各污染物未经有效处理而外排，非正常情况主要工艺废气排放源强见下表所示。</w:t>
      </w:r>
    </w:p>
    <w:p w14:paraId="580D9CB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非正常工况下全厂废气排放情况汇总表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87"/>
        <w:gridCol w:w="1438"/>
        <w:gridCol w:w="1415"/>
        <w:gridCol w:w="1719"/>
        <w:gridCol w:w="1849"/>
        <w:gridCol w:w="1427"/>
        <w:gridCol w:w="1415"/>
        <w:gridCol w:w="1744"/>
        <w:gridCol w:w="1880"/>
      </w:tblGrid>
      <w:tr w14:paraId="735A8C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454" w:type="pct"/>
            <w:vMerge w:val="restart"/>
            <w:vAlign w:val="center"/>
          </w:tcPr>
          <w:p w14:paraId="1D4140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w:t>
            </w:r>
          </w:p>
          <w:p w14:paraId="6B4958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编号</w:t>
            </w:r>
          </w:p>
        </w:tc>
        <w:tc>
          <w:tcPr>
            <w:tcW w:w="507" w:type="pct"/>
            <w:vMerge w:val="restart"/>
            <w:vAlign w:val="center"/>
          </w:tcPr>
          <w:p w14:paraId="77E323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w:t>
            </w:r>
          </w:p>
        </w:tc>
        <w:tc>
          <w:tcPr>
            <w:tcW w:w="1757" w:type="pct"/>
            <w:gridSpan w:val="3"/>
            <w:vAlign w:val="center"/>
          </w:tcPr>
          <w:p w14:paraId="5FC855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产生情况</w:t>
            </w:r>
          </w:p>
        </w:tc>
        <w:tc>
          <w:tcPr>
            <w:tcW w:w="503" w:type="pct"/>
            <w:vMerge w:val="restart"/>
            <w:vAlign w:val="center"/>
          </w:tcPr>
          <w:p w14:paraId="237A65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治理措施</w:t>
            </w:r>
          </w:p>
        </w:tc>
        <w:tc>
          <w:tcPr>
            <w:tcW w:w="1777" w:type="pct"/>
            <w:gridSpan w:val="3"/>
            <w:vAlign w:val="center"/>
          </w:tcPr>
          <w:p w14:paraId="299926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w:t>
            </w:r>
          </w:p>
        </w:tc>
      </w:tr>
      <w:tr w14:paraId="7A6F81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454" w:type="pct"/>
            <w:vMerge w:val="continue"/>
            <w:vAlign w:val="center"/>
          </w:tcPr>
          <w:p w14:paraId="73E00E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07" w:type="pct"/>
            <w:vMerge w:val="continue"/>
            <w:vAlign w:val="center"/>
          </w:tcPr>
          <w:p w14:paraId="758A7B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99" w:type="pct"/>
            <w:vAlign w:val="center"/>
          </w:tcPr>
          <w:p w14:paraId="5CC103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产生量</w:t>
            </w:r>
          </w:p>
          <w:p w14:paraId="73B5B4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t/a</w:t>
            </w:r>
          </w:p>
        </w:tc>
        <w:tc>
          <w:tcPr>
            <w:tcW w:w="606" w:type="pct"/>
            <w:vAlign w:val="center"/>
          </w:tcPr>
          <w:p w14:paraId="7B667D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产生速率</w:t>
            </w:r>
          </w:p>
          <w:p w14:paraId="1CEC7A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kg/h</w:t>
            </w:r>
          </w:p>
        </w:tc>
        <w:tc>
          <w:tcPr>
            <w:tcW w:w="652" w:type="pct"/>
            <w:vAlign w:val="center"/>
          </w:tcPr>
          <w:p w14:paraId="574A2E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产生浓度</w:t>
            </w:r>
          </w:p>
          <w:p w14:paraId="372D8D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p>
        </w:tc>
        <w:tc>
          <w:tcPr>
            <w:tcW w:w="503" w:type="pct"/>
            <w:vMerge w:val="continue"/>
            <w:vAlign w:val="center"/>
          </w:tcPr>
          <w:p w14:paraId="698E2C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99" w:type="pct"/>
            <w:vAlign w:val="center"/>
          </w:tcPr>
          <w:p w14:paraId="0E5A71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排放量</w:t>
            </w:r>
          </w:p>
          <w:p w14:paraId="3ED21B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t/a</w:t>
            </w:r>
          </w:p>
        </w:tc>
        <w:tc>
          <w:tcPr>
            <w:tcW w:w="615" w:type="pct"/>
            <w:vAlign w:val="center"/>
          </w:tcPr>
          <w:p w14:paraId="1D8C8D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排放速率</w:t>
            </w:r>
          </w:p>
          <w:p w14:paraId="1D82F9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kg/h</w:t>
            </w:r>
          </w:p>
        </w:tc>
        <w:tc>
          <w:tcPr>
            <w:tcW w:w="663" w:type="pct"/>
            <w:vAlign w:val="center"/>
          </w:tcPr>
          <w:p w14:paraId="1C2546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排放浓度</w:t>
            </w:r>
          </w:p>
          <w:p w14:paraId="44AB4B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p>
        </w:tc>
      </w:tr>
      <w:tr w14:paraId="399B5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4" w:type="pct"/>
            <w:vMerge w:val="restart"/>
            <w:vAlign w:val="center"/>
          </w:tcPr>
          <w:p w14:paraId="22B572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DA001</w:t>
            </w:r>
          </w:p>
        </w:tc>
        <w:tc>
          <w:tcPr>
            <w:tcW w:w="507" w:type="pct"/>
            <w:vAlign w:val="center"/>
          </w:tcPr>
          <w:p w14:paraId="2603434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1415" w:type="dxa"/>
            <w:shd w:val="clear" w:color="auto" w:fill="auto"/>
            <w:vAlign w:val="center"/>
          </w:tcPr>
          <w:p w14:paraId="6639A65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0.1801107</w:t>
            </w:r>
          </w:p>
        </w:tc>
        <w:tc>
          <w:tcPr>
            <w:tcW w:w="1719" w:type="dxa"/>
            <w:shd w:val="clear" w:color="auto" w:fill="auto"/>
            <w:vAlign w:val="center"/>
          </w:tcPr>
          <w:p w14:paraId="4CAFD28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0.0250154</w:t>
            </w:r>
          </w:p>
        </w:tc>
        <w:tc>
          <w:tcPr>
            <w:tcW w:w="1849" w:type="dxa"/>
            <w:shd w:val="clear" w:color="auto" w:fill="auto"/>
            <w:vAlign w:val="center"/>
          </w:tcPr>
          <w:p w14:paraId="102CDE0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1.2507688</w:t>
            </w:r>
          </w:p>
        </w:tc>
        <w:tc>
          <w:tcPr>
            <w:tcW w:w="503" w:type="pct"/>
            <w:vMerge w:val="restart"/>
            <w:vAlign w:val="center"/>
          </w:tcPr>
          <w:p w14:paraId="244EDA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Style w:val="14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喷淋塔</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4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过滤棉</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4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二级活性炭</w:t>
            </w:r>
          </w:p>
        </w:tc>
        <w:tc>
          <w:tcPr>
            <w:tcW w:w="1415" w:type="dxa"/>
            <w:vAlign w:val="center"/>
          </w:tcPr>
          <w:p w14:paraId="0019D6C7">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0.1141365 </w:t>
            </w:r>
          </w:p>
        </w:tc>
        <w:tc>
          <w:tcPr>
            <w:tcW w:w="1744" w:type="dxa"/>
            <w:vAlign w:val="center"/>
          </w:tcPr>
          <w:p w14:paraId="7A514E1B">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0.0158523 </w:t>
            </w:r>
          </w:p>
        </w:tc>
        <w:tc>
          <w:tcPr>
            <w:tcW w:w="1880" w:type="dxa"/>
            <w:vAlign w:val="center"/>
          </w:tcPr>
          <w:p w14:paraId="1C2E5C65">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0.7926144 </w:t>
            </w:r>
          </w:p>
        </w:tc>
      </w:tr>
      <w:tr w14:paraId="5737EF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4" w:type="pct"/>
            <w:vMerge w:val="continue"/>
            <w:vAlign w:val="center"/>
          </w:tcPr>
          <w:p w14:paraId="17489A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07" w:type="pct"/>
            <w:vAlign w:val="center"/>
          </w:tcPr>
          <w:p w14:paraId="57611A55">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1415" w:type="dxa"/>
            <w:shd w:val="clear" w:color="auto" w:fill="auto"/>
            <w:vAlign w:val="center"/>
          </w:tcPr>
          <w:p w14:paraId="433C14C8">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0.0094545</w:t>
            </w:r>
          </w:p>
        </w:tc>
        <w:tc>
          <w:tcPr>
            <w:tcW w:w="1719" w:type="dxa"/>
            <w:shd w:val="clear" w:color="auto" w:fill="auto"/>
            <w:vAlign w:val="center"/>
          </w:tcPr>
          <w:p w14:paraId="72F617B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0.0013131</w:t>
            </w:r>
          </w:p>
        </w:tc>
        <w:tc>
          <w:tcPr>
            <w:tcW w:w="1849" w:type="dxa"/>
            <w:shd w:val="clear" w:color="auto" w:fill="auto"/>
            <w:vAlign w:val="center"/>
          </w:tcPr>
          <w:p w14:paraId="65F7D5B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0.0656563</w:t>
            </w:r>
          </w:p>
        </w:tc>
        <w:tc>
          <w:tcPr>
            <w:tcW w:w="503" w:type="pct"/>
            <w:vMerge w:val="continue"/>
            <w:vAlign w:val="center"/>
          </w:tcPr>
          <w:p w14:paraId="6FCF97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15" w:type="dxa"/>
            <w:vAlign w:val="center"/>
          </w:tcPr>
          <w:p w14:paraId="0A06A712">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0.0061702 </w:t>
            </w:r>
          </w:p>
        </w:tc>
        <w:tc>
          <w:tcPr>
            <w:tcW w:w="1744" w:type="dxa"/>
            <w:vAlign w:val="center"/>
          </w:tcPr>
          <w:p w14:paraId="3C440F38">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0.0008570 </w:t>
            </w:r>
          </w:p>
        </w:tc>
        <w:tc>
          <w:tcPr>
            <w:tcW w:w="1880" w:type="dxa"/>
            <w:vAlign w:val="center"/>
          </w:tcPr>
          <w:p w14:paraId="1A089B3B">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0.0428488 </w:t>
            </w:r>
          </w:p>
        </w:tc>
      </w:tr>
      <w:tr w14:paraId="4852AC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4" w:type="pct"/>
            <w:vMerge w:val="continue"/>
            <w:vAlign w:val="center"/>
          </w:tcPr>
          <w:p w14:paraId="17F12B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07" w:type="pct"/>
            <w:vAlign w:val="center"/>
          </w:tcPr>
          <w:p w14:paraId="1A2A9E1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1415" w:type="dxa"/>
            <w:shd w:val="clear" w:color="auto" w:fill="auto"/>
            <w:vAlign w:val="center"/>
          </w:tcPr>
          <w:p w14:paraId="70005FF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719" w:type="dxa"/>
            <w:shd w:val="clear" w:color="auto" w:fill="auto"/>
            <w:vAlign w:val="center"/>
          </w:tcPr>
          <w:p w14:paraId="596DEDE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132</w:t>
            </w:r>
          </w:p>
        </w:tc>
        <w:tc>
          <w:tcPr>
            <w:tcW w:w="1849" w:type="dxa"/>
            <w:shd w:val="clear" w:color="auto" w:fill="auto"/>
            <w:vAlign w:val="center"/>
          </w:tcPr>
          <w:p w14:paraId="694D98A7">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503" w:type="pct"/>
            <w:vMerge w:val="continue"/>
            <w:vAlign w:val="center"/>
          </w:tcPr>
          <w:p w14:paraId="60E62C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15" w:type="dxa"/>
            <w:vAlign w:val="center"/>
          </w:tcPr>
          <w:p w14:paraId="794C421B">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 </w:t>
            </w:r>
          </w:p>
        </w:tc>
        <w:tc>
          <w:tcPr>
            <w:tcW w:w="1744" w:type="dxa"/>
            <w:vAlign w:val="center"/>
          </w:tcPr>
          <w:p w14:paraId="7D910987">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93</w:t>
            </w:r>
          </w:p>
        </w:tc>
        <w:tc>
          <w:tcPr>
            <w:tcW w:w="1880" w:type="dxa"/>
            <w:vAlign w:val="center"/>
          </w:tcPr>
          <w:p w14:paraId="40278CD5">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r>
      <w:tr w14:paraId="275B7E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4" w:type="pct"/>
            <w:vMerge w:val="continue"/>
            <w:vAlign w:val="center"/>
          </w:tcPr>
          <w:p w14:paraId="26C01E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07" w:type="pct"/>
            <w:vAlign w:val="center"/>
          </w:tcPr>
          <w:p w14:paraId="336C00C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1415" w:type="dxa"/>
            <w:shd w:val="clear" w:color="auto" w:fill="auto"/>
            <w:vAlign w:val="center"/>
          </w:tcPr>
          <w:p w14:paraId="5167015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0.9062658</w:t>
            </w:r>
          </w:p>
        </w:tc>
        <w:tc>
          <w:tcPr>
            <w:tcW w:w="1719" w:type="dxa"/>
            <w:shd w:val="clear" w:color="auto" w:fill="auto"/>
            <w:vAlign w:val="center"/>
          </w:tcPr>
          <w:p w14:paraId="77AAB2F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0.1258703</w:t>
            </w:r>
          </w:p>
        </w:tc>
        <w:tc>
          <w:tcPr>
            <w:tcW w:w="1849" w:type="dxa"/>
            <w:shd w:val="clear" w:color="auto" w:fill="auto"/>
            <w:vAlign w:val="center"/>
          </w:tcPr>
          <w:p w14:paraId="6AA11B40">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6.2935125</w:t>
            </w:r>
          </w:p>
        </w:tc>
        <w:tc>
          <w:tcPr>
            <w:tcW w:w="503" w:type="pct"/>
            <w:vMerge w:val="continue"/>
            <w:vAlign w:val="center"/>
          </w:tcPr>
          <w:p w14:paraId="419F5E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15" w:type="dxa"/>
            <w:vAlign w:val="center"/>
          </w:tcPr>
          <w:p w14:paraId="1A0ACEBF">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0.8318652 </w:t>
            </w:r>
          </w:p>
        </w:tc>
        <w:tc>
          <w:tcPr>
            <w:tcW w:w="1744" w:type="dxa"/>
            <w:vAlign w:val="center"/>
          </w:tcPr>
          <w:p w14:paraId="2BAA44E3">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0.1155368 </w:t>
            </w:r>
          </w:p>
        </w:tc>
        <w:tc>
          <w:tcPr>
            <w:tcW w:w="1880" w:type="dxa"/>
            <w:vAlign w:val="center"/>
          </w:tcPr>
          <w:p w14:paraId="3E218797">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5.7768419 </w:t>
            </w:r>
          </w:p>
        </w:tc>
      </w:tr>
    </w:tbl>
    <w:p w14:paraId="4C4197D0">
      <w:pPr>
        <w:keepNext w:val="0"/>
        <w:keepLines w:val="0"/>
        <w:pageBreakBefore w:val="0"/>
        <w:widowControl w:val="0"/>
        <w:kinsoku/>
        <w:wordWrap/>
        <w:overflowPunct/>
        <w:topLinePunct w:val="0"/>
        <w:bidi w:val="0"/>
        <w:spacing w:line="360" w:lineRule="auto"/>
        <w:rPr>
          <w:rFonts w:hint="default" w:ascii="Times New Roman" w:hAnsi="Times New Roman" w:eastAsia="宋体" w:cs="Times New Roman"/>
          <w:color w:val="FF0000"/>
          <w:u w:val="none" w:color="auto"/>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651AF2A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63" w:name="_Toc17368"/>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4.2 废水污染源强</w:t>
      </w:r>
      <w:bookmarkEnd w:id="163"/>
    </w:p>
    <w:p w14:paraId="55DB3B7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项目运营期产生的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废水主要包括生活废水、生产废水，其中生产废水包括废弃油脂加工工序产生的废水、地面拖洗废水、车辆清洗废水、设备管道清洗废水、喷淋塔循环废水。</w:t>
      </w:r>
    </w:p>
    <w:p w14:paraId="66919226">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 xml:space="preserve"> 生活废水</w:t>
      </w:r>
    </w:p>
    <w:p w14:paraId="3AF74D7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本项目劳动定员</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u w:val="none" w:color="auto"/>
          <w14:textFill>
            <w14:solidFill>
              <w14:schemeClr w14:val="tx1"/>
            </w14:solidFill>
          </w14:textFill>
        </w:rPr>
        <w:t>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厂内不设食堂、宿舍，用水量参考《湖南用水定额 第3部分：生活、服务业及建筑业》（DB43/T 388.2-2025）城镇居民生活用水通用值145 L/（人·d），则项目生活用水量为2.9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/d（870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w:t>
      </w:r>
      <w:r>
        <w:rPr>
          <w:rFonts w:hint="default" w:ascii="Times New Roman" w:hAnsi="Times New Roman" w:eastAsia="宋体" w:cs="Times New Roman"/>
          <w:color w:val="000000" w:themeColor="text1"/>
          <w:u w:val="none" w:color="auto"/>
          <w14:textFill>
            <w14:solidFill>
              <w14:schemeClr w14:val="tx1"/>
            </w14:solidFill>
          </w14:textFill>
        </w:rPr>
        <w:t>排污系数以0.8计，故生活污水产生量为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2.32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696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w:t>
      </w:r>
      <w:r>
        <w:rPr>
          <w:rFonts w:hint="default" w:ascii="Times New Roman" w:hAnsi="Times New Roman" w:eastAsia="宋体" w:cs="Times New Roman"/>
          <w:color w:val="000000" w:themeColor="text1"/>
          <w:u w:val="none" w:color="auto"/>
          <w14:textFill>
            <w14:solidFill>
              <w14:schemeClr w14:val="tx1"/>
            </w14:solidFill>
          </w14:textFill>
        </w:rPr>
        <w:t>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园区化粪池</w:t>
      </w:r>
      <w:r>
        <w:rPr>
          <w:rFonts w:hint="default" w:ascii="Times New Roman" w:hAnsi="Times New Roman" w:eastAsia="宋体" w:cs="Times New Roman"/>
          <w:color w:val="000000" w:themeColor="text1"/>
          <w:u w:val="none" w:color="auto"/>
          <w14:textFill>
            <w14:solidFill>
              <w14:schemeClr w14:val="tx1"/>
            </w14:solidFill>
          </w14:textFill>
        </w:rPr>
        <w:t>处理后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通过园区污水管网排入平江高新区污水处理厂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w:t>
      </w:r>
    </w:p>
    <w:p w14:paraId="568545C8">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生产废水</w:t>
      </w:r>
    </w:p>
    <w:p w14:paraId="65FBDCE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（1）废弃油脂加工工序产生的废水</w:t>
      </w:r>
    </w:p>
    <w:p w14:paraId="51D2E5A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废弃油脂加工工序产生的废水包括制浆工序分离出来的废水、三相分离工序分离出来的废水，根据原料使用量及原料含水率、含渣率，项目原料含水总量约311 t/a，根据产品质量标准，产品含水含渣率≤3%，本评价成品含水率取值1.5%，含渣率取值1.5%。则废渣产生量约248 t/a，其中含水量约30%（74 t/a），则外排废水约237 t/a。废弃油脂加工工序产生的废水经密闭管道收集汇入隔油池+A/O预处理后通过园区污水管网排入平江高新区污水处理厂深度处理。</w:t>
      </w:r>
    </w:p>
    <w:p w14:paraId="22C1AD0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（2）地面拖洗废水</w:t>
      </w:r>
    </w:p>
    <w:p w14:paraId="72A80FC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废弃油脂加工车间地面采用拖洗方式清洁，约5天拖洗一次，用水量按2.0 L/m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·次计，车间清洗面积约500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，则地面拖洗用水量约60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该部分废水产生系数按0.8计，则拖洗废水量约为48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/a，经收集汇入隔油池+A/O预处理后通过园区污水管网排入平江高新区污水处理厂深度处理。</w:t>
      </w:r>
    </w:p>
    <w:p w14:paraId="0F9449B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（3）车辆清洗废水</w:t>
      </w:r>
    </w:p>
    <w:p w14:paraId="64F08B8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原料油收运专用车内部采用干净自来水进行冲洗，约5天清洗一次，用水量按0.1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/次计，项目配备3辆原料油收运专用车，则车辆清洗用水约18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清洗废水产生量约</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18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，清洗废水全部倒入除杂机，与除杂废水一起经密闭管道收集汇入隔油池+A/O预处理后通过园区污水管网排入平江高新区污水处理厂深度处理。</w:t>
      </w:r>
    </w:p>
    <w:p w14:paraId="505DED3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（4）设备管道清洗废水</w:t>
      </w:r>
    </w:p>
    <w:p w14:paraId="7A0FABB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为防止油脂加工管道堵塞，需定期采用蒸汽对管路进行冲洗，蒸汽依托园区供热系统，根据建设单位提供资料，设备管道大约每月清洗1次，每次用蒸汽量约1 t，则设备管道清洗用蒸汽量约10 t/a（换算成水约10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/a）。设备管道密闭联通，则清洗废水产生量约10 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/a，清洗废水经密闭管道收集汇入隔油池+A/O预处理后通过园区污水管网排入平江高新区污水处理厂深度处理。</w:t>
      </w:r>
    </w:p>
    <w:p w14:paraId="739BFA0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（5）喷淋塔循环废水</w:t>
      </w:r>
    </w:p>
    <w:p w14:paraId="58723A2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喷淋塔当运行时间6个月左右或检测发现pH值过低影响废气处理效率时，将循环水进行更换，更换量约为2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/次（4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/a）。则喷淋塔循环废水产生量为4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/a，经水泵抽至</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隔油池+</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A/O预处理后通过园区污水管网排入园平江高新区污水处理厂深度处理。</w:t>
      </w:r>
    </w:p>
    <w:p w14:paraId="1C8B096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综上，项目生产废水产生量为317 </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m</w:t>
      </w:r>
      <w:r>
        <w:rPr>
          <w:rFonts w:hint="default" w:ascii="Times New Roman" w:hAnsi="Times New Roman" w:eastAsia="宋体" w:cs="Times New Roman"/>
          <w:b w:val="0"/>
          <w:bCs w:val="0"/>
          <w:color w:val="000000" w:themeColor="text1"/>
          <w:kern w:val="2"/>
          <w:sz w:val="24"/>
          <w:szCs w:val="22"/>
          <w:u w:val="none" w:color="auto"/>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项目生产废水均</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经收集汇入隔油池+A/O预处理后通过园区污水管网排入园平江高新区污水处理厂深度处理。本项目污水预处理设施进口废水源强采用类比法</w:t>
      </w:r>
      <w:r>
        <w:rPr>
          <w:rFonts w:hint="eastAsia"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w:t>
      </w:r>
    </w:p>
    <w:p w14:paraId="3B1336E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通过前文分析，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湖南庚辰生物科技有限责任公司</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废弃动植物油脂循环再利用项目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湖南将蓝生物能源有限公司33万吨年废弃油脂资源化利用项目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平江和旺环保科技有限公司废弃食用油脂无害化利用项目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汨罗市湘环再生资源有限公司（3600 t/a）废弃油脂回收和粗加工项目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山西恒岳坏保料技有限公司年回收处理2000吨废弃动植物油脂项目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、山东中源再生资源有限公司</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淄博市餐厨废油脂资源化利用项目</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（二期）</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与本项目类似，</w:t>
      </w: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类比情况如下：</w:t>
      </w:r>
    </w:p>
    <w:p w14:paraId="12F5D75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7EAAE0B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类比项目情况</w:t>
      </w:r>
      <w:r>
        <w:rPr>
          <w:rFonts w:hint="default" w:ascii="Times New Roman" w:hAnsi="Times New Roman" w:eastAsia="宋体" w:cs="Times New Roman"/>
          <w:color w:val="000000" w:themeColor="text1"/>
          <w:u w:val="none" w:color="auto"/>
          <w14:textFill>
            <w14:solidFill>
              <w14:schemeClr w14:val="tx1"/>
            </w14:solidFill>
          </w14:textFill>
        </w:rPr>
        <w:t>一览表</w:t>
      </w:r>
    </w:p>
    <w:tbl>
      <w:tblPr>
        <w:tblStyle w:val="3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675"/>
        <w:gridCol w:w="1854"/>
        <w:gridCol w:w="1854"/>
        <w:gridCol w:w="1854"/>
        <w:gridCol w:w="1854"/>
        <w:gridCol w:w="1854"/>
        <w:gridCol w:w="1871"/>
        <w:gridCol w:w="1725"/>
      </w:tblGrid>
      <w:tr w14:paraId="2C092D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21" w:type="pct"/>
            <w:vMerge w:val="restart"/>
            <w:vAlign w:val="center"/>
          </w:tcPr>
          <w:p w14:paraId="709F0822">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序号</w:t>
            </w:r>
          </w:p>
        </w:tc>
        <w:tc>
          <w:tcPr>
            <w:tcW w:w="238" w:type="pct"/>
            <w:vMerge w:val="restart"/>
            <w:vAlign w:val="center"/>
          </w:tcPr>
          <w:p w14:paraId="78F43849">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内容</w:t>
            </w:r>
          </w:p>
        </w:tc>
        <w:tc>
          <w:tcPr>
            <w:tcW w:w="3930" w:type="pct"/>
            <w:gridSpan w:val="6"/>
            <w:vAlign w:val="center"/>
          </w:tcPr>
          <w:p w14:paraId="1A449AF6">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类比项目</w:t>
            </w:r>
          </w:p>
        </w:tc>
        <w:tc>
          <w:tcPr>
            <w:tcW w:w="608" w:type="pct"/>
            <w:vMerge w:val="restart"/>
            <w:vAlign w:val="center"/>
          </w:tcPr>
          <w:p w14:paraId="1E495761">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w:t>
            </w:r>
          </w:p>
        </w:tc>
      </w:tr>
      <w:tr w14:paraId="174E86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21" w:type="pct"/>
            <w:vMerge w:val="continue"/>
            <w:vAlign w:val="center"/>
          </w:tcPr>
          <w:p w14:paraId="4EFF8099">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238" w:type="pct"/>
            <w:vMerge w:val="continue"/>
            <w:vAlign w:val="center"/>
          </w:tcPr>
          <w:p w14:paraId="3D7DBFE4">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654" w:type="pct"/>
            <w:vAlign w:val="center"/>
          </w:tcPr>
          <w:p w14:paraId="27D9DDA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湖南庚辰生物科技有限责任公司废弃动植物油脂循环再利用项目</w:t>
            </w:r>
          </w:p>
        </w:tc>
        <w:tc>
          <w:tcPr>
            <w:tcW w:w="654" w:type="pct"/>
            <w:vAlign w:val="center"/>
          </w:tcPr>
          <w:p w14:paraId="658FFD0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湖南将蓝生物能源有限公司33万吨年废弃油脂资源化利用项目</w:t>
            </w:r>
          </w:p>
        </w:tc>
        <w:tc>
          <w:tcPr>
            <w:tcW w:w="654" w:type="pct"/>
            <w:vAlign w:val="center"/>
          </w:tcPr>
          <w:p w14:paraId="5F4EB0F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平江和旺环保科技有限公司废弃食用油脂无害化利用项目</w:t>
            </w:r>
          </w:p>
        </w:tc>
        <w:tc>
          <w:tcPr>
            <w:tcW w:w="654" w:type="pct"/>
            <w:vAlign w:val="center"/>
          </w:tcPr>
          <w:p w14:paraId="0C0392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汨罗市湘环再生资源有限公司（3600 t/a）废弃油脂回收和粗加工项目</w:t>
            </w:r>
          </w:p>
        </w:tc>
        <w:tc>
          <w:tcPr>
            <w:tcW w:w="654" w:type="pct"/>
            <w:vAlign w:val="center"/>
          </w:tcPr>
          <w:p w14:paraId="677EB6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山西恒岳坏保料技有限公司年回收处理2000吨废弃动植物油脂项目</w:t>
            </w:r>
          </w:p>
        </w:tc>
        <w:tc>
          <w:tcPr>
            <w:tcW w:w="658" w:type="pct"/>
            <w:vAlign w:val="center"/>
          </w:tcPr>
          <w:p w14:paraId="39AF7FE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山东中源再生资源有限公司淄博市餐厨废油脂资源化利用项目</w:t>
            </w:r>
            <w:r>
              <w:rPr>
                <w:rFonts w:hint="eastAsia" w:ascii="Times New Roman" w:hAnsi="Times New Roman" w:eastAsia="宋体" w:cs="Times New Roman"/>
                <w:i w:val="0"/>
                <w:iCs w:val="0"/>
                <w:color w:val="000000"/>
                <w:kern w:val="0"/>
                <w:sz w:val="21"/>
                <w:szCs w:val="21"/>
                <w:u w:val="none" w:color="auto"/>
                <w:lang w:val="en-US" w:eastAsia="zh-CN" w:bidi="ar"/>
              </w:rPr>
              <w:t>（二期）</w:t>
            </w:r>
          </w:p>
        </w:tc>
        <w:tc>
          <w:tcPr>
            <w:tcW w:w="608" w:type="pct"/>
            <w:vMerge w:val="continue"/>
            <w:vAlign w:val="center"/>
          </w:tcPr>
          <w:p w14:paraId="3AE5D970">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2ECD9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 w:type="pct"/>
            <w:vAlign w:val="center"/>
          </w:tcPr>
          <w:p w14:paraId="0F52B5B6">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p>
        </w:tc>
        <w:tc>
          <w:tcPr>
            <w:tcW w:w="238" w:type="pct"/>
            <w:vAlign w:val="center"/>
          </w:tcPr>
          <w:p w14:paraId="1DA269C7">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生产规模</w:t>
            </w:r>
          </w:p>
        </w:tc>
        <w:tc>
          <w:tcPr>
            <w:tcW w:w="654" w:type="pct"/>
            <w:vAlign w:val="center"/>
          </w:tcPr>
          <w:p w14:paraId="6766DF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产能100000 t/a</w:t>
            </w:r>
          </w:p>
        </w:tc>
        <w:tc>
          <w:tcPr>
            <w:tcW w:w="654" w:type="pct"/>
            <w:vAlign w:val="center"/>
          </w:tcPr>
          <w:p w14:paraId="7866A9E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处理废弃油脂</w:t>
            </w:r>
          </w:p>
          <w:p w14:paraId="2EFFC4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330000 t/a</w:t>
            </w:r>
          </w:p>
        </w:tc>
        <w:tc>
          <w:tcPr>
            <w:tcW w:w="654" w:type="pct"/>
            <w:vAlign w:val="center"/>
          </w:tcPr>
          <w:p w14:paraId="0B18E7B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处理废弃油脂</w:t>
            </w:r>
          </w:p>
          <w:p w14:paraId="0EFE41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13006.45 t/a</w:t>
            </w:r>
          </w:p>
        </w:tc>
        <w:tc>
          <w:tcPr>
            <w:tcW w:w="654" w:type="pct"/>
            <w:vAlign w:val="center"/>
          </w:tcPr>
          <w:p w14:paraId="4A10D1B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处理废弃油脂</w:t>
            </w:r>
          </w:p>
          <w:p w14:paraId="7FEDD1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3600 t/a</w:t>
            </w:r>
          </w:p>
        </w:tc>
        <w:tc>
          <w:tcPr>
            <w:tcW w:w="654" w:type="pct"/>
            <w:vAlign w:val="center"/>
          </w:tcPr>
          <w:p w14:paraId="315C41A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处理废弃油脂</w:t>
            </w:r>
          </w:p>
          <w:p w14:paraId="796297C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2000 t/a</w:t>
            </w:r>
          </w:p>
        </w:tc>
        <w:tc>
          <w:tcPr>
            <w:tcW w:w="658" w:type="pct"/>
            <w:vAlign w:val="center"/>
          </w:tcPr>
          <w:p w14:paraId="05CD5E8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处理废弃油脂3500 t/a</w:t>
            </w:r>
          </w:p>
        </w:tc>
        <w:tc>
          <w:tcPr>
            <w:tcW w:w="608" w:type="pct"/>
            <w:vAlign w:val="center"/>
          </w:tcPr>
          <w:p w14:paraId="54E75047">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拟建产能10000 t/a，折合处理能力10485 t/a</w:t>
            </w:r>
          </w:p>
        </w:tc>
      </w:tr>
      <w:tr w14:paraId="1B1E3F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 w:type="pct"/>
            <w:vAlign w:val="center"/>
          </w:tcPr>
          <w:p w14:paraId="02455E48">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238" w:type="pct"/>
            <w:vAlign w:val="center"/>
          </w:tcPr>
          <w:p w14:paraId="2EC54E21">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主要工艺</w:t>
            </w:r>
          </w:p>
        </w:tc>
        <w:tc>
          <w:tcPr>
            <w:tcW w:w="654" w:type="pct"/>
            <w:vAlign w:val="center"/>
          </w:tcPr>
          <w:p w14:paraId="1A93A2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烘房加热（80℃）+三相分离</w:t>
            </w:r>
          </w:p>
        </w:tc>
        <w:tc>
          <w:tcPr>
            <w:tcW w:w="654" w:type="pct"/>
            <w:vAlign w:val="center"/>
          </w:tcPr>
          <w:p w14:paraId="46BFCF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加热/干燥+酸碱反应+水洗+离心分离</w:t>
            </w:r>
          </w:p>
        </w:tc>
        <w:tc>
          <w:tcPr>
            <w:tcW w:w="654" w:type="pct"/>
            <w:vAlign w:val="center"/>
          </w:tcPr>
          <w:p w14:paraId="37B076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废弃油脂回收+除渣+加热+分离</w:t>
            </w:r>
          </w:p>
        </w:tc>
        <w:tc>
          <w:tcPr>
            <w:tcW w:w="654" w:type="pct"/>
            <w:vAlign w:val="center"/>
          </w:tcPr>
          <w:p w14:paraId="4BBE04C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主要工艺加热至 80℃分层+三相分离</w:t>
            </w:r>
          </w:p>
        </w:tc>
        <w:tc>
          <w:tcPr>
            <w:tcW w:w="654" w:type="pct"/>
            <w:vAlign w:val="center"/>
          </w:tcPr>
          <w:p w14:paraId="0AD9315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废弃油脂除渣+加热+三相分离</w:t>
            </w:r>
          </w:p>
        </w:tc>
        <w:tc>
          <w:tcPr>
            <w:tcW w:w="658" w:type="pct"/>
            <w:vAlign w:val="center"/>
          </w:tcPr>
          <w:p w14:paraId="31D7631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粉碎+蒸汽加热+离心</w:t>
            </w:r>
          </w:p>
          <w:p w14:paraId="04EB1C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p>
        </w:tc>
        <w:tc>
          <w:tcPr>
            <w:tcW w:w="608" w:type="pct"/>
            <w:vAlign w:val="center"/>
          </w:tcPr>
          <w:p w14:paraId="0FE6D4B9">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卸料、除杂、制浆、加热沉降（约80℃）、搅拌、三相分离</w:t>
            </w:r>
          </w:p>
        </w:tc>
      </w:tr>
      <w:tr w14:paraId="55A583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 w:type="pct"/>
            <w:shd w:val="clear" w:color="auto" w:fill="auto"/>
            <w:vAlign w:val="center"/>
          </w:tcPr>
          <w:p w14:paraId="5E0DD3CA">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238" w:type="pct"/>
            <w:vAlign w:val="center"/>
          </w:tcPr>
          <w:p w14:paraId="5464ADAE">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原材料</w:t>
            </w:r>
          </w:p>
        </w:tc>
        <w:tc>
          <w:tcPr>
            <w:tcW w:w="654" w:type="pct"/>
            <w:shd w:val="clear" w:color="auto" w:fill="auto"/>
            <w:vAlign w:val="center"/>
          </w:tcPr>
          <w:p w14:paraId="369F9F3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废弃动植物油脂（来自餐厨垃圾处理公司）</w:t>
            </w:r>
          </w:p>
        </w:tc>
        <w:tc>
          <w:tcPr>
            <w:tcW w:w="654" w:type="pct"/>
            <w:shd w:val="clear" w:color="auto" w:fill="auto"/>
            <w:vAlign w:val="center"/>
          </w:tcPr>
          <w:p w14:paraId="28E2C6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废弃油脂</w:t>
            </w:r>
          </w:p>
        </w:tc>
        <w:tc>
          <w:tcPr>
            <w:tcW w:w="654" w:type="pct"/>
            <w:shd w:val="clear" w:color="auto" w:fill="auto"/>
            <w:vAlign w:val="center"/>
          </w:tcPr>
          <w:p w14:paraId="1046DC7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隔油池浮渣、二次废油（煎炸废油）（食品加工企业）</w:t>
            </w:r>
          </w:p>
        </w:tc>
        <w:tc>
          <w:tcPr>
            <w:tcW w:w="654" w:type="pct"/>
            <w:shd w:val="clear" w:color="auto" w:fill="auto"/>
            <w:vAlign w:val="center"/>
          </w:tcPr>
          <w:p w14:paraId="079E340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食品厂废油炸动植物油</w:t>
            </w:r>
          </w:p>
        </w:tc>
        <w:tc>
          <w:tcPr>
            <w:tcW w:w="654" w:type="pct"/>
            <w:shd w:val="clear" w:color="auto" w:fill="auto"/>
            <w:vAlign w:val="center"/>
          </w:tcPr>
          <w:p w14:paraId="5E2D9A5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餐厨废弃油脂、火锅油脂</w:t>
            </w:r>
          </w:p>
        </w:tc>
        <w:tc>
          <w:tcPr>
            <w:tcW w:w="658" w:type="pct"/>
            <w:shd w:val="clear" w:color="auto" w:fill="auto"/>
            <w:vAlign w:val="center"/>
          </w:tcPr>
          <w:p w14:paraId="60E3BAB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餐厨废油</w:t>
            </w:r>
          </w:p>
        </w:tc>
        <w:tc>
          <w:tcPr>
            <w:tcW w:w="608" w:type="pct"/>
            <w:vAlign w:val="center"/>
          </w:tcPr>
          <w:p w14:paraId="4D9CDFD7">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隔油池浮渣、煎炸废油（食品加工企业）</w:t>
            </w:r>
          </w:p>
        </w:tc>
      </w:tr>
      <w:tr w14:paraId="346C53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 w:type="pct"/>
            <w:shd w:val="clear" w:color="auto" w:fill="auto"/>
            <w:vAlign w:val="center"/>
          </w:tcPr>
          <w:p w14:paraId="3ECF0B45">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238" w:type="pct"/>
            <w:vAlign w:val="center"/>
          </w:tcPr>
          <w:p w14:paraId="1F803328">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产品</w:t>
            </w:r>
          </w:p>
        </w:tc>
        <w:tc>
          <w:tcPr>
            <w:tcW w:w="654" w:type="pct"/>
            <w:shd w:val="clear" w:color="auto" w:fill="auto"/>
            <w:vAlign w:val="center"/>
          </w:tcPr>
          <w:p w14:paraId="21B5DAE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工业级混合油</w:t>
            </w:r>
          </w:p>
        </w:tc>
        <w:tc>
          <w:tcPr>
            <w:tcW w:w="654" w:type="pct"/>
            <w:shd w:val="clear" w:color="auto" w:fill="auto"/>
            <w:vAlign w:val="center"/>
          </w:tcPr>
          <w:p w14:paraId="0E46971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工业级混合油</w:t>
            </w:r>
          </w:p>
        </w:tc>
        <w:tc>
          <w:tcPr>
            <w:tcW w:w="654" w:type="pct"/>
            <w:shd w:val="clear" w:color="auto" w:fill="auto"/>
            <w:vAlign w:val="center"/>
          </w:tcPr>
          <w:p w14:paraId="0D15B9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初级工业油脂</w:t>
            </w:r>
          </w:p>
        </w:tc>
        <w:tc>
          <w:tcPr>
            <w:tcW w:w="654" w:type="pct"/>
            <w:shd w:val="clear" w:color="auto" w:fill="auto"/>
            <w:vAlign w:val="center"/>
          </w:tcPr>
          <w:p w14:paraId="741C77F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初级工业油脂</w:t>
            </w:r>
          </w:p>
        </w:tc>
        <w:tc>
          <w:tcPr>
            <w:tcW w:w="654" w:type="pct"/>
            <w:shd w:val="clear" w:color="auto" w:fill="auto"/>
            <w:vAlign w:val="center"/>
          </w:tcPr>
          <w:p w14:paraId="7AF19A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初级工业油脂</w:t>
            </w:r>
          </w:p>
        </w:tc>
        <w:tc>
          <w:tcPr>
            <w:tcW w:w="658" w:type="pct"/>
            <w:shd w:val="clear" w:color="auto" w:fill="auto"/>
            <w:vAlign w:val="center"/>
          </w:tcPr>
          <w:p w14:paraId="6B2C777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初级工业油脂</w:t>
            </w:r>
          </w:p>
        </w:tc>
        <w:tc>
          <w:tcPr>
            <w:tcW w:w="608" w:type="pct"/>
            <w:vAlign w:val="center"/>
          </w:tcPr>
          <w:p w14:paraId="2EE960D8">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工业级混合油</w:t>
            </w:r>
          </w:p>
        </w:tc>
      </w:tr>
      <w:tr w14:paraId="7B4215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 w:type="pct"/>
            <w:shd w:val="clear" w:color="auto" w:fill="auto"/>
            <w:vAlign w:val="center"/>
          </w:tcPr>
          <w:p w14:paraId="2E73D235">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238" w:type="pct"/>
            <w:vAlign w:val="center"/>
          </w:tcPr>
          <w:p w14:paraId="5C0BFD72">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处理设施</w:t>
            </w:r>
          </w:p>
        </w:tc>
        <w:tc>
          <w:tcPr>
            <w:tcW w:w="654" w:type="pct"/>
            <w:vAlign w:val="center"/>
          </w:tcPr>
          <w:p w14:paraId="5CEFF1DD">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锅炉排水、软水制备废水、冷凝废水、拖洗废水、管道清洗废水和三相分离产生的废水全部收集至污水处理站，采用</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隔油+调节+气浮+A/O 生物处理+二沉池</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工艺处理后排入园区污水管网进入天源污水处理厂进一步处理。</w:t>
            </w:r>
          </w:p>
        </w:tc>
        <w:tc>
          <w:tcPr>
            <w:tcW w:w="654" w:type="pct"/>
            <w:vAlign w:val="center"/>
          </w:tcPr>
          <w:p w14:paraId="2CE2BAA8">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真空废水、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清水分离罐废水、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离心机清洗废水、过滤机清洗废水、地面冲洗废水、实验室废水等收集后采用</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絮凝沉淀+气浮+UASB+A/O+沉淀</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工艺处理后</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通过</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市政污水管网</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排入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岳阳市三峡水环境综合治理有限责任公司临港水质净化厂处理达。</w:t>
            </w:r>
          </w:p>
        </w:tc>
        <w:tc>
          <w:tcPr>
            <w:tcW w:w="654" w:type="pct"/>
            <w:shd w:val="clear" w:color="auto" w:fill="auto"/>
            <w:vAlign w:val="center"/>
          </w:tcPr>
          <w:p w14:paraId="530BBD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生产废水（车间地面拖洗废水、除臭装置废水、离心分离废水、软水装置浓水）经</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隔油池+调节池+混凝沉淀+水解酸化反应器</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预处理后暂存至废水暂存池内，定期用污水罐车运至安定镇污水处理厂进行处理。</w:t>
            </w:r>
          </w:p>
        </w:tc>
        <w:tc>
          <w:tcPr>
            <w:tcW w:w="654" w:type="pct"/>
            <w:vAlign w:val="center"/>
          </w:tcPr>
          <w:p w14:paraId="3E630F62">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生产废水（含厂区地面拖洗废水、收运车辆冲洗废水、离心分离废水、除臭装置废水、初期雨水）废水经收集后，槽罐车运至汨罗污水处理厂。</w:t>
            </w:r>
          </w:p>
        </w:tc>
        <w:tc>
          <w:tcPr>
            <w:tcW w:w="654" w:type="pct"/>
            <w:vAlign w:val="center"/>
          </w:tcPr>
          <w:p w14:paraId="3627885D">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生产废水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（包括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油脂分离废水、车间地坪冲洗废水、设备清洗废水和除臭系统排水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依托山西鸿瑞昱泽生物科技有限公司污水处理站处理后回用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不外排</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p>
        </w:tc>
        <w:tc>
          <w:tcPr>
            <w:tcW w:w="658" w:type="pct"/>
            <w:shd w:val="clear" w:color="auto" w:fill="auto"/>
            <w:vAlign w:val="center"/>
          </w:tcPr>
          <w:p w14:paraId="6941F1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纯水制备产生的浓水、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冲洗废水、喷淋废水、离心机离心废水、离心机冲洗废水经</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加药调节+UASB+SBR</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处理后</w:t>
            </w:r>
            <w:r>
              <w:rPr>
                <w:rFonts w:hint="eastAsia" w:eastAsia="宋体" w:cs="Times New Roman"/>
                <w:color w:val="000000" w:themeColor="text1"/>
                <w:u w:val="none" w:color="auto"/>
                <w:lang w:val="en-US" w:eastAsia="zh-CN"/>
                <w14:textFill>
                  <w14:solidFill>
                    <w14:schemeClr w14:val="tx1"/>
                  </w14:solidFill>
                </w14:textFill>
              </w:rPr>
              <w:t>，通过</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污水管网排至淄博南岳水务有限公司深度处理。</w:t>
            </w:r>
          </w:p>
        </w:tc>
        <w:tc>
          <w:tcPr>
            <w:tcW w:w="608" w:type="pct"/>
            <w:vAlign w:val="center"/>
          </w:tcPr>
          <w:p w14:paraId="16AEE750">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废弃油脂加工工序产生的废水、地面拖洗废水、车辆清洗废水、设备管道清洗废水、喷淋塔循环废水经收集汇入</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隔油池+A/O</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预处理后通过园区污水管网排入园平江高新区污水处理厂深度处理。</w:t>
            </w:r>
          </w:p>
        </w:tc>
      </w:tr>
      <w:tr w14:paraId="0E16B1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 w:type="pct"/>
            <w:shd w:val="clear" w:color="auto" w:fill="auto"/>
            <w:vAlign w:val="center"/>
          </w:tcPr>
          <w:p w14:paraId="72554AEE">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p>
        </w:tc>
        <w:tc>
          <w:tcPr>
            <w:tcW w:w="238" w:type="pct"/>
            <w:vAlign w:val="center"/>
          </w:tcPr>
          <w:p w14:paraId="0FFCA11E">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类比情况分析</w:t>
            </w:r>
          </w:p>
        </w:tc>
        <w:tc>
          <w:tcPr>
            <w:tcW w:w="654" w:type="pct"/>
            <w:vAlign w:val="center"/>
          </w:tcPr>
          <w:p w14:paraId="3ECAF80F">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本项目原料及生产工艺与类比项目基本相似，但废水产生环节不同，本项目生产废水污染物产生情况不可类比。</w:t>
            </w:r>
          </w:p>
        </w:tc>
        <w:tc>
          <w:tcPr>
            <w:tcW w:w="654" w:type="pct"/>
            <w:vAlign w:val="center"/>
          </w:tcPr>
          <w:p w14:paraId="586F9A2F">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本项目原料及生产工艺与类比项目基本相似，但废水产生环节不同，本项目生产废水污染物产生情况不可类比。</w:t>
            </w:r>
          </w:p>
        </w:tc>
        <w:tc>
          <w:tcPr>
            <w:tcW w:w="654" w:type="pct"/>
            <w:shd w:val="clear" w:color="auto" w:fill="auto"/>
            <w:vAlign w:val="center"/>
          </w:tcPr>
          <w:p w14:paraId="771FD3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本项目原料及生产工艺与类比项目基本相似，但废水产生环节不同，本项目生产废水污染物产生情况不可类比。</w:t>
            </w:r>
          </w:p>
        </w:tc>
        <w:tc>
          <w:tcPr>
            <w:tcW w:w="654" w:type="pct"/>
            <w:vAlign w:val="center"/>
          </w:tcPr>
          <w:p w14:paraId="417C6449">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本项目原料及生产工艺与类比项目基本相似，废水产生环节相似，本项目生产废水污染物产生情况可类比。</w:t>
            </w:r>
          </w:p>
        </w:tc>
        <w:tc>
          <w:tcPr>
            <w:tcW w:w="654" w:type="pct"/>
            <w:vAlign w:val="center"/>
          </w:tcPr>
          <w:p w14:paraId="30FE5486">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本项目原料及生产工艺与类比项目基本相似，废水产生环节相似，本项目生产废水污染物产生情况可类比。</w:t>
            </w:r>
          </w:p>
        </w:tc>
        <w:tc>
          <w:tcPr>
            <w:tcW w:w="658" w:type="pct"/>
            <w:shd w:val="clear" w:color="auto" w:fill="auto"/>
            <w:vAlign w:val="center"/>
          </w:tcPr>
          <w:p w14:paraId="2B9919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本项目原料及生产工艺与类比项目基本相似，废水产生环节相似，但废水产生环节不同，本项目生产废水污染物产生情况不可类比。</w:t>
            </w:r>
          </w:p>
        </w:tc>
        <w:tc>
          <w:tcPr>
            <w:tcW w:w="608" w:type="pct"/>
            <w:vAlign w:val="center"/>
          </w:tcPr>
          <w:p w14:paraId="3B6EE96C">
            <w:pPr>
              <w:pStyle w:val="68"/>
              <w:keepNext w:val="0"/>
              <w:keepLines w:val="0"/>
              <w:pageBreakBefore w:val="0"/>
              <w:widowControl w:val="0"/>
              <w:kinsoku/>
              <w:wordWrap/>
              <w:overflowPunct/>
              <w:topLinePunct w:val="0"/>
              <w:autoSpaceDE/>
              <w:autoSpaceDN/>
              <w:bidi w:val="0"/>
              <w:adjustRightInd/>
              <w:snapToGrid/>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37BD3231">
      <w:pPr>
        <w:rPr>
          <w:rFonts w:hint="default"/>
        </w:rPr>
      </w:pPr>
    </w:p>
    <w:p w14:paraId="0EB7044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54BA52D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通过上表分析，“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平江和旺环保科技有限公司废弃食用油脂无害化利用项目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汨罗市湘环再生资源有限公司（3600 t/a）废弃油脂回收和粗加工项目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山西恒岳坏保料技有限公司年回收处理2000吨废弃动植物油脂项目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原料及生产工艺与类比项目基本相似，废水产生环节相似，本项目生产废水污染物产生情况可类比。本项目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废水污染物产生量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以类比项目产生量的</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最大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值计</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，类比废水污染物产生量见下表。</w:t>
      </w:r>
    </w:p>
    <w:p w14:paraId="72CEFE91">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生产废水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污染物产生情况</w:t>
      </w:r>
      <w:r>
        <w:rPr>
          <w:rFonts w:hint="default" w:ascii="Times New Roman" w:hAnsi="Times New Roman" w:eastAsia="宋体" w:cs="Times New Roman"/>
          <w:color w:val="000000" w:themeColor="text1"/>
          <w:u w:val="none" w:color="auto"/>
          <w14:textFill>
            <w14:solidFill>
              <w14:schemeClr w14:val="tx1"/>
            </w14:solidFill>
          </w14:textFill>
        </w:rPr>
        <w:t>一览表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单位：mg/L</w:t>
      </w:r>
    </w:p>
    <w:tbl>
      <w:tblPr>
        <w:tblStyle w:val="3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071"/>
        <w:gridCol w:w="1202"/>
        <w:gridCol w:w="1204"/>
        <w:gridCol w:w="1204"/>
        <w:gridCol w:w="1204"/>
        <w:gridCol w:w="1214"/>
      </w:tblGrid>
      <w:tr w14:paraId="3D91F7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464" w:type="pct"/>
            <w:gridSpan w:val="2"/>
            <w:vAlign w:val="center"/>
          </w:tcPr>
          <w:p w14:paraId="14282F85">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产生工序</w:t>
            </w:r>
          </w:p>
        </w:tc>
        <w:tc>
          <w:tcPr>
            <w:tcW w:w="3535" w:type="pct"/>
            <w:gridSpan w:val="5"/>
            <w:vAlign w:val="center"/>
          </w:tcPr>
          <w:p w14:paraId="3A9F9AA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default" w:ascii="Times New Roman" w:hAnsi="Times New Roman" w:eastAsia="宋体" w:cs="Times New Roman"/>
                <w:i w:val="0"/>
                <w:iCs w:val="0"/>
                <w:color w:val="000000"/>
                <w:kern w:val="0"/>
                <w:sz w:val="21"/>
                <w:szCs w:val="21"/>
                <w:u w:val="none" w:color="auto"/>
                <w:lang w:val="en-US" w:eastAsia="zh-CN" w:bidi="ar"/>
              </w:rPr>
              <w:t>废弃油脂加工生产车间</w:t>
            </w:r>
          </w:p>
        </w:tc>
      </w:tr>
      <w:tr w14:paraId="23681F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464" w:type="pct"/>
            <w:gridSpan w:val="2"/>
            <w:vAlign w:val="center"/>
          </w:tcPr>
          <w:p w14:paraId="00AA0AFF">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污染物</w:t>
            </w:r>
          </w:p>
        </w:tc>
        <w:tc>
          <w:tcPr>
            <w:tcW w:w="705" w:type="pct"/>
            <w:vAlign w:val="center"/>
          </w:tcPr>
          <w:p w14:paraId="3A95013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COD</w:t>
            </w:r>
          </w:p>
        </w:tc>
        <w:tc>
          <w:tcPr>
            <w:tcW w:w="706" w:type="pct"/>
            <w:vAlign w:val="center"/>
          </w:tcPr>
          <w:p w14:paraId="700D587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BOD</w:t>
            </w:r>
            <w:r>
              <w:rPr>
                <w:rFonts w:hint="default" w:ascii="Times New Roman" w:hAnsi="Times New Roman" w:eastAsia="宋体" w:cs="Times New Roman"/>
                <w:b w:val="0"/>
                <w:bCs w:val="0"/>
                <w:color w:val="000000" w:themeColor="text1"/>
                <w:kern w:val="2"/>
                <w:sz w:val="24"/>
                <w:szCs w:val="22"/>
                <w:u w:val="none" w:color="auto"/>
                <w:vertAlign w:val="subscript"/>
                <w:lang w:val="en-US" w:eastAsia="zh-CN" w:bidi="ar-SA"/>
                <w14:textFill>
                  <w14:solidFill>
                    <w14:schemeClr w14:val="tx1"/>
                  </w14:solidFill>
                </w14:textFill>
              </w:rPr>
              <w:t>5</w:t>
            </w:r>
          </w:p>
        </w:tc>
        <w:tc>
          <w:tcPr>
            <w:tcW w:w="706" w:type="pct"/>
            <w:vAlign w:val="center"/>
          </w:tcPr>
          <w:p w14:paraId="5DC86AF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SS</w:t>
            </w:r>
          </w:p>
        </w:tc>
        <w:tc>
          <w:tcPr>
            <w:tcW w:w="706" w:type="pct"/>
            <w:vAlign w:val="center"/>
          </w:tcPr>
          <w:p w14:paraId="7AC8173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氨氮</w:t>
            </w:r>
          </w:p>
        </w:tc>
        <w:tc>
          <w:tcPr>
            <w:tcW w:w="711" w:type="pct"/>
            <w:vAlign w:val="center"/>
          </w:tcPr>
          <w:p w14:paraId="4B83610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动植物油</w:t>
            </w:r>
          </w:p>
        </w:tc>
      </w:tr>
      <w:tr w14:paraId="3C6EAB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9" w:type="pct"/>
            <w:vMerge w:val="restart"/>
            <w:vAlign w:val="center"/>
          </w:tcPr>
          <w:p w14:paraId="3893C855">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类比项目</w:t>
            </w:r>
          </w:p>
        </w:tc>
        <w:tc>
          <w:tcPr>
            <w:tcW w:w="1214" w:type="pct"/>
            <w:shd w:val="clear" w:color="auto" w:fill="auto"/>
            <w:vAlign w:val="center"/>
          </w:tcPr>
          <w:p w14:paraId="6043246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4"/>
                <w:szCs w:val="22"/>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汨罗市湘环再生资源有限公司（3600 t/a）废弃油脂回收和粗加工项目</w:t>
            </w:r>
          </w:p>
        </w:tc>
        <w:tc>
          <w:tcPr>
            <w:tcW w:w="705" w:type="pct"/>
            <w:shd w:val="clear" w:color="auto" w:fill="auto"/>
            <w:vAlign w:val="center"/>
          </w:tcPr>
          <w:p w14:paraId="64A55701">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1271</w:t>
            </w:r>
          </w:p>
        </w:tc>
        <w:tc>
          <w:tcPr>
            <w:tcW w:w="706" w:type="pct"/>
            <w:shd w:val="clear" w:color="auto" w:fill="auto"/>
            <w:vAlign w:val="center"/>
          </w:tcPr>
          <w:p w14:paraId="34A1191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509</w:t>
            </w:r>
          </w:p>
        </w:tc>
        <w:tc>
          <w:tcPr>
            <w:tcW w:w="706" w:type="pct"/>
            <w:shd w:val="clear" w:color="auto" w:fill="auto"/>
            <w:vAlign w:val="center"/>
          </w:tcPr>
          <w:p w14:paraId="2280EF2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668</w:t>
            </w:r>
          </w:p>
        </w:tc>
        <w:tc>
          <w:tcPr>
            <w:tcW w:w="706" w:type="pct"/>
            <w:shd w:val="clear" w:color="auto" w:fill="auto"/>
            <w:vAlign w:val="center"/>
          </w:tcPr>
          <w:p w14:paraId="15A4787B">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189</w:t>
            </w:r>
          </w:p>
        </w:tc>
        <w:tc>
          <w:tcPr>
            <w:tcW w:w="711" w:type="pct"/>
            <w:shd w:val="clear" w:color="auto" w:fill="auto"/>
            <w:vAlign w:val="center"/>
          </w:tcPr>
          <w:p w14:paraId="59F4E0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419</w:t>
            </w:r>
          </w:p>
        </w:tc>
      </w:tr>
      <w:tr w14:paraId="07EB39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9" w:type="pct"/>
            <w:vMerge w:val="continue"/>
            <w:vAlign w:val="center"/>
          </w:tcPr>
          <w:p w14:paraId="48DA16C0">
            <w:pPr>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1214" w:type="pct"/>
            <w:shd w:val="clear" w:color="auto" w:fill="auto"/>
            <w:vAlign w:val="center"/>
          </w:tcPr>
          <w:p w14:paraId="3DAAE401">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4"/>
                <w:szCs w:val="22"/>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color="auto"/>
                <w:lang w:val="en-US" w:eastAsia="zh-CN" w:bidi="ar"/>
              </w:rPr>
              <w:t>山西恒岳</w:t>
            </w:r>
            <w:r>
              <w:rPr>
                <w:rFonts w:hint="eastAsia" w:ascii="Times New Roman" w:hAnsi="Times New Roman" w:eastAsia="宋体" w:cs="Times New Roman"/>
                <w:i w:val="0"/>
                <w:iCs w:val="0"/>
                <w:color w:val="000000"/>
                <w:kern w:val="0"/>
                <w:sz w:val="21"/>
                <w:szCs w:val="21"/>
                <w:u w:val="none" w:color="auto"/>
                <w:lang w:val="en-US" w:eastAsia="zh-CN" w:bidi="ar"/>
              </w:rPr>
              <w:t>环保科技</w:t>
            </w:r>
            <w:r>
              <w:rPr>
                <w:rFonts w:hint="default" w:ascii="Times New Roman" w:hAnsi="Times New Roman" w:eastAsia="宋体" w:cs="Times New Roman"/>
                <w:i w:val="0"/>
                <w:iCs w:val="0"/>
                <w:color w:val="000000"/>
                <w:kern w:val="0"/>
                <w:sz w:val="21"/>
                <w:szCs w:val="21"/>
                <w:u w:val="none" w:color="auto"/>
                <w:lang w:val="en-US" w:eastAsia="zh-CN" w:bidi="ar"/>
              </w:rPr>
              <w:t>有限公司年回收处理2000吨废弃动植物油脂项目</w:t>
            </w:r>
          </w:p>
        </w:tc>
        <w:tc>
          <w:tcPr>
            <w:tcW w:w="705" w:type="pct"/>
            <w:shd w:val="clear" w:color="auto" w:fill="auto"/>
            <w:vAlign w:val="center"/>
          </w:tcPr>
          <w:p w14:paraId="1F0DE4B5">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2710</w:t>
            </w:r>
          </w:p>
        </w:tc>
        <w:tc>
          <w:tcPr>
            <w:tcW w:w="706" w:type="pct"/>
            <w:shd w:val="clear" w:color="auto" w:fill="auto"/>
            <w:vAlign w:val="center"/>
          </w:tcPr>
          <w:p w14:paraId="4C21FC0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949</w:t>
            </w:r>
          </w:p>
        </w:tc>
        <w:tc>
          <w:tcPr>
            <w:tcW w:w="706" w:type="pct"/>
            <w:shd w:val="clear" w:color="auto" w:fill="auto"/>
            <w:vAlign w:val="center"/>
          </w:tcPr>
          <w:p w14:paraId="00EE6E3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667</w:t>
            </w:r>
          </w:p>
        </w:tc>
        <w:tc>
          <w:tcPr>
            <w:tcW w:w="706" w:type="pct"/>
            <w:shd w:val="clear" w:color="auto" w:fill="auto"/>
            <w:vAlign w:val="center"/>
          </w:tcPr>
          <w:p w14:paraId="1B1EC2D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70</w:t>
            </w:r>
          </w:p>
        </w:tc>
        <w:tc>
          <w:tcPr>
            <w:tcW w:w="711" w:type="pct"/>
            <w:shd w:val="clear" w:color="auto" w:fill="auto"/>
            <w:vAlign w:val="center"/>
          </w:tcPr>
          <w:p w14:paraId="12F1003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color="auto"/>
                <w:lang w:val="en-US" w:eastAsia="zh-CN" w:bidi="ar"/>
              </w:rPr>
            </w:pPr>
            <w:r>
              <w:rPr>
                <w:rFonts w:hint="eastAsia" w:ascii="Times New Roman" w:hAnsi="Times New Roman" w:eastAsia="宋体" w:cs="Times New Roman"/>
                <w:i w:val="0"/>
                <w:iCs w:val="0"/>
                <w:color w:val="000000"/>
                <w:kern w:val="0"/>
                <w:sz w:val="21"/>
                <w:szCs w:val="21"/>
                <w:u w:val="none" w:color="auto"/>
                <w:lang w:val="en-US" w:eastAsia="zh-CN" w:bidi="ar"/>
              </w:rPr>
              <w:t>654</w:t>
            </w:r>
          </w:p>
        </w:tc>
      </w:tr>
      <w:tr w14:paraId="41A437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64" w:type="pct"/>
            <w:gridSpan w:val="2"/>
            <w:vAlign w:val="center"/>
          </w:tcPr>
          <w:p w14:paraId="0B88EC65">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kern w:val="0"/>
                <w:sz w:val="21"/>
                <w:szCs w:val="21"/>
                <w:u w:val="none" w:color="auto"/>
                <w:lang w:val="en-US" w:eastAsia="zh-CN" w:bidi="ar"/>
              </w:rPr>
              <w:t>最大值（本项目取值）</w:t>
            </w:r>
          </w:p>
        </w:tc>
        <w:tc>
          <w:tcPr>
            <w:tcW w:w="705" w:type="pct"/>
            <w:vAlign w:val="center"/>
          </w:tcPr>
          <w:p w14:paraId="1F6C22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2710</w:t>
            </w:r>
          </w:p>
        </w:tc>
        <w:tc>
          <w:tcPr>
            <w:tcW w:w="706" w:type="pct"/>
            <w:vAlign w:val="center"/>
          </w:tcPr>
          <w:p w14:paraId="00B58C1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949</w:t>
            </w:r>
          </w:p>
        </w:tc>
        <w:tc>
          <w:tcPr>
            <w:tcW w:w="706" w:type="pct"/>
            <w:vAlign w:val="center"/>
          </w:tcPr>
          <w:p w14:paraId="4554763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668</w:t>
            </w:r>
          </w:p>
        </w:tc>
        <w:tc>
          <w:tcPr>
            <w:tcW w:w="706" w:type="pct"/>
            <w:vAlign w:val="center"/>
          </w:tcPr>
          <w:p w14:paraId="086530E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189</w:t>
            </w:r>
          </w:p>
        </w:tc>
        <w:tc>
          <w:tcPr>
            <w:tcW w:w="711" w:type="pct"/>
            <w:vAlign w:val="center"/>
          </w:tcPr>
          <w:p w14:paraId="10379DA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654</w:t>
            </w:r>
          </w:p>
        </w:tc>
      </w:tr>
    </w:tbl>
    <w:p w14:paraId="0C2A5140">
      <w:pPr>
        <w:rPr>
          <w:rFonts w:hint="default" w:ascii="Times New Roman" w:hAnsi="Times New Roman" w:eastAsia="宋体" w:cs="Times New Roman"/>
          <w:u w:val="none" w:color="auto"/>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635FCCC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u w:val="none" w:color="auto"/>
          <w:lang w:val="en-US" w:eastAsia="zh-CN" w:bidi="ar-SA"/>
          <w14:textFill>
            <w14:solidFill>
              <w14:schemeClr w14:val="tx1"/>
            </w14:solidFill>
          </w14:textFill>
        </w:rPr>
        <w:t>本项目运营期水污染物产生及排放情况见下表。</w:t>
      </w:r>
    </w:p>
    <w:p w14:paraId="6E1E359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 xml:space="preserve">  项目水污染物产生及排放情况</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1108"/>
        <w:gridCol w:w="1332"/>
        <w:gridCol w:w="1253"/>
        <w:gridCol w:w="1140"/>
        <w:gridCol w:w="2126"/>
        <w:gridCol w:w="1247"/>
        <w:gridCol w:w="1253"/>
        <w:gridCol w:w="1106"/>
        <w:gridCol w:w="1607"/>
        <w:gridCol w:w="877"/>
      </w:tblGrid>
      <w:tr w14:paraId="561202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93" w:type="pct"/>
            <w:vMerge w:val="restart"/>
            <w:vAlign w:val="center"/>
          </w:tcPr>
          <w:p w14:paraId="17FA9C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种类</w:t>
            </w:r>
          </w:p>
        </w:tc>
        <w:tc>
          <w:tcPr>
            <w:tcW w:w="391" w:type="pct"/>
            <w:vMerge w:val="restart"/>
            <w:vAlign w:val="center"/>
          </w:tcPr>
          <w:p w14:paraId="046202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废水量（m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/a）</w:t>
            </w:r>
          </w:p>
        </w:tc>
        <w:tc>
          <w:tcPr>
            <w:tcW w:w="470" w:type="pct"/>
            <w:vMerge w:val="restart"/>
            <w:vAlign w:val="center"/>
          </w:tcPr>
          <w:p w14:paraId="3F0654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w:t>
            </w:r>
          </w:p>
          <w:p w14:paraId="70E732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844" w:type="pct"/>
            <w:gridSpan w:val="2"/>
            <w:vAlign w:val="center"/>
          </w:tcPr>
          <w:p w14:paraId="709264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污染物产生量</w:t>
            </w:r>
          </w:p>
        </w:tc>
        <w:tc>
          <w:tcPr>
            <w:tcW w:w="750" w:type="pct"/>
            <w:vMerge w:val="restart"/>
            <w:vAlign w:val="center"/>
          </w:tcPr>
          <w:p w14:paraId="3B2106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治理措施</w:t>
            </w:r>
          </w:p>
        </w:tc>
        <w:tc>
          <w:tcPr>
            <w:tcW w:w="440" w:type="pct"/>
            <w:vMerge w:val="restart"/>
            <w:vAlign w:val="center"/>
          </w:tcPr>
          <w:p w14:paraId="084525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去除率%</w:t>
            </w:r>
          </w:p>
        </w:tc>
        <w:tc>
          <w:tcPr>
            <w:tcW w:w="832" w:type="pct"/>
            <w:gridSpan w:val="2"/>
            <w:vAlign w:val="center"/>
          </w:tcPr>
          <w:p w14:paraId="0A45C1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污染物排放量</w:t>
            </w:r>
          </w:p>
        </w:tc>
        <w:tc>
          <w:tcPr>
            <w:tcW w:w="567" w:type="pct"/>
            <w:vMerge w:val="restart"/>
            <w:vAlign w:val="center"/>
          </w:tcPr>
          <w:p w14:paraId="311C7A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标准浓度限值（mg/L）</w:t>
            </w:r>
          </w:p>
        </w:tc>
        <w:tc>
          <w:tcPr>
            <w:tcW w:w="309" w:type="pct"/>
            <w:vMerge w:val="restart"/>
            <w:vAlign w:val="center"/>
          </w:tcPr>
          <w:p w14:paraId="2C9473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排放去向</w:t>
            </w:r>
          </w:p>
        </w:tc>
      </w:tr>
      <w:tr w14:paraId="0A2268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93" w:type="pct"/>
            <w:vMerge w:val="continue"/>
            <w:vAlign w:val="center"/>
          </w:tcPr>
          <w:p w14:paraId="0BF59F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91" w:type="pct"/>
            <w:vMerge w:val="continue"/>
            <w:vAlign w:val="center"/>
          </w:tcPr>
          <w:p w14:paraId="6907AA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0" w:type="pct"/>
            <w:vMerge w:val="continue"/>
            <w:vAlign w:val="center"/>
          </w:tcPr>
          <w:p w14:paraId="662187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42" w:type="pct"/>
            <w:vAlign w:val="center"/>
          </w:tcPr>
          <w:p w14:paraId="2F65FD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浓度（mg/L）</w:t>
            </w:r>
          </w:p>
        </w:tc>
        <w:tc>
          <w:tcPr>
            <w:tcW w:w="402" w:type="pct"/>
            <w:vAlign w:val="center"/>
          </w:tcPr>
          <w:p w14:paraId="76BDFD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产生量（t/a）</w:t>
            </w:r>
          </w:p>
        </w:tc>
        <w:tc>
          <w:tcPr>
            <w:tcW w:w="750" w:type="pct"/>
            <w:vMerge w:val="continue"/>
            <w:vAlign w:val="center"/>
          </w:tcPr>
          <w:p w14:paraId="71C105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40" w:type="pct"/>
            <w:vMerge w:val="continue"/>
            <w:vAlign w:val="center"/>
          </w:tcPr>
          <w:p w14:paraId="14ED1C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p>
        </w:tc>
        <w:tc>
          <w:tcPr>
            <w:tcW w:w="442" w:type="pct"/>
            <w:vAlign w:val="center"/>
          </w:tcPr>
          <w:p w14:paraId="67635A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浓度（mg/L）</w:t>
            </w:r>
          </w:p>
        </w:tc>
        <w:tc>
          <w:tcPr>
            <w:tcW w:w="390" w:type="pct"/>
            <w:vAlign w:val="center"/>
          </w:tcPr>
          <w:p w14:paraId="69924C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排放量（t/a）</w:t>
            </w:r>
          </w:p>
        </w:tc>
        <w:tc>
          <w:tcPr>
            <w:tcW w:w="567" w:type="pct"/>
            <w:vMerge w:val="continue"/>
            <w:vAlign w:val="center"/>
          </w:tcPr>
          <w:p w14:paraId="2C8685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09" w:type="pct"/>
            <w:vMerge w:val="continue"/>
            <w:vAlign w:val="center"/>
          </w:tcPr>
          <w:p w14:paraId="3FAA7A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61655B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restart"/>
            <w:vAlign w:val="center"/>
          </w:tcPr>
          <w:p w14:paraId="4A3A783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生活污水</w:t>
            </w:r>
          </w:p>
        </w:tc>
        <w:tc>
          <w:tcPr>
            <w:tcW w:w="1108" w:type="dxa"/>
            <w:vMerge w:val="restart"/>
            <w:vAlign w:val="center"/>
          </w:tcPr>
          <w:p w14:paraId="40235F6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696</w:t>
            </w:r>
          </w:p>
        </w:tc>
        <w:tc>
          <w:tcPr>
            <w:tcW w:w="1332" w:type="dxa"/>
            <w:vAlign w:val="center"/>
          </w:tcPr>
          <w:p w14:paraId="280ECDF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COD</w:t>
            </w:r>
            <w:r>
              <w:rPr>
                <w:rFonts w:hint="default" w:ascii="Times New Roman" w:hAnsi="Times New Roman" w:eastAsia="宋体" w:cs="Times New Roman"/>
                <w:i w:val="0"/>
                <w:iCs w:val="0"/>
                <w:color w:val="000000" w:themeColor="text1"/>
                <w:kern w:val="0"/>
                <w:sz w:val="21"/>
                <w:szCs w:val="21"/>
                <w:u w:val="none" w:color="auto"/>
                <w:vertAlign w:val="subscript"/>
                <w:lang w:val="en-US" w:eastAsia="zh-CN" w:bidi="ar"/>
                <w14:textFill>
                  <w14:solidFill>
                    <w14:schemeClr w14:val="tx1"/>
                  </w14:solidFill>
                </w14:textFill>
              </w:rPr>
              <w:t>Cr</w:t>
            </w:r>
          </w:p>
        </w:tc>
        <w:tc>
          <w:tcPr>
            <w:tcW w:w="1253" w:type="dxa"/>
            <w:vAlign w:val="center"/>
          </w:tcPr>
          <w:p w14:paraId="5AFFC89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250</w:t>
            </w:r>
          </w:p>
        </w:tc>
        <w:tc>
          <w:tcPr>
            <w:tcW w:w="1140" w:type="dxa"/>
            <w:vAlign w:val="center"/>
          </w:tcPr>
          <w:p w14:paraId="21BEC5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0.1740</w:t>
            </w:r>
          </w:p>
        </w:tc>
        <w:tc>
          <w:tcPr>
            <w:tcW w:w="2126" w:type="dxa"/>
            <w:vMerge w:val="restart"/>
            <w:vAlign w:val="center"/>
          </w:tcPr>
          <w:p w14:paraId="2EB678B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化粪池处理后进入平江高新平江高新区污水处理厂</w:t>
            </w:r>
          </w:p>
        </w:tc>
        <w:tc>
          <w:tcPr>
            <w:tcW w:w="1247" w:type="dxa"/>
            <w:vAlign w:val="center"/>
          </w:tcPr>
          <w:p w14:paraId="15BE934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vAlign w:val="center"/>
          </w:tcPr>
          <w:p w14:paraId="49157DA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200</w:t>
            </w:r>
          </w:p>
        </w:tc>
        <w:tc>
          <w:tcPr>
            <w:tcW w:w="1106" w:type="dxa"/>
            <w:vAlign w:val="center"/>
          </w:tcPr>
          <w:p w14:paraId="58820E7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0.1392</w:t>
            </w:r>
          </w:p>
        </w:tc>
        <w:tc>
          <w:tcPr>
            <w:tcW w:w="1607" w:type="dxa"/>
            <w:shd w:val="clear" w:color="auto" w:fill="auto"/>
            <w:vAlign w:val="center"/>
          </w:tcPr>
          <w:p w14:paraId="1071B7C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500</w:t>
            </w:r>
          </w:p>
        </w:tc>
        <w:tc>
          <w:tcPr>
            <w:tcW w:w="309" w:type="pct"/>
            <w:vMerge w:val="restart"/>
            <w:vAlign w:val="center"/>
          </w:tcPr>
          <w:p w14:paraId="75A54C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p>
        </w:tc>
      </w:tr>
      <w:tr w14:paraId="262EB0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continue"/>
            <w:vAlign w:val="center"/>
          </w:tcPr>
          <w:p w14:paraId="086EB111">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08" w:type="dxa"/>
            <w:vMerge w:val="continue"/>
            <w:vAlign w:val="center"/>
          </w:tcPr>
          <w:p w14:paraId="7FDEA06D">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2" w:type="dxa"/>
            <w:shd w:val="clear" w:color="auto" w:fill="auto"/>
            <w:vAlign w:val="center"/>
          </w:tcPr>
          <w:p w14:paraId="659B679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BOD</w:t>
            </w:r>
            <w:r>
              <w:rPr>
                <w:rFonts w:hint="default" w:ascii="Times New Roman" w:hAnsi="Times New Roman" w:eastAsia="宋体" w:cs="Times New Roman"/>
                <w:i w:val="0"/>
                <w:iCs w:val="0"/>
                <w:color w:val="000000" w:themeColor="text1"/>
                <w:kern w:val="0"/>
                <w:sz w:val="21"/>
                <w:szCs w:val="21"/>
                <w:u w:val="none" w:color="auto"/>
                <w:vertAlign w:val="subscript"/>
                <w:lang w:val="en-US" w:eastAsia="zh-CN" w:bidi="ar"/>
                <w14:textFill>
                  <w14:solidFill>
                    <w14:schemeClr w14:val="tx1"/>
                  </w14:solidFill>
                </w14:textFill>
              </w:rPr>
              <w:t>5</w:t>
            </w:r>
          </w:p>
        </w:tc>
        <w:tc>
          <w:tcPr>
            <w:tcW w:w="1253" w:type="dxa"/>
            <w:shd w:val="clear" w:color="auto" w:fill="auto"/>
            <w:vAlign w:val="center"/>
          </w:tcPr>
          <w:p w14:paraId="49354D86">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100</w:t>
            </w:r>
          </w:p>
        </w:tc>
        <w:tc>
          <w:tcPr>
            <w:tcW w:w="1140" w:type="dxa"/>
            <w:shd w:val="clear" w:color="auto" w:fill="auto"/>
            <w:vAlign w:val="center"/>
          </w:tcPr>
          <w:p w14:paraId="0B6AD79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0.0696</w:t>
            </w:r>
          </w:p>
        </w:tc>
        <w:tc>
          <w:tcPr>
            <w:tcW w:w="2126" w:type="dxa"/>
            <w:vMerge w:val="continue"/>
            <w:shd w:val="clear" w:color="auto" w:fill="auto"/>
            <w:vAlign w:val="center"/>
          </w:tcPr>
          <w:p w14:paraId="1596F381">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p>
        </w:tc>
        <w:tc>
          <w:tcPr>
            <w:tcW w:w="1247" w:type="dxa"/>
            <w:shd w:val="clear" w:color="auto" w:fill="auto"/>
            <w:vAlign w:val="center"/>
          </w:tcPr>
          <w:p w14:paraId="7F8C30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shd w:val="clear" w:color="auto" w:fill="auto"/>
            <w:vAlign w:val="center"/>
          </w:tcPr>
          <w:p w14:paraId="12F3CE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80</w:t>
            </w:r>
          </w:p>
        </w:tc>
        <w:tc>
          <w:tcPr>
            <w:tcW w:w="1106" w:type="dxa"/>
            <w:shd w:val="clear" w:color="auto" w:fill="auto"/>
            <w:vAlign w:val="center"/>
          </w:tcPr>
          <w:p w14:paraId="582433E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0.0557</w:t>
            </w:r>
          </w:p>
        </w:tc>
        <w:tc>
          <w:tcPr>
            <w:tcW w:w="1607" w:type="dxa"/>
            <w:shd w:val="clear" w:color="auto" w:fill="auto"/>
            <w:vAlign w:val="center"/>
          </w:tcPr>
          <w:p w14:paraId="12C0686D">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160</w:t>
            </w:r>
          </w:p>
        </w:tc>
        <w:tc>
          <w:tcPr>
            <w:tcW w:w="309" w:type="pct"/>
            <w:vMerge w:val="continue"/>
            <w:vAlign w:val="center"/>
          </w:tcPr>
          <w:p w14:paraId="231F9A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A4E4A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continue"/>
            <w:vAlign w:val="center"/>
          </w:tcPr>
          <w:p w14:paraId="372CA06A">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08" w:type="dxa"/>
            <w:vMerge w:val="continue"/>
            <w:vAlign w:val="center"/>
          </w:tcPr>
          <w:p w14:paraId="198B8815">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2" w:type="dxa"/>
            <w:vAlign w:val="center"/>
          </w:tcPr>
          <w:p w14:paraId="18F05C3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SS</w:t>
            </w:r>
          </w:p>
        </w:tc>
        <w:tc>
          <w:tcPr>
            <w:tcW w:w="1253" w:type="dxa"/>
            <w:vAlign w:val="center"/>
          </w:tcPr>
          <w:p w14:paraId="580F0BA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300</w:t>
            </w:r>
          </w:p>
        </w:tc>
        <w:tc>
          <w:tcPr>
            <w:tcW w:w="1140" w:type="dxa"/>
            <w:vAlign w:val="center"/>
          </w:tcPr>
          <w:p w14:paraId="543F567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0.2088</w:t>
            </w:r>
          </w:p>
        </w:tc>
        <w:tc>
          <w:tcPr>
            <w:tcW w:w="2126" w:type="dxa"/>
            <w:vMerge w:val="continue"/>
            <w:vAlign w:val="center"/>
          </w:tcPr>
          <w:p w14:paraId="1CE60288">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247" w:type="dxa"/>
            <w:vAlign w:val="center"/>
          </w:tcPr>
          <w:p w14:paraId="1AA68F9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vAlign w:val="center"/>
          </w:tcPr>
          <w:p w14:paraId="5F8CAB2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180</w:t>
            </w:r>
          </w:p>
        </w:tc>
        <w:tc>
          <w:tcPr>
            <w:tcW w:w="1106" w:type="dxa"/>
            <w:vAlign w:val="center"/>
          </w:tcPr>
          <w:p w14:paraId="328E0BC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0.1253</w:t>
            </w:r>
          </w:p>
        </w:tc>
        <w:tc>
          <w:tcPr>
            <w:tcW w:w="1607" w:type="dxa"/>
            <w:shd w:val="clear" w:color="auto" w:fill="auto"/>
            <w:vAlign w:val="center"/>
          </w:tcPr>
          <w:p w14:paraId="0E675FC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200</w:t>
            </w:r>
          </w:p>
        </w:tc>
        <w:tc>
          <w:tcPr>
            <w:tcW w:w="309" w:type="pct"/>
            <w:vMerge w:val="continue"/>
            <w:vAlign w:val="center"/>
          </w:tcPr>
          <w:p w14:paraId="2ED271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F421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continue"/>
            <w:vAlign w:val="center"/>
          </w:tcPr>
          <w:p w14:paraId="089E7C23">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08" w:type="dxa"/>
            <w:vMerge w:val="continue"/>
            <w:vAlign w:val="center"/>
          </w:tcPr>
          <w:p w14:paraId="430D0A1B">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2" w:type="dxa"/>
            <w:shd w:val="clear" w:color="auto" w:fill="auto"/>
            <w:vAlign w:val="center"/>
          </w:tcPr>
          <w:p w14:paraId="66497AE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氨氮</w:t>
            </w:r>
          </w:p>
        </w:tc>
        <w:tc>
          <w:tcPr>
            <w:tcW w:w="1253" w:type="dxa"/>
            <w:shd w:val="clear" w:color="auto" w:fill="auto"/>
            <w:vAlign w:val="center"/>
          </w:tcPr>
          <w:p w14:paraId="2BFD12F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35</w:t>
            </w:r>
          </w:p>
        </w:tc>
        <w:tc>
          <w:tcPr>
            <w:tcW w:w="1140" w:type="dxa"/>
            <w:shd w:val="clear" w:color="auto" w:fill="auto"/>
            <w:vAlign w:val="center"/>
          </w:tcPr>
          <w:p w14:paraId="26CD4AC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0.0244</w:t>
            </w:r>
          </w:p>
        </w:tc>
        <w:tc>
          <w:tcPr>
            <w:tcW w:w="2126" w:type="dxa"/>
            <w:vMerge w:val="continue"/>
            <w:shd w:val="clear" w:color="auto" w:fill="auto"/>
            <w:vAlign w:val="center"/>
          </w:tcPr>
          <w:p w14:paraId="2CBB4F60">
            <w:pPr>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p>
        </w:tc>
        <w:tc>
          <w:tcPr>
            <w:tcW w:w="1247" w:type="dxa"/>
            <w:shd w:val="clear" w:color="auto" w:fill="auto"/>
            <w:vAlign w:val="center"/>
          </w:tcPr>
          <w:p w14:paraId="1B0B55D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shd w:val="clear" w:color="auto" w:fill="auto"/>
            <w:vAlign w:val="center"/>
          </w:tcPr>
          <w:p w14:paraId="53F8039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30</w:t>
            </w:r>
          </w:p>
        </w:tc>
        <w:tc>
          <w:tcPr>
            <w:tcW w:w="1106" w:type="dxa"/>
            <w:shd w:val="clear" w:color="auto" w:fill="auto"/>
            <w:vAlign w:val="center"/>
          </w:tcPr>
          <w:p w14:paraId="6CAE8D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0.0209</w:t>
            </w:r>
          </w:p>
        </w:tc>
        <w:tc>
          <w:tcPr>
            <w:tcW w:w="1607" w:type="dxa"/>
            <w:shd w:val="clear" w:color="auto" w:fill="auto"/>
            <w:vAlign w:val="center"/>
          </w:tcPr>
          <w:p w14:paraId="7F6BB31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45</w:t>
            </w:r>
          </w:p>
        </w:tc>
        <w:tc>
          <w:tcPr>
            <w:tcW w:w="309" w:type="pct"/>
            <w:vMerge w:val="continue"/>
            <w:vAlign w:val="center"/>
          </w:tcPr>
          <w:p w14:paraId="61C28A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649CB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continue"/>
            <w:vAlign w:val="center"/>
          </w:tcPr>
          <w:p w14:paraId="25951888">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08" w:type="dxa"/>
            <w:vMerge w:val="continue"/>
            <w:vAlign w:val="center"/>
          </w:tcPr>
          <w:p w14:paraId="63DAEADA">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2" w:type="dxa"/>
            <w:vAlign w:val="center"/>
          </w:tcPr>
          <w:p w14:paraId="6070980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动植物油</w:t>
            </w:r>
          </w:p>
        </w:tc>
        <w:tc>
          <w:tcPr>
            <w:tcW w:w="1253" w:type="dxa"/>
            <w:vAlign w:val="center"/>
          </w:tcPr>
          <w:p w14:paraId="5A85B89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15</w:t>
            </w:r>
          </w:p>
        </w:tc>
        <w:tc>
          <w:tcPr>
            <w:tcW w:w="1140" w:type="dxa"/>
            <w:vAlign w:val="center"/>
          </w:tcPr>
          <w:p w14:paraId="57071D1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0.0104</w:t>
            </w:r>
          </w:p>
        </w:tc>
        <w:tc>
          <w:tcPr>
            <w:tcW w:w="2126" w:type="dxa"/>
            <w:vMerge w:val="continue"/>
            <w:vAlign w:val="center"/>
          </w:tcPr>
          <w:p w14:paraId="46F504CE">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247" w:type="dxa"/>
            <w:vAlign w:val="center"/>
          </w:tcPr>
          <w:p w14:paraId="4870C67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vAlign w:val="center"/>
          </w:tcPr>
          <w:p w14:paraId="0C7EE81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15</w:t>
            </w:r>
          </w:p>
        </w:tc>
        <w:tc>
          <w:tcPr>
            <w:tcW w:w="1106" w:type="dxa"/>
            <w:vAlign w:val="center"/>
          </w:tcPr>
          <w:p w14:paraId="7B9AEB2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0.0104</w:t>
            </w:r>
          </w:p>
        </w:tc>
        <w:tc>
          <w:tcPr>
            <w:tcW w:w="1607" w:type="dxa"/>
            <w:shd w:val="clear" w:color="auto" w:fill="auto"/>
            <w:vAlign w:val="center"/>
          </w:tcPr>
          <w:p w14:paraId="013D5DB1">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100</w:t>
            </w:r>
          </w:p>
        </w:tc>
        <w:tc>
          <w:tcPr>
            <w:tcW w:w="309" w:type="pct"/>
            <w:vMerge w:val="continue"/>
            <w:vAlign w:val="center"/>
          </w:tcPr>
          <w:p w14:paraId="2A400D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36E831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restart"/>
            <w:vAlign w:val="center"/>
          </w:tcPr>
          <w:p w14:paraId="4CE2A04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生产废水</w:t>
            </w:r>
          </w:p>
        </w:tc>
        <w:tc>
          <w:tcPr>
            <w:tcW w:w="1108" w:type="dxa"/>
            <w:vMerge w:val="restart"/>
            <w:vAlign w:val="center"/>
          </w:tcPr>
          <w:p w14:paraId="3F9B7F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317</w:t>
            </w:r>
          </w:p>
        </w:tc>
        <w:tc>
          <w:tcPr>
            <w:tcW w:w="1332" w:type="dxa"/>
            <w:shd w:val="clear" w:color="auto" w:fill="auto"/>
            <w:vAlign w:val="center"/>
          </w:tcPr>
          <w:p w14:paraId="441239D6">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COD</w:t>
            </w:r>
            <w:r>
              <w:rPr>
                <w:rFonts w:hint="default" w:ascii="Times New Roman" w:hAnsi="Times New Roman" w:eastAsia="宋体" w:cs="Times New Roman"/>
                <w:i w:val="0"/>
                <w:iCs w:val="0"/>
                <w:color w:val="000000" w:themeColor="text1"/>
                <w:kern w:val="0"/>
                <w:sz w:val="21"/>
                <w:szCs w:val="21"/>
                <w:u w:val="none" w:color="auto"/>
                <w:vertAlign w:val="subscript"/>
                <w:lang w:val="en-US" w:eastAsia="zh-CN" w:bidi="ar"/>
                <w14:textFill>
                  <w14:solidFill>
                    <w14:schemeClr w14:val="tx1"/>
                  </w14:solidFill>
                </w14:textFill>
              </w:rPr>
              <w:t>Cr</w:t>
            </w:r>
          </w:p>
        </w:tc>
        <w:tc>
          <w:tcPr>
            <w:tcW w:w="1253" w:type="dxa"/>
            <w:vAlign w:val="center"/>
          </w:tcPr>
          <w:p w14:paraId="4DB19B9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2710</w:t>
            </w:r>
          </w:p>
        </w:tc>
        <w:tc>
          <w:tcPr>
            <w:tcW w:w="1140" w:type="dxa"/>
            <w:vAlign w:val="center"/>
          </w:tcPr>
          <w:p w14:paraId="26C2BBA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0.8591</w:t>
            </w:r>
          </w:p>
        </w:tc>
        <w:tc>
          <w:tcPr>
            <w:tcW w:w="2126" w:type="dxa"/>
            <w:vMerge w:val="restart"/>
            <w:vAlign w:val="center"/>
          </w:tcPr>
          <w:p w14:paraId="037B67D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隔油池+A/O预处理后进入平江高新平江高新区污水处理厂</w:t>
            </w:r>
          </w:p>
        </w:tc>
        <w:tc>
          <w:tcPr>
            <w:tcW w:w="1247" w:type="dxa"/>
            <w:vAlign w:val="center"/>
          </w:tcPr>
          <w:p w14:paraId="543A36A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vAlign w:val="center"/>
          </w:tcPr>
          <w:p w14:paraId="5F9C7C2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292</w:t>
            </w:r>
          </w:p>
        </w:tc>
        <w:tc>
          <w:tcPr>
            <w:tcW w:w="1106" w:type="dxa"/>
            <w:vAlign w:val="center"/>
          </w:tcPr>
          <w:p w14:paraId="0299D9D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0.0926</w:t>
            </w:r>
          </w:p>
        </w:tc>
        <w:tc>
          <w:tcPr>
            <w:tcW w:w="1607" w:type="dxa"/>
            <w:shd w:val="clear" w:color="auto" w:fill="auto"/>
            <w:vAlign w:val="center"/>
          </w:tcPr>
          <w:p w14:paraId="5633BBC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500</w:t>
            </w:r>
          </w:p>
        </w:tc>
        <w:tc>
          <w:tcPr>
            <w:tcW w:w="309" w:type="pct"/>
            <w:vMerge w:val="continue"/>
            <w:vAlign w:val="center"/>
          </w:tcPr>
          <w:p w14:paraId="7C6B3D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48CD7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continue"/>
            <w:vAlign w:val="center"/>
          </w:tcPr>
          <w:p w14:paraId="72BAAFE3">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08" w:type="dxa"/>
            <w:vMerge w:val="continue"/>
            <w:vAlign w:val="center"/>
          </w:tcPr>
          <w:p w14:paraId="337A6946">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2" w:type="dxa"/>
            <w:shd w:val="clear" w:color="auto" w:fill="auto"/>
            <w:vAlign w:val="center"/>
          </w:tcPr>
          <w:p w14:paraId="470038C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BOD</w:t>
            </w:r>
            <w:r>
              <w:rPr>
                <w:rFonts w:hint="default" w:ascii="Times New Roman" w:hAnsi="Times New Roman" w:eastAsia="宋体" w:cs="Times New Roman"/>
                <w:i w:val="0"/>
                <w:iCs w:val="0"/>
                <w:color w:val="000000" w:themeColor="text1"/>
                <w:kern w:val="0"/>
                <w:sz w:val="21"/>
                <w:szCs w:val="21"/>
                <w:u w:val="none" w:color="auto"/>
                <w:vertAlign w:val="subscript"/>
                <w:lang w:val="en-US" w:eastAsia="zh-CN" w:bidi="ar"/>
                <w14:textFill>
                  <w14:solidFill>
                    <w14:schemeClr w14:val="tx1"/>
                  </w14:solidFill>
                </w14:textFill>
              </w:rPr>
              <w:t>5</w:t>
            </w:r>
          </w:p>
        </w:tc>
        <w:tc>
          <w:tcPr>
            <w:tcW w:w="1253" w:type="dxa"/>
            <w:vAlign w:val="center"/>
          </w:tcPr>
          <w:p w14:paraId="4A14D19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949</w:t>
            </w:r>
          </w:p>
        </w:tc>
        <w:tc>
          <w:tcPr>
            <w:tcW w:w="1140" w:type="dxa"/>
            <w:vAlign w:val="center"/>
          </w:tcPr>
          <w:p w14:paraId="7EC5114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0.3008</w:t>
            </w:r>
          </w:p>
        </w:tc>
        <w:tc>
          <w:tcPr>
            <w:tcW w:w="2126" w:type="dxa"/>
            <w:vMerge w:val="continue"/>
            <w:vAlign w:val="center"/>
          </w:tcPr>
          <w:p w14:paraId="14408EBC">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247" w:type="dxa"/>
            <w:vAlign w:val="center"/>
          </w:tcPr>
          <w:p w14:paraId="001D787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vAlign w:val="center"/>
          </w:tcPr>
          <w:p w14:paraId="7498053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47</w:t>
            </w:r>
          </w:p>
        </w:tc>
        <w:tc>
          <w:tcPr>
            <w:tcW w:w="1106" w:type="dxa"/>
            <w:vAlign w:val="center"/>
          </w:tcPr>
          <w:p w14:paraId="42A0B10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0.0150</w:t>
            </w:r>
          </w:p>
        </w:tc>
        <w:tc>
          <w:tcPr>
            <w:tcW w:w="1607" w:type="dxa"/>
            <w:shd w:val="clear" w:color="auto" w:fill="auto"/>
            <w:vAlign w:val="center"/>
          </w:tcPr>
          <w:p w14:paraId="71308E6C">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160</w:t>
            </w:r>
          </w:p>
        </w:tc>
        <w:tc>
          <w:tcPr>
            <w:tcW w:w="309" w:type="pct"/>
            <w:vMerge w:val="continue"/>
            <w:vAlign w:val="center"/>
          </w:tcPr>
          <w:p w14:paraId="26C618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BA86E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continue"/>
            <w:vAlign w:val="center"/>
          </w:tcPr>
          <w:p w14:paraId="68A2F8DA">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08" w:type="dxa"/>
            <w:vMerge w:val="continue"/>
            <w:vAlign w:val="center"/>
          </w:tcPr>
          <w:p w14:paraId="2A90686E">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2" w:type="dxa"/>
            <w:shd w:val="clear" w:color="auto" w:fill="auto"/>
            <w:vAlign w:val="center"/>
          </w:tcPr>
          <w:p w14:paraId="7B27F76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SS</w:t>
            </w:r>
          </w:p>
        </w:tc>
        <w:tc>
          <w:tcPr>
            <w:tcW w:w="1253" w:type="dxa"/>
            <w:vAlign w:val="center"/>
          </w:tcPr>
          <w:p w14:paraId="4D822EB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668</w:t>
            </w:r>
          </w:p>
        </w:tc>
        <w:tc>
          <w:tcPr>
            <w:tcW w:w="1140" w:type="dxa"/>
            <w:vAlign w:val="center"/>
          </w:tcPr>
          <w:p w14:paraId="5507888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0.2118</w:t>
            </w:r>
          </w:p>
        </w:tc>
        <w:tc>
          <w:tcPr>
            <w:tcW w:w="2126" w:type="dxa"/>
            <w:vMerge w:val="continue"/>
            <w:vAlign w:val="center"/>
          </w:tcPr>
          <w:p w14:paraId="29122BCA">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247" w:type="dxa"/>
            <w:vAlign w:val="center"/>
          </w:tcPr>
          <w:p w14:paraId="0DE153A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vAlign w:val="center"/>
          </w:tcPr>
          <w:p w14:paraId="3E90F45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67</w:t>
            </w:r>
          </w:p>
        </w:tc>
        <w:tc>
          <w:tcPr>
            <w:tcW w:w="1106" w:type="dxa"/>
            <w:vAlign w:val="center"/>
          </w:tcPr>
          <w:p w14:paraId="51370B4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0.0212</w:t>
            </w:r>
          </w:p>
        </w:tc>
        <w:tc>
          <w:tcPr>
            <w:tcW w:w="1607" w:type="dxa"/>
            <w:shd w:val="clear" w:color="auto" w:fill="auto"/>
            <w:vAlign w:val="center"/>
          </w:tcPr>
          <w:p w14:paraId="45CA094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200</w:t>
            </w:r>
          </w:p>
        </w:tc>
        <w:tc>
          <w:tcPr>
            <w:tcW w:w="309" w:type="pct"/>
            <w:vMerge w:val="continue"/>
            <w:vAlign w:val="center"/>
          </w:tcPr>
          <w:p w14:paraId="686130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56E07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continue"/>
            <w:vAlign w:val="center"/>
          </w:tcPr>
          <w:p w14:paraId="70EEC539">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08" w:type="dxa"/>
            <w:vMerge w:val="continue"/>
            <w:vAlign w:val="center"/>
          </w:tcPr>
          <w:p w14:paraId="6F2461E9">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2" w:type="dxa"/>
            <w:shd w:val="clear" w:color="auto" w:fill="auto"/>
            <w:vAlign w:val="center"/>
          </w:tcPr>
          <w:p w14:paraId="59E7319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氨氮</w:t>
            </w:r>
          </w:p>
        </w:tc>
        <w:tc>
          <w:tcPr>
            <w:tcW w:w="1253" w:type="dxa"/>
            <w:vAlign w:val="center"/>
          </w:tcPr>
          <w:p w14:paraId="416180E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189</w:t>
            </w:r>
          </w:p>
        </w:tc>
        <w:tc>
          <w:tcPr>
            <w:tcW w:w="1140" w:type="dxa"/>
            <w:vAlign w:val="center"/>
          </w:tcPr>
          <w:p w14:paraId="39B7D05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0.0599</w:t>
            </w:r>
          </w:p>
        </w:tc>
        <w:tc>
          <w:tcPr>
            <w:tcW w:w="2126" w:type="dxa"/>
            <w:vMerge w:val="continue"/>
            <w:vAlign w:val="center"/>
          </w:tcPr>
          <w:p w14:paraId="5D3D2CF9">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247" w:type="dxa"/>
            <w:vAlign w:val="center"/>
          </w:tcPr>
          <w:p w14:paraId="3DE9BA6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vAlign w:val="center"/>
          </w:tcPr>
          <w:p w14:paraId="78FB2DD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19</w:t>
            </w:r>
          </w:p>
        </w:tc>
        <w:tc>
          <w:tcPr>
            <w:tcW w:w="1106" w:type="dxa"/>
            <w:vAlign w:val="center"/>
          </w:tcPr>
          <w:p w14:paraId="7E5A5D6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0.0060</w:t>
            </w:r>
          </w:p>
        </w:tc>
        <w:tc>
          <w:tcPr>
            <w:tcW w:w="1607" w:type="dxa"/>
            <w:shd w:val="clear" w:color="auto" w:fill="auto"/>
            <w:vAlign w:val="center"/>
          </w:tcPr>
          <w:p w14:paraId="583409D7">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45</w:t>
            </w:r>
          </w:p>
        </w:tc>
        <w:tc>
          <w:tcPr>
            <w:tcW w:w="309" w:type="pct"/>
            <w:vMerge w:val="continue"/>
            <w:vAlign w:val="center"/>
          </w:tcPr>
          <w:p w14:paraId="375550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69BE1B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4" w:type="dxa"/>
            <w:vMerge w:val="continue"/>
            <w:vAlign w:val="center"/>
          </w:tcPr>
          <w:p w14:paraId="35297366">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08" w:type="dxa"/>
            <w:vMerge w:val="continue"/>
            <w:vAlign w:val="center"/>
          </w:tcPr>
          <w:p w14:paraId="6383CB77">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332" w:type="dxa"/>
            <w:shd w:val="clear" w:color="auto" w:fill="auto"/>
            <w:vAlign w:val="center"/>
          </w:tcPr>
          <w:p w14:paraId="610612DE">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动植物油</w:t>
            </w:r>
          </w:p>
        </w:tc>
        <w:tc>
          <w:tcPr>
            <w:tcW w:w="1253" w:type="dxa"/>
            <w:vAlign w:val="center"/>
          </w:tcPr>
          <w:p w14:paraId="29E3991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654</w:t>
            </w:r>
          </w:p>
        </w:tc>
        <w:tc>
          <w:tcPr>
            <w:tcW w:w="1140" w:type="dxa"/>
            <w:vAlign w:val="center"/>
          </w:tcPr>
          <w:p w14:paraId="16CA657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0.2073</w:t>
            </w:r>
          </w:p>
        </w:tc>
        <w:tc>
          <w:tcPr>
            <w:tcW w:w="2126" w:type="dxa"/>
            <w:vMerge w:val="continue"/>
            <w:vAlign w:val="center"/>
          </w:tcPr>
          <w:p w14:paraId="3394D941">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247" w:type="dxa"/>
            <w:vAlign w:val="center"/>
          </w:tcPr>
          <w:p w14:paraId="67F3880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1253" w:type="dxa"/>
            <w:vAlign w:val="center"/>
          </w:tcPr>
          <w:p w14:paraId="56D8AE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33</w:t>
            </w:r>
          </w:p>
        </w:tc>
        <w:tc>
          <w:tcPr>
            <w:tcW w:w="1106" w:type="dxa"/>
            <w:vAlign w:val="center"/>
          </w:tcPr>
          <w:p w14:paraId="1AAB566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0.0104</w:t>
            </w:r>
          </w:p>
        </w:tc>
        <w:tc>
          <w:tcPr>
            <w:tcW w:w="1607" w:type="dxa"/>
            <w:shd w:val="clear" w:color="auto" w:fill="auto"/>
            <w:vAlign w:val="center"/>
          </w:tcPr>
          <w:p w14:paraId="53DFA74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100</w:t>
            </w:r>
          </w:p>
        </w:tc>
        <w:tc>
          <w:tcPr>
            <w:tcW w:w="309" w:type="pct"/>
            <w:vMerge w:val="continue"/>
            <w:vAlign w:val="center"/>
          </w:tcPr>
          <w:p w14:paraId="4070C1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bl>
    <w:p w14:paraId="6F808F8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1912DA2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64" w:name="_Toc31329"/>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4.3 噪声污染源强</w:t>
      </w:r>
      <w:bookmarkEnd w:id="164"/>
    </w:p>
    <w:p w14:paraId="034739D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本项目噪声主要</w:t>
      </w:r>
      <w:r>
        <w:rPr>
          <w:rFonts w:hint="default" w:ascii="Times New Roman" w:hAnsi="Times New Roman" w:eastAsia="宋体" w:cs="Times New Roman"/>
          <w:color w:val="000000" w:themeColor="text1"/>
          <w:u w:val="none" w:color="auto"/>
          <w:lang w:eastAsia="zh-CN"/>
          <w14:textFill>
            <w14:solidFill>
              <w14:schemeClr w14:val="tx1"/>
            </w14:solidFill>
          </w14:textFill>
        </w:rPr>
        <w:t>来自</w:t>
      </w:r>
      <w:r>
        <w:rPr>
          <w:rFonts w:hint="default" w:ascii="Times New Roman" w:hAnsi="Times New Roman" w:eastAsia="宋体" w:cs="Times New Roman"/>
          <w:color w:val="000000" w:themeColor="text1"/>
          <w:u w:val="none" w:color="auto"/>
          <w14:textFill>
            <w14:solidFill>
              <w14:schemeClr w14:val="tx1"/>
            </w14:solidFill>
          </w14:textFill>
        </w:rPr>
        <w:t>机械设备、风机、离心机等运行时产生的设备噪声，其源强在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r>
        <w:rPr>
          <w:rFonts w:hint="default" w:ascii="Times New Roman" w:hAnsi="Times New Roman" w:eastAsia="宋体" w:cs="Times New Roman"/>
          <w:color w:val="000000" w:themeColor="text1"/>
          <w:u w:val="none" w:color="auto"/>
          <w14:textFill>
            <w14:solidFill>
              <w14:schemeClr w14:val="tx1"/>
            </w14:solidFill>
          </w14:textFill>
        </w:rPr>
        <w:t>~9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0 </w:t>
      </w:r>
      <w:r>
        <w:rPr>
          <w:rFonts w:hint="default" w:ascii="Times New Roman" w:hAnsi="Times New Roman" w:eastAsia="宋体" w:cs="Times New Roman"/>
          <w:color w:val="000000" w:themeColor="text1"/>
          <w:u w:val="none" w:color="auto"/>
          <w14:textFill>
            <w14:solidFill>
              <w14:schemeClr w14:val="tx1"/>
            </w14:solidFill>
          </w14:textFill>
        </w:rPr>
        <w:t>dB（A）。本项目噪声源情况及防治措施见下表所示。</w:t>
      </w:r>
    </w:p>
    <w:p w14:paraId="5E82F81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 xml:space="preserve">  本项目主要噪声源（室内声源）</w:t>
      </w:r>
    </w:p>
    <w:tbl>
      <w:tblPr>
        <w:tblStyle w:val="37"/>
        <w:tblW w:w="5017"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618"/>
        <w:gridCol w:w="1064"/>
        <w:gridCol w:w="1213"/>
        <w:gridCol w:w="1308"/>
        <w:gridCol w:w="601"/>
        <w:gridCol w:w="601"/>
        <w:gridCol w:w="1364"/>
        <w:gridCol w:w="511"/>
        <w:gridCol w:w="511"/>
        <w:gridCol w:w="553"/>
        <w:gridCol w:w="561"/>
        <w:gridCol w:w="561"/>
        <w:gridCol w:w="561"/>
        <w:gridCol w:w="584"/>
        <w:gridCol w:w="561"/>
        <w:gridCol w:w="561"/>
        <w:gridCol w:w="561"/>
        <w:gridCol w:w="595"/>
        <w:gridCol w:w="601"/>
        <w:gridCol w:w="546"/>
      </w:tblGrid>
      <w:tr w14:paraId="21C41788">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0" w:type="pct"/>
            <w:vMerge w:val="restart"/>
            <w:vAlign w:val="center"/>
          </w:tcPr>
          <w:p w14:paraId="6174AE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379" w:type="pct"/>
            <w:vMerge w:val="restart"/>
            <w:vAlign w:val="center"/>
          </w:tcPr>
          <w:p w14:paraId="5460DA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建筑物</w:t>
            </w:r>
          </w:p>
        </w:tc>
        <w:tc>
          <w:tcPr>
            <w:tcW w:w="432" w:type="pct"/>
            <w:vMerge w:val="restart"/>
            <w:vAlign w:val="center"/>
          </w:tcPr>
          <w:p w14:paraId="229E2B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噪声源</w:t>
            </w:r>
          </w:p>
        </w:tc>
        <w:tc>
          <w:tcPr>
            <w:tcW w:w="466" w:type="pct"/>
            <w:vMerge w:val="restart"/>
            <w:vAlign w:val="center"/>
          </w:tcPr>
          <w:p w14:paraId="28FCF6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型号</w:t>
            </w:r>
          </w:p>
        </w:tc>
        <w:tc>
          <w:tcPr>
            <w:tcW w:w="214" w:type="pct"/>
            <w:vMerge w:val="restart"/>
            <w:vAlign w:val="center"/>
          </w:tcPr>
          <w:p w14:paraId="0B937B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声功率级/dB（A）</w:t>
            </w:r>
          </w:p>
        </w:tc>
        <w:tc>
          <w:tcPr>
            <w:tcW w:w="214" w:type="pct"/>
            <w:vMerge w:val="restart"/>
            <w:vAlign w:val="center"/>
          </w:tcPr>
          <w:p w14:paraId="3405C1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数量</w:t>
            </w:r>
          </w:p>
        </w:tc>
        <w:tc>
          <w:tcPr>
            <w:tcW w:w="486" w:type="pct"/>
            <w:vMerge w:val="restart"/>
            <w:vAlign w:val="center"/>
          </w:tcPr>
          <w:p w14:paraId="5BDC87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声源控制措施</w:t>
            </w:r>
          </w:p>
        </w:tc>
        <w:tc>
          <w:tcPr>
            <w:tcW w:w="561" w:type="pct"/>
            <w:gridSpan w:val="3"/>
            <w:vAlign w:val="center"/>
          </w:tcPr>
          <w:p w14:paraId="36375D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空间相对位置/m</w:t>
            </w:r>
          </w:p>
        </w:tc>
        <w:tc>
          <w:tcPr>
            <w:tcW w:w="808" w:type="pct"/>
            <w:gridSpan w:val="4"/>
            <w:vAlign w:val="center"/>
          </w:tcPr>
          <w:p w14:paraId="050780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距室内边界距离/m</w:t>
            </w:r>
          </w:p>
        </w:tc>
        <w:tc>
          <w:tcPr>
            <w:tcW w:w="812" w:type="pct"/>
            <w:gridSpan w:val="4"/>
            <w:vAlign w:val="center"/>
          </w:tcPr>
          <w:p w14:paraId="0BCA42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室内边界声级/dB（A</w:t>
            </w:r>
          </w:p>
        </w:tc>
        <w:tc>
          <w:tcPr>
            <w:tcW w:w="214" w:type="pct"/>
            <w:vMerge w:val="restart"/>
            <w:vAlign w:val="center"/>
          </w:tcPr>
          <w:p w14:paraId="695500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建筑物插入损失/dB（A）</w:t>
            </w:r>
          </w:p>
        </w:tc>
        <w:tc>
          <w:tcPr>
            <w:tcW w:w="188" w:type="pct"/>
            <w:vMerge w:val="restart"/>
            <w:vAlign w:val="center"/>
          </w:tcPr>
          <w:p w14:paraId="7CFD70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运行时段</w:t>
            </w:r>
          </w:p>
        </w:tc>
      </w:tr>
      <w:tr w14:paraId="08B7E440">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0" w:type="pct"/>
            <w:vMerge w:val="continue"/>
            <w:vAlign w:val="center"/>
          </w:tcPr>
          <w:p w14:paraId="7AC779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9" w:type="pct"/>
            <w:vMerge w:val="continue"/>
            <w:vAlign w:val="center"/>
          </w:tcPr>
          <w:p w14:paraId="517AB2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2" w:type="pct"/>
            <w:vMerge w:val="continue"/>
            <w:vAlign w:val="center"/>
          </w:tcPr>
          <w:p w14:paraId="6B31B5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66" w:type="pct"/>
            <w:vMerge w:val="continue"/>
            <w:vAlign w:val="center"/>
          </w:tcPr>
          <w:p w14:paraId="6D1F33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4" w:type="pct"/>
            <w:vMerge w:val="continue"/>
            <w:vAlign w:val="center"/>
          </w:tcPr>
          <w:p w14:paraId="611137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4" w:type="pct"/>
            <w:vMerge w:val="continue"/>
            <w:vAlign w:val="center"/>
          </w:tcPr>
          <w:p w14:paraId="6C8623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86" w:type="pct"/>
            <w:vMerge w:val="continue"/>
            <w:vAlign w:val="center"/>
          </w:tcPr>
          <w:p w14:paraId="7111DB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82" w:type="pct"/>
            <w:vAlign w:val="center"/>
          </w:tcPr>
          <w:p w14:paraId="552A8C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X</w:t>
            </w:r>
          </w:p>
        </w:tc>
        <w:tc>
          <w:tcPr>
            <w:tcW w:w="182" w:type="pct"/>
            <w:vAlign w:val="center"/>
          </w:tcPr>
          <w:p w14:paraId="5C4A13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Y</w:t>
            </w:r>
          </w:p>
        </w:tc>
        <w:tc>
          <w:tcPr>
            <w:tcW w:w="197" w:type="pct"/>
            <w:vAlign w:val="center"/>
          </w:tcPr>
          <w:p w14:paraId="20E0A8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Z</w:t>
            </w:r>
          </w:p>
        </w:tc>
        <w:tc>
          <w:tcPr>
            <w:tcW w:w="200" w:type="pct"/>
            <w:vAlign w:val="center"/>
          </w:tcPr>
          <w:p w14:paraId="65BAEC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东</w:t>
            </w:r>
          </w:p>
        </w:tc>
        <w:tc>
          <w:tcPr>
            <w:tcW w:w="200" w:type="pct"/>
            <w:vAlign w:val="center"/>
          </w:tcPr>
          <w:p w14:paraId="4F1AFE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南</w:t>
            </w:r>
          </w:p>
        </w:tc>
        <w:tc>
          <w:tcPr>
            <w:tcW w:w="200" w:type="pct"/>
            <w:vAlign w:val="center"/>
          </w:tcPr>
          <w:p w14:paraId="59A88E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西</w:t>
            </w:r>
          </w:p>
        </w:tc>
        <w:tc>
          <w:tcPr>
            <w:tcW w:w="205" w:type="pct"/>
            <w:vAlign w:val="center"/>
          </w:tcPr>
          <w:p w14:paraId="326467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北</w:t>
            </w:r>
          </w:p>
        </w:tc>
        <w:tc>
          <w:tcPr>
            <w:tcW w:w="200" w:type="pct"/>
            <w:vAlign w:val="center"/>
          </w:tcPr>
          <w:p w14:paraId="50F33B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东</w:t>
            </w:r>
          </w:p>
        </w:tc>
        <w:tc>
          <w:tcPr>
            <w:tcW w:w="200" w:type="pct"/>
            <w:vAlign w:val="center"/>
          </w:tcPr>
          <w:p w14:paraId="1E4324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南</w:t>
            </w:r>
          </w:p>
        </w:tc>
        <w:tc>
          <w:tcPr>
            <w:tcW w:w="200" w:type="pct"/>
            <w:vAlign w:val="center"/>
          </w:tcPr>
          <w:p w14:paraId="10E663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西</w:t>
            </w:r>
          </w:p>
        </w:tc>
        <w:tc>
          <w:tcPr>
            <w:tcW w:w="209" w:type="pct"/>
            <w:vAlign w:val="center"/>
          </w:tcPr>
          <w:p w14:paraId="7184C9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北</w:t>
            </w:r>
          </w:p>
        </w:tc>
        <w:tc>
          <w:tcPr>
            <w:tcW w:w="214" w:type="pct"/>
            <w:vMerge w:val="continue"/>
            <w:vAlign w:val="center"/>
          </w:tcPr>
          <w:p w14:paraId="0E4140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88" w:type="pct"/>
            <w:vMerge w:val="continue"/>
            <w:vAlign w:val="center"/>
          </w:tcPr>
          <w:p w14:paraId="785C51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3ABF7695">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0" w:type="pct"/>
            <w:vAlign w:val="center"/>
          </w:tcPr>
          <w:p w14:paraId="11BC2E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379" w:type="pct"/>
            <w:vMerge w:val="restart"/>
            <w:vAlign w:val="center"/>
          </w:tcPr>
          <w:p w14:paraId="7B3DFC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w:t>
            </w:r>
          </w:p>
        </w:tc>
        <w:tc>
          <w:tcPr>
            <w:tcW w:w="432" w:type="pct"/>
            <w:vAlign w:val="center"/>
          </w:tcPr>
          <w:p w14:paraId="141A60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三相分离机</w:t>
            </w:r>
          </w:p>
        </w:tc>
        <w:tc>
          <w:tcPr>
            <w:tcW w:w="466" w:type="pct"/>
            <w:vAlign w:val="center"/>
          </w:tcPr>
          <w:p w14:paraId="52F90E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XTLWS-350卧式螺旋卸料沉降离心机</w:t>
            </w:r>
          </w:p>
        </w:tc>
        <w:tc>
          <w:tcPr>
            <w:tcW w:w="214" w:type="pct"/>
            <w:vAlign w:val="center"/>
          </w:tcPr>
          <w:p w14:paraId="37B4B9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214" w:type="pct"/>
            <w:vAlign w:val="center"/>
          </w:tcPr>
          <w:p w14:paraId="2B44BA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06A098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shd w:val="clear" w:color="auto" w:fill="auto"/>
            <w:vAlign w:val="center"/>
          </w:tcPr>
          <w:p w14:paraId="59F8BC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37</w:t>
            </w:r>
          </w:p>
        </w:tc>
        <w:tc>
          <w:tcPr>
            <w:tcW w:w="182" w:type="pct"/>
            <w:shd w:val="clear" w:color="auto" w:fill="auto"/>
            <w:vAlign w:val="center"/>
          </w:tcPr>
          <w:p w14:paraId="365E69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48</w:t>
            </w:r>
          </w:p>
        </w:tc>
        <w:tc>
          <w:tcPr>
            <w:tcW w:w="197" w:type="pct"/>
            <w:shd w:val="clear" w:color="auto" w:fill="auto"/>
            <w:vAlign w:val="center"/>
          </w:tcPr>
          <w:p w14:paraId="5EF176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200" w:type="pct"/>
            <w:shd w:val="clear" w:color="auto" w:fill="auto"/>
            <w:vAlign w:val="center"/>
          </w:tcPr>
          <w:p w14:paraId="70610D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w:t>
            </w:r>
          </w:p>
        </w:tc>
        <w:tc>
          <w:tcPr>
            <w:tcW w:w="200" w:type="pct"/>
            <w:shd w:val="clear" w:color="auto" w:fill="auto"/>
            <w:vAlign w:val="center"/>
          </w:tcPr>
          <w:p w14:paraId="564824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19</w:t>
            </w:r>
          </w:p>
        </w:tc>
        <w:tc>
          <w:tcPr>
            <w:tcW w:w="200" w:type="pct"/>
            <w:shd w:val="clear" w:color="auto" w:fill="auto"/>
            <w:vAlign w:val="center"/>
          </w:tcPr>
          <w:p w14:paraId="28B6DB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205" w:type="pct"/>
            <w:shd w:val="clear" w:color="auto" w:fill="auto"/>
            <w:vAlign w:val="center"/>
          </w:tcPr>
          <w:p w14:paraId="0A1374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200" w:type="pct"/>
            <w:shd w:val="clear" w:color="auto" w:fill="auto"/>
            <w:vAlign w:val="center"/>
          </w:tcPr>
          <w:p w14:paraId="2767EB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32.4</w:t>
            </w:r>
          </w:p>
        </w:tc>
        <w:tc>
          <w:tcPr>
            <w:tcW w:w="200" w:type="pct"/>
            <w:shd w:val="clear" w:color="auto" w:fill="auto"/>
            <w:vAlign w:val="center"/>
          </w:tcPr>
          <w:p w14:paraId="58B101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38.4</w:t>
            </w:r>
          </w:p>
        </w:tc>
        <w:tc>
          <w:tcPr>
            <w:tcW w:w="200" w:type="pct"/>
            <w:shd w:val="clear" w:color="auto" w:fill="auto"/>
            <w:vAlign w:val="center"/>
          </w:tcPr>
          <w:p w14:paraId="199FED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50.0</w:t>
            </w:r>
          </w:p>
        </w:tc>
        <w:tc>
          <w:tcPr>
            <w:tcW w:w="209" w:type="pct"/>
            <w:shd w:val="clear" w:color="auto" w:fill="auto"/>
            <w:vAlign w:val="center"/>
          </w:tcPr>
          <w:p w14:paraId="2754AB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52.0</w:t>
            </w:r>
          </w:p>
        </w:tc>
        <w:tc>
          <w:tcPr>
            <w:tcW w:w="214" w:type="pct"/>
            <w:vAlign w:val="center"/>
          </w:tcPr>
          <w:p w14:paraId="765114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188" w:type="pct"/>
            <w:vMerge w:val="restart"/>
            <w:vAlign w:val="center"/>
          </w:tcPr>
          <w:p w14:paraId="1F8B36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昼间8 h</w:t>
            </w:r>
          </w:p>
        </w:tc>
      </w:tr>
      <w:tr w14:paraId="16EC004B">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0" w:type="pct"/>
            <w:vAlign w:val="center"/>
          </w:tcPr>
          <w:p w14:paraId="57C18A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379" w:type="pct"/>
            <w:vMerge w:val="continue"/>
            <w:vAlign w:val="center"/>
          </w:tcPr>
          <w:p w14:paraId="6A0487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432" w:type="pct"/>
            <w:vAlign w:val="center"/>
          </w:tcPr>
          <w:p w14:paraId="3C319A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加工区油泵</w:t>
            </w:r>
          </w:p>
        </w:tc>
        <w:tc>
          <w:tcPr>
            <w:tcW w:w="466" w:type="pct"/>
            <w:vAlign w:val="center"/>
          </w:tcPr>
          <w:p w14:paraId="728CA1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214" w:type="pct"/>
            <w:vAlign w:val="center"/>
          </w:tcPr>
          <w:p w14:paraId="00F35A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90</w:t>
            </w:r>
          </w:p>
        </w:tc>
        <w:tc>
          <w:tcPr>
            <w:tcW w:w="214" w:type="pct"/>
            <w:vAlign w:val="center"/>
          </w:tcPr>
          <w:p w14:paraId="120227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3010E0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shd w:val="clear" w:color="auto" w:fill="auto"/>
            <w:vAlign w:val="center"/>
          </w:tcPr>
          <w:p w14:paraId="755302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45</w:t>
            </w:r>
          </w:p>
        </w:tc>
        <w:tc>
          <w:tcPr>
            <w:tcW w:w="182" w:type="pct"/>
            <w:shd w:val="clear" w:color="auto" w:fill="auto"/>
            <w:vAlign w:val="center"/>
          </w:tcPr>
          <w:p w14:paraId="7BCC1D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w:t>
            </w:r>
          </w:p>
        </w:tc>
        <w:tc>
          <w:tcPr>
            <w:tcW w:w="197" w:type="pct"/>
            <w:shd w:val="clear" w:color="auto" w:fill="auto"/>
            <w:vAlign w:val="center"/>
          </w:tcPr>
          <w:p w14:paraId="747052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200" w:type="pct"/>
            <w:shd w:val="clear" w:color="auto" w:fill="auto"/>
            <w:vAlign w:val="center"/>
          </w:tcPr>
          <w:p w14:paraId="0B4968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29</w:t>
            </w:r>
          </w:p>
        </w:tc>
        <w:tc>
          <w:tcPr>
            <w:tcW w:w="200" w:type="pct"/>
            <w:shd w:val="clear" w:color="auto" w:fill="auto"/>
            <w:vAlign w:val="center"/>
          </w:tcPr>
          <w:p w14:paraId="1EFF9B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w:t>
            </w:r>
          </w:p>
        </w:tc>
        <w:tc>
          <w:tcPr>
            <w:tcW w:w="200" w:type="pct"/>
            <w:shd w:val="clear" w:color="auto" w:fill="auto"/>
            <w:vAlign w:val="center"/>
          </w:tcPr>
          <w:p w14:paraId="5B878B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13</w:t>
            </w:r>
          </w:p>
        </w:tc>
        <w:tc>
          <w:tcPr>
            <w:tcW w:w="205" w:type="pct"/>
            <w:shd w:val="clear" w:color="auto" w:fill="auto"/>
            <w:vAlign w:val="center"/>
          </w:tcPr>
          <w:p w14:paraId="362E49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w:t>
            </w:r>
          </w:p>
        </w:tc>
        <w:tc>
          <w:tcPr>
            <w:tcW w:w="200" w:type="pct"/>
            <w:shd w:val="clear" w:color="auto" w:fill="auto"/>
            <w:vAlign w:val="center"/>
          </w:tcPr>
          <w:p w14:paraId="07D7B1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30.8</w:t>
            </w:r>
          </w:p>
        </w:tc>
        <w:tc>
          <w:tcPr>
            <w:tcW w:w="200" w:type="pct"/>
            <w:shd w:val="clear" w:color="auto" w:fill="auto"/>
            <w:vAlign w:val="center"/>
          </w:tcPr>
          <w:p w14:paraId="7E6836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35.4</w:t>
            </w:r>
          </w:p>
        </w:tc>
        <w:tc>
          <w:tcPr>
            <w:tcW w:w="200" w:type="pct"/>
            <w:shd w:val="clear" w:color="auto" w:fill="auto"/>
            <w:vAlign w:val="center"/>
          </w:tcPr>
          <w:p w14:paraId="3ADCC6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37.7</w:t>
            </w:r>
          </w:p>
        </w:tc>
        <w:tc>
          <w:tcPr>
            <w:tcW w:w="209" w:type="pct"/>
            <w:shd w:val="clear" w:color="auto" w:fill="auto"/>
            <w:vAlign w:val="center"/>
          </w:tcPr>
          <w:p w14:paraId="1211D7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43.1</w:t>
            </w:r>
          </w:p>
        </w:tc>
        <w:tc>
          <w:tcPr>
            <w:tcW w:w="214" w:type="pct"/>
            <w:vAlign w:val="center"/>
          </w:tcPr>
          <w:p w14:paraId="7A159D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88" w:type="pct"/>
            <w:vMerge w:val="continue"/>
            <w:vAlign w:val="center"/>
          </w:tcPr>
          <w:p w14:paraId="666139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3B1E85B4">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0" w:type="pct"/>
            <w:vAlign w:val="center"/>
          </w:tcPr>
          <w:p w14:paraId="5E34F3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379" w:type="pct"/>
            <w:vMerge w:val="continue"/>
            <w:vAlign w:val="center"/>
          </w:tcPr>
          <w:p w14:paraId="305BC5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2" w:type="pct"/>
            <w:vAlign w:val="center"/>
          </w:tcPr>
          <w:p w14:paraId="4BC14D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成品区油泵</w:t>
            </w:r>
          </w:p>
        </w:tc>
        <w:tc>
          <w:tcPr>
            <w:tcW w:w="466" w:type="pct"/>
            <w:vAlign w:val="center"/>
          </w:tcPr>
          <w:p w14:paraId="51B3E3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214" w:type="pct"/>
            <w:vAlign w:val="center"/>
          </w:tcPr>
          <w:p w14:paraId="7D3BB6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214" w:type="pct"/>
            <w:vAlign w:val="center"/>
          </w:tcPr>
          <w:p w14:paraId="76CD21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3694C0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shd w:val="clear" w:color="auto" w:fill="auto"/>
            <w:vAlign w:val="center"/>
          </w:tcPr>
          <w:p w14:paraId="039AA1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56</w:t>
            </w:r>
          </w:p>
        </w:tc>
        <w:tc>
          <w:tcPr>
            <w:tcW w:w="182" w:type="pct"/>
            <w:shd w:val="clear" w:color="auto" w:fill="auto"/>
            <w:vAlign w:val="center"/>
          </w:tcPr>
          <w:p w14:paraId="5E2AEA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46</w:t>
            </w:r>
          </w:p>
        </w:tc>
        <w:tc>
          <w:tcPr>
            <w:tcW w:w="197" w:type="pct"/>
            <w:shd w:val="clear" w:color="auto" w:fill="auto"/>
            <w:vAlign w:val="center"/>
          </w:tcPr>
          <w:p w14:paraId="2F722C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0.5</w:t>
            </w:r>
          </w:p>
        </w:tc>
        <w:tc>
          <w:tcPr>
            <w:tcW w:w="200" w:type="pct"/>
            <w:shd w:val="clear" w:color="auto" w:fill="auto"/>
            <w:vAlign w:val="center"/>
          </w:tcPr>
          <w:p w14:paraId="4A23FC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18</w:t>
            </w:r>
          </w:p>
        </w:tc>
        <w:tc>
          <w:tcPr>
            <w:tcW w:w="200" w:type="pct"/>
            <w:shd w:val="clear" w:color="auto" w:fill="auto"/>
            <w:vAlign w:val="center"/>
          </w:tcPr>
          <w:p w14:paraId="618A89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p>
        </w:tc>
        <w:tc>
          <w:tcPr>
            <w:tcW w:w="200" w:type="pct"/>
            <w:shd w:val="clear" w:color="auto" w:fill="auto"/>
            <w:vAlign w:val="center"/>
          </w:tcPr>
          <w:p w14:paraId="1AD60F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24</w:t>
            </w:r>
          </w:p>
        </w:tc>
        <w:tc>
          <w:tcPr>
            <w:tcW w:w="205" w:type="pct"/>
            <w:shd w:val="clear" w:color="auto" w:fill="auto"/>
            <w:vAlign w:val="center"/>
          </w:tcPr>
          <w:p w14:paraId="210E8C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w:t>
            </w:r>
          </w:p>
        </w:tc>
        <w:tc>
          <w:tcPr>
            <w:tcW w:w="200" w:type="pct"/>
            <w:shd w:val="clear" w:color="auto" w:fill="auto"/>
            <w:vAlign w:val="center"/>
          </w:tcPr>
          <w:p w14:paraId="4630D0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53.9</w:t>
            </w:r>
          </w:p>
        </w:tc>
        <w:tc>
          <w:tcPr>
            <w:tcW w:w="200" w:type="pct"/>
            <w:shd w:val="clear" w:color="auto" w:fill="auto"/>
            <w:vAlign w:val="center"/>
          </w:tcPr>
          <w:p w14:paraId="59BAF1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61.0</w:t>
            </w:r>
          </w:p>
        </w:tc>
        <w:tc>
          <w:tcPr>
            <w:tcW w:w="200" w:type="pct"/>
            <w:shd w:val="clear" w:color="auto" w:fill="auto"/>
            <w:vAlign w:val="center"/>
          </w:tcPr>
          <w:p w14:paraId="73D173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51.4</w:t>
            </w:r>
          </w:p>
        </w:tc>
        <w:tc>
          <w:tcPr>
            <w:tcW w:w="209" w:type="pct"/>
            <w:shd w:val="clear" w:color="auto" w:fill="auto"/>
            <w:vAlign w:val="center"/>
          </w:tcPr>
          <w:p w14:paraId="453BA39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54.4</w:t>
            </w:r>
          </w:p>
        </w:tc>
        <w:tc>
          <w:tcPr>
            <w:tcW w:w="214" w:type="pct"/>
            <w:vAlign w:val="center"/>
          </w:tcPr>
          <w:p w14:paraId="1BFECA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188" w:type="pct"/>
            <w:vMerge w:val="continue"/>
            <w:vAlign w:val="center"/>
          </w:tcPr>
          <w:p w14:paraId="1898DB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B6B8F6E">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0" w:type="pct"/>
            <w:vAlign w:val="center"/>
          </w:tcPr>
          <w:p w14:paraId="5AD5EC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379" w:type="pct"/>
            <w:vMerge w:val="continue"/>
            <w:vAlign w:val="center"/>
          </w:tcPr>
          <w:p w14:paraId="1D2FCC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2" w:type="pct"/>
            <w:vAlign w:val="center"/>
          </w:tcPr>
          <w:p w14:paraId="47269B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加工区风机</w:t>
            </w:r>
          </w:p>
        </w:tc>
        <w:tc>
          <w:tcPr>
            <w:tcW w:w="466" w:type="pct"/>
            <w:vAlign w:val="center"/>
          </w:tcPr>
          <w:p w14:paraId="2FEF15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214" w:type="pct"/>
            <w:vAlign w:val="center"/>
          </w:tcPr>
          <w:p w14:paraId="5B4FE6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214" w:type="pct"/>
            <w:vAlign w:val="center"/>
          </w:tcPr>
          <w:p w14:paraId="6291E6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7CD94F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shd w:val="clear" w:color="auto" w:fill="auto"/>
            <w:vAlign w:val="center"/>
          </w:tcPr>
          <w:p w14:paraId="11F8C3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53</w:t>
            </w:r>
          </w:p>
        </w:tc>
        <w:tc>
          <w:tcPr>
            <w:tcW w:w="182" w:type="pct"/>
            <w:shd w:val="clear" w:color="auto" w:fill="auto"/>
            <w:vAlign w:val="center"/>
          </w:tcPr>
          <w:p w14:paraId="2B1A32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56</w:t>
            </w:r>
          </w:p>
        </w:tc>
        <w:tc>
          <w:tcPr>
            <w:tcW w:w="197" w:type="pct"/>
            <w:shd w:val="clear" w:color="auto" w:fill="auto"/>
            <w:vAlign w:val="center"/>
          </w:tcPr>
          <w:p w14:paraId="3B9058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200" w:type="pct"/>
            <w:shd w:val="clear" w:color="auto" w:fill="auto"/>
            <w:vAlign w:val="center"/>
          </w:tcPr>
          <w:p w14:paraId="24FE9C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18</w:t>
            </w:r>
          </w:p>
        </w:tc>
        <w:tc>
          <w:tcPr>
            <w:tcW w:w="200" w:type="pct"/>
            <w:shd w:val="clear" w:color="auto" w:fill="auto"/>
            <w:vAlign w:val="center"/>
          </w:tcPr>
          <w:p w14:paraId="69C38F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19</w:t>
            </w:r>
          </w:p>
        </w:tc>
        <w:tc>
          <w:tcPr>
            <w:tcW w:w="200" w:type="pct"/>
            <w:shd w:val="clear" w:color="auto" w:fill="auto"/>
            <w:vAlign w:val="center"/>
          </w:tcPr>
          <w:p w14:paraId="1E96C5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14</w:t>
            </w:r>
          </w:p>
        </w:tc>
        <w:tc>
          <w:tcPr>
            <w:tcW w:w="205" w:type="pct"/>
            <w:shd w:val="clear" w:color="auto" w:fill="auto"/>
            <w:vAlign w:val="center"/>
          </w:tcPr>
          <w:p w14:paraId="237101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200" w:type="pct"/>
            <w:shd w:val="clear" w:color="auto" w:fill="auto"/>
            <w:vAlign w:val="center"/>
          </w:tcPr>
          <w:p w14:paraId="4016DF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38.9</w:t>
            </w:r>
          </w:p>
        </w:tc>
        <w:tc>
          <w:tcPr>
            <w:tcW w:w="200" w:type="pct"/>
            <w:shd w:val="clear" w:color="auto" w:fill="auto"/>
            <w:vAlign w:val="center"/>
          </w:tcPr>
          <w:p w14:paraId="37B757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38.4</w:t>
            </w:r>
          </w:p>
        </w:tc>
        <w:tc>
          <w:tcPr>
            <w:tcW w:w="200" w:type="pct"/>
            <w:shd w:val="clear" w:color="auto" w:fill="auto"/>
            <w:vAlign w:val="center"/>
          </w:tcPr>
          <w:p w14:paraId="237966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41.1</w:t>
            </w:r>
          </w:p>
        </w:tc>
        <w:tc>
          <w:tcPr>
            <w:tcW w:w="209" w:type="pct"/>
            <w:shd w:val="clear" w:color="auto" w:fill="auto"/>
            <w:vAlign w:val="center"/>
          </w:tcPr>
          <w:p w14:paraId="123B80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50.0</w:t>
            </w:r>
          </w:p>
        </w:tc>
        <w:tc>
          <w:tcPr>
            <w:tcW w:w="214" w:type="pct"/>
            <w:vAlign w:val="center"/>
          </w:tcPr>
          <w:p w14:paraId="331D84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88" w:type="pct"/>
            <w:vAlign w:val="center"/>
          </w:tcPr>
          <w:p w14:paraId="54D5C6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p>
        </w:tc>
      </w:tr>
      <w:tr w14:paraId="0C7A2638">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0" w:type="pct"/>
            <w:vAlign w:val="center"/>
          </w:tcPr>
          <w:p w14:paraId="441EB4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379" w:type="pct"/>
            <w:vMerge w:val="continue"/>
            <w:vAlign w:val="center"/>
          </w:tcPr>
          <w:p w14:paraId="608EB2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2" w:type="pct"/>
            <w:vAlign w:val="center"/>
          </w:tcPr>
          <w:p w14:paraId="11DF11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成品区风机</w:t>
            </w:r>
          </w:p>
        </w:tc>
        <w:tc>
          <w:tcPr>
            <w:tcW w:w="466" w:type="pct"/>
            <w:vAlign w:val="center"/>
          </w:tcPr>
          <w:p w14:paraId="3868EE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214" w:type="pct"/>
            <w:vAlign w:val="center"/>
          </w:tcPr>
          <w:p w14:paraId="313E55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214" w:type="pct"/>
            <w:vAlign w:val="center"/>
          </w:tcPr>
          <w:p w14:paraId="477455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3408BB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shd w:val="clear" w:color="auto" w:fill="auto"/>
            <w:vAlign w:val="center"/>
          </w:tcPr>
          <w:p w14:paraId="3A9C07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57</w:t>
            </w:r>
          </w:p>
        </w:tc>
        <w:tc>
          <w:tcPr>
            <w:tcW w:w="182" w:type="pct"/>
            <w:shd w:val="clear" w:color="auto" w:fill="auto"/>
            <w:vAlign w:val="center"/>
          </w:tcPr>
          <w:p w14:paraId="152C2E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48</w:t>
            </w:r>
          </w:p>
        </w:tc>
        <w:tc>
          <w:tcPr>
            <w:tcW w:w="197" w:type="pct"/>
            <w:shd w:val="clear" w:color="auto" w:fill="auto"/>
            <w:vAlign w:val="center"/>
          </w:tcPr>
          <w:p w14:paraId="14AAAB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200" w:type="pct"/>
            <w:shd w:val="clear" w:color="auto" w:fill="auto"/>
            <w:vAlign w:val="center"/>
          </w:tcPr>
          <w:p w14:paraId="346BA8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w:t>
            </w:r>
          </w:p>
        </w:tc>
        <w:tc>
          <w:tcPr>
            <w:tcW w:w="200" w:type="pct"/>
            <w:shd w:val="clear" w:color="auto" w:fill="auto"/>
            <w:vAlign w:val="center"/>
          </w:tcPr>
          <w:p w14:paraId="4C7FBF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p>
        </w:tc>
        <w:tc>
          <w:tcPr>
            <w:tcW w:w="200" w:type="pct"/>
            <w:shd w:val="clear" w:color="auto" w:fill="auto"/>
            <w:vAlign w:val="center"/>
          </w:tcPr>
          <w:p w14:paraId="3B4F3E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25</w:t>
            </w:r>
          </w:p>
        </w:tc>
        <w:tc>
          <w:tcPr>
            <w:tcW w:w="205" w:type="pct"/>
            <w:shd w:val="clear" w:color="auto" w:fill="auto"/>
            <w:vAlign w:val="center"/>
          </w:tcPr>
          <w:p w14:paraId="036B90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200" w:type="pct"/>
            <w:shd w:val="clear" w:color="auto" w:fill="auto"/>
            <w:vAlign w:val="center"/>
          </w:tcPr>
          <w:p w14:paraId="0666B0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39.4</w:t>
            </w:r>
          </w:p>
        </w:tc>
        <w:tc>
          <w:tcPr>
            <w:tcW w:w="200" w:type="pct"/>
            <w:shd w:val="clear" w:color="auto" w:fill="auto"/>
            <w:vAlign w:val="center"/>
          </w:tcPr>
          <w:p w14:paraId="406B10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44.9</w:t>
            </w:r>
          </w:p>
        </w:tc>
        <w:tc>
          <w:tcPr>
            <w:tcW w:w="200" w:type="pct"/>
            <w:shd w:val="clear" w:color="auto" w:fill="auto"/>
            <w:vAlign w:val="center"/>
          </w:tcPr>
          <w:p w14:paraId="738E3B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36.1</w:t>
            </w:r>
          </w:p>
        </w:tc>
        <w:tc>
          <w:tcPr>
            <w:tcW w:w="209" w:type="pct"/>
            <w:shd w:val="clear" w:color="auto" w:fill="auto"/>
            <w:vAlign w:val="center"/>
          </w:tcPr>
          <w:p w14:paraId="5E6506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40.5</w:t>
            </w:r>
          </w:p>
        </w:tc>
        <w:tc>
          <w:tcPr>
            <w:tcW w:w="214" w:type="pct"/>
            <w:vAlign w:val="center"/>
          </w:tcPr>
          <w:p w14:paraId="4D9436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88" w:type="pct"/>
            <w:vAlign w:val="center"/>
          </w:tcPr>
          <w:p w14:paraId="166DB9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p>
        </w:tc>
      </w:tr>
      <w:tr w14:paraId="0869ABC6">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5000" w:type="pct"/>
            <w:gridSpan w:val="20"/>
            <w:vAlign w:val="center"/>
          </w:tcPr>
          <w:p w14:paraId="1FFBD27F">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备注：以项目厂界西南边界（113°16′21.921″，28°47′7.613″）为坐标原点，正东向为X轴正方向，正北向为Y轴正方向。</w:t>
            </w:r>
          </w:p>
        </w:tc>
      </w:tr>
    </w:tbl>
    <w:p w14:paraId="167020CB">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 xml:space="preserve">  本项目主要噪声源（室外声源）</w:t>
      </w:r>
    </w:p>
    <w:tbl>
      <w:tblPr>
        <w:tblStyle w:val="37"/>
        <w:tblW w:w="501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733"/>
        <w:gridCol w:w="2128"/>
        <w:gridCol w:w="1553"/>
        <w:gridCol w:w="2131"/>
        <w:gridCol w:w="1151"/>
        <w:gridCol w:w="938"/>
        <w:gridCol w:w="949"/>
        <w:gridCol w:w="1182"/>
        <w:gridCol w:w="2765"/>
        <w:gridCol w:w="508"/>
      </w:tblGrid>
      <w:tr w14:paraId="0351F302">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1" w:type="pct"/>
            <w:vMerge w:val="restart"/>
            <w:vAlign w:val="center"/>
          </w:tcPr>
          <w:p w14:paraId="66A6C1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758" w:type="pct"/>
            <w:vMerge w:val="restart"/>
            <w:vAlign w:val="center"/>
          </w:tcPr>
          <w:p w14:paraId="265BDB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噪声源</w:t>
            </w:r>
          </w:p>
        </w:tc>
        <w:tc>
          <w:tcPr>
            <w:tcW w:w="553" w:type="pct"/>
            <w:vMerge w:val="restart"/>
            <w:vAlign w:val="center"/>
          </w:tcPr>
          <w:p w14:paraId="2CFB98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数量</w:t>
            </w:r>
          </w:p>
        </w:tc>
        <w:tc>
          <w:tcPr>
            <w:tcW w:w="759" w:type="pct"/>
            <w:vMerge w:val="restart"/>
            <w:vAlign w:val="center"/>
          </w:tcPr>
          <w:p w14:paraId="4B0C36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型号</w:t>
            </w:r>
          </w:p>
        </w:tc>
        <w:tc>
          <w:tcPr>
            <w:tcW w:w="1082" w:type="pct"/>
            <w:gridSpan w:val="3"/>
            <w:vAlign w:val="center"/>
          </w:tcPr>
          <w:p w14:paraId="2E806F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空间相对位置/m</w:t>
            </w:r>
          </w:p>
        </w:tc>
        <w:tc>
          <w:tcPr>
            <w:tcW w:w="421" w:type="pct"/>
            <w:vMerge w:val="restart"/>
            <w:vAlign w:val="center"/>
          </w:tcPr>
          <w:p w14:paraId="1048F2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声功率级/dB（A）</w:t>
            </w:r>
          </w:p>
        </w:tc>
        <w:tc>
          <w:tcPr>
            <w:tcW w:w="985" w:type="pct"/>
            <w:vMerge w:val="restart"/>
            <w:vAlign w:val="center"/>
          </w:tcPr>
          <w:p w14:paraId="599A49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声源控制措施</w:t>
            </w:r>
          </w:p>
        </w:tc>
        <w:tc>
          <w:tcPr>
            <w:tcW w:w="179" w:type="pct"/>
            <w:vMerge w:val="restart"/>
            <w:vAlign w:val="center"/>
          </w:tcPr>
          <w:p w14:paraId="0F0664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运行时段</w:t>
            </w:r>
          </w:p>
        </w:tc>
      </w:tr>
      <w:tr w14:paraId="5193F1A0">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1" w:type="pct"/>
            <w:vMerge w:val="continue"/>
            <w:vAlign w:val="center"/>
          </w:tcPr>
          <w:p w14:paraId="79E44E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8" w:type="pct"/>
            <w:vMerge w:val="continue"/>
            <w:vAlign w:val="center"/>
          </w:tcPr>
          <w:p w14:paraId="469A9B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53" w:type="pct"/>
            <w:vMerge w:val="continue"/>
            <w:vAlign w:val="center"/>
          </w:tcPr>
          <w:p w14:paraId="3448D1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9" w:type="pct"/>
            <w:vMerge w:val="continue"/>
            <w:vAlign w:val="center"/>
          </w:tcPr>
          <w:p w14:paraId="689A0A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10" w:type="pct"/>
            <w:vAlign w:val="center"/>
          </w:tcPr>
          <w:p w14:paraId="789ED7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X</w:t>
            </w:r>
          </w:p>
        </w:tc>
        <w:tc>
          <w:tcPr>
            <w:tcW w:w="334" w:type="pct"/>
            <w:vAlign w:val="center"/>
          </w:tcPr>
          <w:p w14:paraId="00B11F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Y</w:t>
            </w:r>
          </w:p>
        </w:tc>
        <w:tc>
          <w:tcPr>
            <w:tcW w:w="337" w:type="pct"/>
            <w:vAlign w:val="center"/>
          </w:tcPr>
          <w:p w14:paraId="261DE8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Z</w:t>
            </w:r>
          </w:p>
        </w:tc>
        <w:tc>
          <w:tcPr>
            <w:tcW w:w="421" w:type="pct"/>
            <w:vMerge w:val="continue"/>
            <w:vAlign w:val="center"/>
          </w:tcPr>
          <w:p w14:paraId="646D0E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5" w:type="pct"/>
            <w:vMerge w:val="continue"/>
            <w:vAlign w:val="center"/>
          </w:tcPr>
          <w:p w14:paraId="46D708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79" w:type="pct"/>
            <w:vMerge w:val="continue"/>
            <w:vAlign w:val="center"/>
          </w:tcPr>
          <w:p w14:paraId="426256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658040FA">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1" w:type="pct"/>
            <w:vAlign w:val="center"/>
          </w:tcPr>
          <w:p w14:paraId="33A964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758" w:type="pct"/>
            <w:vAlign w:val="center"/>
          </w:tcPr>
          <w:p w14:paraId="2384D3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风机</w:t>
            </w:r>
          </w:p>
        </w:tc>
        <w:tc>
          <w:tcPr>
            <w:tcW w:w="553" w:type="pct"/>
            <w:vAlign w:val="center"/>
          </w:tcPr>
          <w:p w14:paraId="39A391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1台</w:t>
            </w:r>
          </w:p>
        </w:tc>
        <w:tc>
          <w:tcPr>
            <w:tcW w:w="759" w:type="pct"/>
            <w:vAlign w:val="center"/>
          </w:tcPr>
          <w:p w14:paraId="530406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10" w:type="pct"/>
            <w:shd w:val="clear" w:color="auto" w:fill="auto"/>
            <w:vAlign w:val="center"/>
          </w:tcPr>
          <w:p w14:paraId="5C6F5A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56</w:t>
            </w:r>
          </w:p>
        </w:tc>
        <w:tc>
          <w:tcPr>
            <w:tcW w:w="334" w:type="pct"/>
            <w:shd w:val="clear" w:color="auto" w:fill="auto"/>
            <w:vAlign w:val="center"/>
          </w:tcPr>
          <w:p w14:paraId="36F577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w:t>
            </w:r>
          </w:p>
        </w:tc>
        <w:tc>
          <w:tcPr>
            <w:tcW w:w="337" w:type="pct"/>
            <w:shd w:val="clear" w:color="auto" w:fill="auto"/>
            <w:vAlign w:val="center"/>
          </w:tcPr>
          <w:p w14:paraId="01E366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0.5</w:t>
            </w:r>
          </w:p>
        </w:tc>
        <w:tc>
          <w:tcPr>
            <w:tcW w:w="421" w:type="pct"/>
            <w:shd w:val="clear" w:color="auto" w:fill="auto"/>
            <w:vAlign w:val="center"/>
          </w:tcPr>
          <w:p w14:paraId="0BDAC1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80</w:t>
            </w:r>
          </w:p>
        </w:tc>
        <w:tc>
          <w:tcPr>
            <w:tcW w:w="985" w:type="pct"/>
            <w:vAlign w:val="center"/>
          </w:tcPr>
          <w:p w14:paraId="622DAD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79" w:type="pct"/>
            <w:vAlign w:val="center"/>
          </w:tcPr>
          <w:p w14:paraId="0D6E8F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p>
        </w:tc>
      </w:tr>
      <w:tr w14:paraId="29B5CBF9">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1" w:type="pct"/>
            <w:vAlign w:val="center"/>
          </w:tcPr>
          <w:p w14:paraId="044999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758" w:type="pct"/>
            <w:vAlign w:val="center"/>
          </w:tcPr>
          <w:p w14:paraId="1692A5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喷淋塔</w:t>
            </w:r>
          </w:p>
        </w:tc>
        <w:tc>
          <w:tcPr>
            <w:tcW w:w="553" w:type="pct"/>
            <w:vAlign w:val="center"/>
          </w:tcPr>
          <w:p w14:paraId="12EFB5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个</w:t>
            </w:r>
          </w:p>
        </w:tc>
        <w:tc>
          <w:tcPr>
            <w:tcW w:w="759" w:type="pct"/>
            <w:vAlign w:val="center"/>
          </w:tcPr>
          <w:p w14:paraId="11190E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10" w:type="pct"/>
            <w:shd w:val="clear" w:color="auto" w:fill="auto"/>
            <w:vAlign w:val="center"/>
          </w:tcPr>
          <w:p w14:paraId="095AAD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46</w:t>
            </w:r>
          </w:p>
        </w:tc>
        <w:tc>
          <w:tcPr>
            <w:tcW w:w="334" w:type="pct"/>
            <w:shd w:val="clear" w:color="auto" w:fill="auto"/>
            <w:vAlign w:val="center"/>
          </w:tcPr>
          <w:p w14:paraId="76B3D4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33</w:t>
            </w:r>
          </w:p>
        </w:tc>
        <w:tc>
          <w:tcPr>
            <w:tcW w:w="337" w:type="pct"/>
            <w:shd w:val="clear" w:color="auto" w:fill="auto"/>
            <w:vAlign w:val="center"/>
          </w:tcPr>
          <w:p w14:paraId="6BE90A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421" w:type="pct"/>
            <w:shd w:val="clear" w:color="auto" w:fill="auto"/>
            <w:vAlign w:val="center"/>
          </w:tcPr>
          <w:p w14:paraId="6656E7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985" w:type="pct"/>
            <w:vAlign w:val="center"/>
          </w:tcPr>
          <w:p w14:paraId="2EF322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79" w:type="pct"/>
            <w:vAlign w:val="center"/>
          </w:tcPr>
          <w:p w14:paraId="408AD90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p>
        </w:tc>
      </w:tr>
      <w:tr w14:paraId="5BE66A6B">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000" w:type="pct"/>
            <w:gridSpan w:val="10"/>
            <w:vAlign w:val="center"/>
          </w:tcPr>
          <w:p w14:paraId="543A8AFF">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备注：以项目厂界西南边界（113°16′21.921″，28°47′7.613″）为坐标原点，正东向为X轴正方向，正北向为Y轴正方向。</w:t>
            </w:r>
          </w:p>
        </w:tc>
      </w:tr>
    </w:tbl>
    <w:p w14:paraId="17EBE4F0">
      <w:pPr>
        <w:keepNext w:val="0"/>
        <w:keepLines w:val="0"/>
        <w:pageBreakBefore w:val="0"/>
        <w:widowControl w:val="0"/>
        <w:kinsoku/>
        <w:wordWrap/>
        <w:overflowPunct/>
        <w:topLinePunct w:val="0"/>
        <w:bidi w:val="0"/>
        <w:rPr>
          <w:rFonts w:hint="default" w:ascii="Times New Roman" w:hAnsi="Times New Roman" w:eastAsia="宋体" w:cs="Times New Roman"/>
          <w:color w:val="FF0000"/>
          <w:u w:val="none" w:color="auto"/>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50D9A69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65" w:name="_Toc31572"/>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固体废物</w:t>
      </w:r>
      <w:bookmarkEnd w:id="165"/>
    </w:p>
    <w:p w14:paraId="48D960A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根据工程分析，本项目生产固废主要为：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废弃油脂加工产生的废渣；污水处理设施隔油池产生的浮渣；成品油检验产生的废油；废气处理设施产生的废过滤棉、废活性炭；设备检修产生的废润滑油、</w:t>
      </w:r>
      <w:r>
        <w:rPr>
          <w:rFonts w:hint="default" w:ascii="Times New Roman" w:hAnsi="Times New Roman" w:eastAsia="宋体" w:cs="Times New Roman"/>
          <w:color w:val="000000" w:themeColor="text1"/>
          <w:u w:val="none" w:color="auto"/>
          <w14:textFill>
            <w14:solidFill>
              <w14:schemeClr w14:val="tx1"/>
            </w14:solidFill>
          </w14:textFill>
        </w:rPr>
        <w:t>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劳保用品</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以及员工生活产生的</w:t>
      </w:r>
      <w:r>
        <w:rPr>
          <w:rFonts w:hint="default" w:ascii="Times New Roman" w:hAnsi="Times New Roman" w:eastAsia="宋体" w:cs="Times New Roman"/>
          <w:color w:val="000000" w:themeColor="text1"/>
          <w:u w:val="none" w:color="auto"/>
          <w14:textFill>
            <w14:solidFill>
              <w14:schemeClr w14:val="tx1"/>
            </w14:solidFill>
          </w14:textFill>
        </w:rPr>
        <w:t>生活垃圾。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本项目原料来源不包含危险废物，主要生产工艺不添加任何药剂等添加剂，生产工艺主要为加热、离心分离，无化学反应，故项目原料油加工产生的废渣属于一般固体废物。</w:t>
      </w:r>
    </w:p>
    <w:p w14:paraId="565DA01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（1）一般固废</w:t>
      </w:r>
    </w:p>
    <w:p w14:paraId="37FA3E4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）成品油检验产生的废油</w:t>
      </w:r>
    </w:p>
    <w:p w14:paraId="71A9472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生产过程中，需定期取样化验，检测油品，根据建设单位提供资料，检测后废油产生量为0.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 </w:t>
      </w:r>
      <w:r>
        <w:rPr>
          <w:rFonts w:hint="default" w:ascii="Times New Roman" w:hAnsi="Times New Roman" w:eastAsia="宋体" w:cs="Times New Roman"/>
          <w:color w:val="000000" w:themeColor="text1"/>
          <w:u w:val="none" w:color="auto"/>
          <w14:textFill>
            <w14:solidFill>
              <w14:schemeClr w14:val="tx1"/>
            </w14:solidFill>
          </w14:textFill>
        </w:rPr>
        <w:t>t/a，</w:t>
      </w:r>
      <w:r>
        <w:rPr>
          <w:rFonts w:hint="default" w:ascii="Times New Roman" w:hAnsi="Times New Roman" w:eastAsia="宋体" w:cs="Times New Roman"/>
          <w:color w:val="000000" w:themeColor="text1"/>
          <w:u w:val="none" w:color="auto"/>
          <w:lang w:eastAsia="zh-CN"/>
          <w14:textFill>
            <w14:solidFill>
              <w14:schemeClr w14:val="tx1"/>
            </w14:solidFill>
          </w14:textFill>
        </w:rPr>
        <w:t>可</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作为原料回用于生产，不作为一般固废管理</w:t>
      </w:r>
      <w:r>
        <w:rPr>
          <w:rFonts w:hint="default" w:ascii="Times New Roman" w:hAnsi="Times New Roman" w:eastAsia="宋体" w:cs="Times New Roman"/>
          <w:color w:val="000000" w:themeColor="text1"/>
          <w:u w:val="none" w:color="auto"/>
          <w14:textFill>
            <w14:solidFill>
              <w14:schemeClr w14:val="tx1"/>
            </w14:solidFill>
          </w14:textFill>
        </w:rPr>
        <w:t>。</w:t>
      </w:r>
    </w:p>
    <w:p w14:paraId="23816C34">
      <w:pPr>
        <w:keepNext w:val="0"/>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22"/>
          <w:u w:val="none" w:color="auto"/>
          <w:lang w:val="en-US" w:eastAsia="zh-CN" w:bidi="ar-SA"/>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污水处理设施隔油池产生的浮渣</w:t>
      </w:r>
    </w:p>
    <w:p w14:paraId="7AA56C9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废水处理设施的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浮渣</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产生量约0.1 t/a，建设单位定期收集后回用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于生产，不作为一般固废管理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p w14:paraId="60D264E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废弃油脂加工产生的废渣</w:t>
      </w:r>
    </w:p>
    <w:p w14:paraId="0B189C1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本项目在生产过程中会产生废渣，根据原料含渣率得知，废渣的产生量约为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248 </w:t>
      </w:r>
      <w:r>
        <w:rPr>
          <w:rFonts w:hint="default" w:ascii="Times New Roman" w:hAnsi="Times New Roman" w:eastAsia="宋体" w:cs="Times New Roman"/>
          <w:color w:val="000000" w:themeColor="text1"/>
          <w:u w:val="none" w:color="auto"/>
          <w14:textFill>
            <w14:solidFill>
              <w14:schemeClr w14:val="tx1"/>
            </w14:solidFill>
          </w14:textFill>
        </w:rPr>
        <w:t>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废渣于沉渣池暂存，定期转运综合利用。</w:t>
      </w:r>
    </w:p>
    <w:p w14:paraId="4368156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生活垃圾</w:t>
      </w:r>
    </w:p>
    <w:p w14:paraId="6203300B">
      <w:pPr>
        <w:keepNext w:val="0"/>
        <w:keepLines w:val="0"/>
        <w:pageBreakBefore w:val="0"/>
        <w:widowControl w:val="0"/>
        <w:kinsoku/>
        <w:wordWrap/>
        <w:overflowPunct/>
        <w:topLinePunct w:val="0"/>
        <w:bidi w:val="0"/>
        <w:spacing w:line="360" w:lineRule="auto"/>
        <w:ind w:firstLine="44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pacing w:val="-10"/>
          <w:szCs w:val="24"/>
          <w:u w:val="none" w:color="auto"/>
          <w14:textFill>
            <w14:solidFill>
              <w14:schemeClr w14:val="tx1"/>
            </w14:solidFill>
          </w14:textFill>
        </w:rPr>
        <w:t>本项目总定员</w:t>
      </w:r>
      <w:r>
        <w:rPr>
          <w:rFonts w:hint="default" w:ascii="Times New Roman" w:hAnsi="Times New Roman" w:eastAsia="宋体" w:cs="Times New Roman"/>
          <w:color w:val="000000" w:themeColor="text1"/>
          <w:szCs w:val="20"/>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Cs w:val="20"/>
          <w:u w:val="none" w:color="auto"/>
          <w14:textFill>
            <w14:solidFill>
              <w14:schemeClr w14:val="tx1"/>
            </w14:solidFill>
          </w14:textFill>
        </w:rPr>
        <w:t>人</w:t>
      </w:r>
      <w:r>
        <w:rPr>
          <w:rFonts w:hint="default" w:ascii="Times New Roman" w:hAnsi="Times New Roman" w:eastAsia="宋体" w:cs="Times New Roman"/>
          <w:color w:val="000000" w:themeColor="text1"/>
          <w:u w:val="none" w:color="auto"/>
          <w14:textFill>
            <w14:solidFill>
              <w14:schemeClr w14:val="tx1"/>
            </w14:solidFill>
          </w14:textFill>
        </w:rPr>
        <w:t>，生活垃圾产生量按每人0.5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kg/d计，则生活垃圾产生量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3 </w:t>
      </w:r>
      <w:r>
        <w:rPr>
          <w:rFonts w:hint="default" w:ascii="Times New Roman" w:hAnsi="Times New Roman" w:eastAsia="宋体" w:cs="Times New Roman"/>
          <w:color w:val="000000" w:themeColor="text1"/>
          <w:u w:val="none" w:color="auto"/>
          <w14:textFill>
            <w14:solidFill>
              <w14:schemeClr w14:val="tx1"/>
            </w14:solidFill>
          </w14:textFill>
        </w:rPr>
        <w:t>t/a，经收集后交由环卫部门处置。</w:t>
      </w:r>
    </w:p>
    <w:p w14:paraId="10EB91F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（2）危险废物</w:t>
      </w:r>
    </w:p>
    <w:p w14:paraId="384ACA3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废气处理设施产生的废过滤棉</w:t>
      </w:r>
    </w:p>
    <w:p w14:paraId="669E454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为保护活性炭及保障活性炭的处理效率，喷淋塔和二级活性炭之间使用过滤棉吸附喷淋塔产生的水汽，以及辅助废气处理，过滤棉每三个月更换一次，废过滤棉产生量约0.004 t/a</w:t>
      </w:r>
      <w:r>
        <w:rPr>
          <w:rFonts w:hint="default" w:ascii="Times New Roman" w:hAnsi="Times New Roman" w:eastAsia="宋体" w:cs="Times New Roman"/>
          <w:color w:val="000000" w:themeColor="text1"/>
          <w:u w:val="none" w:color="auto"/>
          <w14:textFill>
            <w14:solidFill>
              <w14:schemeClr w14:val="tx1"/>
            </w14:solidFill>
          </w14:textFill>
        </w:rPr>
        <w:t>（含吸附的有机废气）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依据《国家危险废物名录》（2025版），属于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含有或者沾染毒性、感染性危险废物的废弃的包装物、容器、过滤吸附介质</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属于危险废物，</w:t>
      </w:r>
      <w:r>
        <w:rPr>
          <w:rFonts w:hint="default" w:ascii="Times New Roman" w:hAnsi="Times New Roman" w:eastAsia="宋体" w:cs="Times New Roman"/>
          <w:color w:val="000000" w:themeColor="text1"/>
          <w:u w:val="none" w:color="auto"/>
          <w14:textFill>
            <w14:solidFill>
              <w14:schemeClr w14:val="tx1"/>
            </w14:solidFill>
          </w14:textFill>
        </w:rPr>
        <w:t>危废类别为HW4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，危废代码为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41</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废过滤棉</w:t>
      </w:r>
      <w:r>
        <w:rPr>
          <w:rFonts w:hint="default" w:ascii="Times New Roman" w:hAnsi="Times New Roman" w:eastAsia="宋体" w:cs="Times New Roman"/>
          <w:color w:val="000000" w:themeColor="text1"/>
          <w:u w:val="none" w:color="auto"/>
          <w14:textFill>
            <w14:solidFill>
              <w14:schemeClr w14:val="tx1"/>
            </w14:solidFill>
          </w14:textFill>
        </w:rPr>
        <w:t>使用防水密闭编织袋，暂存于危废暂存间，定期委托有资质单位处置。</w:t>
      </w:r>
    </w:p>
    <w:p w14:paraId="3DA449A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2）废气处理设施产生的废活性炭</w:t>
      </w:r>
    </w:p>
    <w:p w14:paraId="4750562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有机废气在活性炭中的过滤停留时间应为0.2～2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s。根据《活性炭吸附技术及其在环境工程中的应用》（郭坤敏等著），活性炭吸附力约为0.3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kg（废气）/kg活性炭，根据上文分析，本项目经活性炭吸附装置吸附的有机废气量为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4753516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t/a，则活性炭需求量为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1.58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w:t>
      </w:r>
      <w:r>
        <w:rPr>
          <w:rFonts w:hint="default" w:ascii="Times New Roman" w:hAnsi="Times New Roman" w:eastAsia="宋体" w:cs="Times New Roman"/>
          <w:color w:val="000000" w:themeColor="text1"/>
          <w:u w:val="none" w:color="auto"/>
          <w14:textFill>
            <w14:solidFill>
              <w14:schemeClr w14:val="tx1"/>
            </w14:solidFill>
          </w14:textFill>
        </w:rPr>
        <w:t>/a，为确保活性炭吸附效率，需要对活性炭进行定期更换，本环评建议每</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3个月</w:t>
      </w:r>
      <w:r>
        <w:rPr>
          <w:rFonts w:hint="default" w:ascii="Times New Roman" w:hAnsi="Times New Roman" w:eastAsia="宋体" w:cs="Times New Roman"/>
          <w:color w:val="000000" w:themeColor="text1"/>
          <w:u w:val="none" w:color="auto"/>
          <w14:textFill>
            <w14:solidFill>
              <w14:schemeClr w14:val="tx1"/>
            </w14:solidFill>
          </w14:textFill>
        </w:rPr>
        <w:t>更换</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次，每次更换量不少于</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w:t>
      </w:r>
      <w:r>
        <w:rPr>
          <w:rFonts w:hint="default" w:ascii="Times New Roman" w:hAnsi="Times New Roman" w:eastAsia="宋体" w:cs="Times New Roman"/>
          <w:color w:val="000000" w:themeColor="text1"/>
          <w:u w:val="none" w:color="auto"/>
          <w14:textFill>
            <w14:solidFill>
              <w14:schemeClr w14:val="tx1"/>
            </w14:solidFill>
          </w14:textFill>
        </w:rPr>
        <w:t>，则废活性炭产生量为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t</w:t>
      </w:r>
      <w:r>
        <w:rPr>
          <w:rFonts w:hint="default" w:ascii="Times New Roman" w:hAnsi="Times New Roman" w:eastAsia="宋体" w:cs="Times New Roman"/>
          <w:color w:val="000000" w:themeColor="text1"/>
          <w:u w:val="none" w:color="auto"/>
          <w14:textFill>
            <w14:solidFill>
              <w14:schemeClr w14:val="tx1"/>
            </w14:solidFill>
          </w14:textFill>
        </w:rPr>
        <w:t>/a（含吸附的有机废气）。依据《国家危险废物名录》（2025版），属于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VOCs治理过程中产生的废活性炭</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属于危险废物，</w:t>
      </w:r>
      <w:r>
        <w:rPr>
          <w:rFonts w:hint="default" w:ascii="Times New Roman" w:hAnsi="Times New Roman" w:eastAsia="宋体" w:cs="Times New Roman"/>
          <w:color w:val="000000" w:themeColor="text1"/>
          <w:u w:val="none" w:color="auto"/>
          <w14:textFill>
            <w14:solidFill>
              <w14:schemeClr w14:val="tx1"/>
            </w14:solidFill>
          </w14:textFill>
        </w:rPr>
        <w:t>危废类别为HW4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，危废代码为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39</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废活性炭</w:t>
      </w:r>
      <w:r>
        <w:rPr>
          <w:rFonts w:hint="default" w:ascii="Times New Roman" w:hAnsi="Times New Roman" w:eastAsia="宋体" w:cs="Times New Roman"/>
          <w:color w:val="000000" w:themeColor="text1"/>
          <w:u w:val="none" w:color="auto"/>
          <w14:textFill>
            <w14:solidFill>
              <w14:schemeClr w14:val="tx1"/>
            </w14:solidFill>
          </w14:textFill>
        </w:rPr>
        <w:t>使用防水密闭编织袋，暂存于危废暂存间，定期委托有资质单位处置。</w:t>
      </w:r>
    </w:p>
    <w:p w14:paraId="7006C7F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）设备检修产生的废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润滑油</w:t>
      </w:r>
    </w:p>
    <w:p w14:paraId="4F3199A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生产设备维护和检修过程中也会产生废矿物油，产生量约0.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 </w:t>
      </w:r>
      <w:r>
        <w:rPr>
          <w:rFonts w:hint="default" w:ascii="Times New Roman" w:hAnsi="Times New Roman" w:eastAsia="宋体" w:cs="Times New Roman"/>
          <w:color w:val="000000" w:themeColor="text1"/>
          <w:u w:val="none" w:color="auto"/>
          <w14:textFill>
            <w14:solidFill>
              <w14:schemeClr w14:val="tx1"/>
            </w14:solidFill>
          </w14:textFill>
        </w:rPr>
        <w:t>t/a</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依据《国家危险废物名录》（2025版），</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属于机械维修过程中产生的废润滑油，</w:t>
      </w:r>
      <w:r>
        <w:rPr>
          <w:rFonts w:hint="default" w:ascii="Times New Roman" w:hAnsi="Times New Roman" w:eastAsia="宋体" w:cs="Times New Roman"/>
          <w:color w:val="000000" w:themeColor="text1"/>
          <w:u w:val="none" w:color="auto"/>
          <w14:textFill>
            <w14:solidFill>
              <w14:schemeClr w14:val="tx1"/>
            </w14:solidFill>
          </w14:textFill>
        </w:rPr>
        <w:t>属于危险废物</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危废类别为HW08，废物代码：900-214-08，经收集后委托有资质的单位回收处理。</w:t>
      </w:r>
    </w:p>
    <w:p w14:paraId="3CE1915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废劳保用品</w:t>
      </w:r>
    </w:p>
    <w:p w14:paraId="3491640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项目生产过程中废弃的劳保用品产生量约为0.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 </w:t>
      </w:r>
      <w:r>
        <w:rPr>
          <w:rFonts w:hint="default" w:ascii="Times New Roman" w:hAnsi="Times New Roman" w:eastAsia="宋体" w:cs="Times New Roman"/>
          <w:color w:val="000000" w:themeColor="text1"/>
          <w:u w:val="none" w:color="auto"/>
          <w14:textFill>
            <w14:solidFill>
              <w14:schemeClr w14:val="tx1"/>
            </w14:solidFill>
          </w14:textFill>
        </w:rPr>
        <w:t>t/a，该部分废弃劳保用品，主要为检修过程产生的含油抹布、手套等</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依据《国家危险废物名录》（2025版），</w:t>
      </w:r>
      <w:r>
        <w:rPr>
          <w:rFonts w:hint="default" w:ascii="Times New Roman" w:hAnsi="Times New Roman" w:eastAsia="宋体" w:cs="Times New Roman"/>
          <w:b w:val="0"/>
          <w:bCs w:val="0"/>
          <w:caps w:val="0"/>
          <w:color w:val="000000" w:themeColor="text1"/>
          <w:spacing w:val="0"/>
          <w:position w:val="0"/>
          <w:sz w:val="24"/>
          <w:u w:val="none" w:color="auto"/>
          <w:lang w:val="en-US" w:eastAsia="zh-CN"/>
          <w14:textFill>
            <w14:solidFill>
              <w14:schemeClr w14:val="tx1"/>
            </w14:solidFill>
          </w14:textFill>
        </w:rPr>
        <w:t>属于含有或沾染毒性、感染性危险废物的废弃包装物、容器、过滤吸附介质，属于</w:t>
      </w:r>
      <w:r>
        <w:rPr>
          <w:rFonts w:hint="default" w:ascii="Times New Roman" w:hAnsi="Times New Roman" w:eastAsia="宋体" w:cs="Times New Roman"/>
          <w:color w:val="000000" w:themeColor="text1"/>
          <w:u w:val="none" w:color="auto"/>
          <w14:textFill>
            <w14:solidFill>
              <w14:schemeClr w14:val="tx1"/>
            </w14:solidFill>
          </w14:textFill>
        </w:rPr>
        <w:t>危险废物</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危废类别为HW49，废物代码：900-041-49，经收集后暂存于危废暂存间，定期委托有资质单位处置。</w:t>
      </w:r>
    </w:p>
    <w:p w14:paraId="2336E66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7" w:h="16840"/>
          <w:pgMar w:top="1440" w:right="1797" w:bottom="1440" w:left="1797" w:header="964" w:footer="851" w:gutter="0"/>
          <w:pgBorders>
            <w:top w:val="none" w:sz="0" w:space="0"/>
            <w:left w:val="none" w:sz="0" w:space="0"/>
            <w:bottom w:val="none" w:sz="0" w:space="0"/>
            <w:right w:val="none" w:sz="0" w:space="0"/>
          </w:pgBorders>
          <w:cols w:space="720" w:num="1"/>
          <w:docGrid w:linePitch="297" w:charSpace="200"/>
        </w:sectPr>
      </w:pPr>
      <w:r>
        <w:rPr>
          <w:rFonts w:hint="default" w:ascii="Times New Roman" w:hAnsi="Times New Roman" w:eastAsia="宋体" w:cs="Times New Roman"/>
          <w:color w:val="000000" w:themeColor="text1"/>
          <w:szCs w:val="24"/>
          <w:u w:val="none" w:color="auto"/>
          <w14:textFill>
            <w14:solidFill>
              <w14:schemeClr w14:val="tx1"/>
            </w14:solidFill>
          </w14:textFill>
        </w:rPr>
        <w:t>综上所述，本项目运营期各类固体废物产生及处置情况统计表如下：</w:t>
      </w:r>
    </w:p>
    <w:p w14:paraId="0C3292F5">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 xml:space="preserve">  项目营运期固体废物产生及处置情况汇总表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779"/>
        <w:gridCol w:w="1107"/>
        <w:gridCol w:w="1734"/>
        <w:gridCol w:w="1180"/>
        <w:gridCol w:w="1186"/>
        <w:gridCol w:w="1240"/>
        <w:gridCol w:w="1541"/>
        <w:gridCol w:w="3538"/>
      </w:tblGrid>
      <w:tr w14:paraId="3F0A2B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307" w:type="pct"/>
            <w:vAlign w:val="center"/>
          </w:tcPr>
          <w:p w14:paraId="0B3C6C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627" w:type="pct"/>
            <w:vAlign w:val="center"/>
          </w:tcPr>
          <w:p w14:paraId="282271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固废名称</w:t>
            </w:r>
          </w:p>
        </w:tc>
        <w:tc>
          <w:tcPr>
            <w:tcW w:w="390" w:type="pct"/>
            <w:vAlign w:val="center"/>
          </w:tcPr>
          <w:p w14:paraId="4C74CB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属性</w:t>
            </w:r>
          </w:p>
        </w:tc>
        <w:tc>
          <w:tcPr>
            <w:tcW w:w="611" w:type="pct"/>
            <w:vAlign w:val="center"/>
          </w:tcPr>
          <w:p w14:paraId="37BC04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废物代码</w:t>
            </w:r>
          </w:p>
        </w:tc>
        <w:tc>
          <w:tcPr>
            <w:tcW w:w="416" w:type="pct"/>
            <w:vAlign w:val="center"/>
          </w:tcPr>
          <w:p w14:paraId="431565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主要成分</w:t>
            </w:r>
          </w:p>
        </w:tc>
        <w:tc>
          <w:tcPr>
            <w:tcW w:w="418" w:type="pct"/>
            <w:vAlign w:val="center"/>
          </w:tcPr>
          <w:p w14:paraId="26ECF0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形态</w:t>
            </w:r>
          </w:p>
        </w:tc>
        <w:tc>
          <w:tcPr>
            <w:tcW w:w="437" w:type="pct"/>
            <w:vAlign w:val="center"/>
          </w:tcPr>
          <w:p w14:paraId="6AD748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危险特性</w:t>
            </w:r>
          </w:p>
        </w:tc>
        <w:tc>
          <w:tcPr>
            <w:tcW w:w="543" w:type="pct"/>
            <w:vAlign w:val="center"/>
          </w:tcPr>
          <w:p w14:paraId="5FF970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产生量（t/a）</w:t>
            </w:r>
          </w:p>
        </w:tc>
        <w:tc>
          <w:tcPr>
            <w:tcW w:w="1247" w:type="pct"/>
            <w:vAlign w:val="center"/>
          </w:tcPr>
          <w:p w14:paraId="7F5D72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处置方法</w:t>
            </w:r>
          </w:p>
        </w:tc>
      </w:tr>
      <w:tr w14:paraId="7C364F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7" w:type="pct"/>
            <w:vAlign w:val="center"/>
          </w:tcPr>
          <w:p w14:paraId="042BA9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627" w:type="pct"/>
            <w:shd w:val="clear" w:color="auto" w:fill="auto"/>
            <w:vAlign w:val="center"/>
          </w:tcPr>
          <w:p w14:paraId="1A1DD0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成品油检验产生的废油</w:t>
            </w:r>
          </w:p>
        </w:tc>
        <w:tc>
          <w:tcPr>
            <w:tcW w:w="390" w:type="pct"/>
            <w:shd w:val="clear" w:color="auto" w:fill="auto"/>
            <w:vAlign w:val="center"/>
          </w:tcPr>
          <w:p w14:paraId="04E2EC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c>
          <w:tcPr>
            <w:tcW w:w="611" w:type="pct"/>
            <w:shd w:val="clear" w:color="auto" w:fill="auto"/>
            <w:vAlign w:val="center"/>
          </w:tcPr>
          <w:p w14:paraId="79CCDE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w:t>
            </w:r>
          </w:p>
        </w:tc>
        <w:tc>
          <w:tcPr>
            <w:tcW w:w="416" w:type="pct"/>
            <w:shd w:val="clear" w:color="auto" w:fill="auto"/>
            <w:vAlign w:val="center"/>
          </w:tcPr>
          <w:p w14:paraId="3CFCD8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动植物油脂</w:t>
            </w:r>
          </w:p>
        </w:tc>
        <w:tc>
          <w:tcPr>
            <w:tcW w:w="418" w:type="pct"/>
            <w:shd w:val="clear" w:color="auto" w:fill="auto"/>
            <w:vAlign w:val="center"/>
          </w:tcPr>
          <w:p w14:paraId="4AFCD2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液态</w:t>
            </w:r>
          </w:p>
        </w:tc>
        <w:tc>
          <w:tcPr>
            <w:tcW w:w="437" w:type="pct"/>
            <w:shd w:val="clear" w:color="auto" w:fill="auto"/>
            <w:vAlign w:val="center"/>
          </w:tcPr>
          <w:p w14:paraId="602C97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2"/>
                <w:u w:val="none" w:color="auto"/>
                <w14:textFill>
                  <w14:solidFill>
                    <w14:schemeClr w14:val="tx1"/>
                  </w14:solidFill>
                </w14:textFill>
              </w:rPr>
              <w:t>/</w:t>
            </w:r>
          </w:p>
        </w:tc>
        <w:tc>
          <w:tcPr>
            <w:tcW w:w="543" w:type="pct"/>
            <w:shd w:val="clear" w:color="auto" w:fill="auto"/>
            <w:vAlign w:val="center"/>
          </w:tcPr>
          <w:p w14:paraId="29AC1F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2"/>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2"/>
                <w:u w:val="none" w:color="auto"/>
                <w:lang w:val="en-US" w:eastAsia="zh-CN"/>
                <w14:textFill>
                  <w14:solidFill>
                    <w14:schemeClr w14:val="tx1"/>
                  </w14:solidFill>
                </w14:textFill>
              </w:rPr>
              <w:t>0.1</w:t>
            </w:r>
          </w:p>
        </w:tc>
        <w:tc>
          <w:tcPr>
            <w:tcW w:w="1247" w:type="pct"/>
            <w:shd w:val="clear" w:color="auto" w:fill="auto"/>
            <w:vAlign w:val="center"/>
          </w:tcPr>
          <w:p w14:paraId="4B4DA1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回用生产</w:t>
            </w:r>
            <w:r>
              <w:rPr>
                <w:rFonts w:hint="eastAsia" w:eastAsia="宋体" w:cs="Times New Roman"/>
                <w:color w:val="000000" w:themeColor="text1"/>
                <w:u w:val="none" w:color="auto"/>
                <w:lang w:val="en-US" w:eastAsia="zh-CN"/>
                <w14:textFill>
                  <w14:solidFill>
                    <w14:schemeClr w14:val="tx1"/>
                  </w14:solidFill>
                </w14:textFill>
              </w:rPr>
              <w:t>，不作为一般固废管理</w:t>
            </w:r>
          </w:p>
        </w:tc>
      </w:tr>
      <w:tr w14:paraId="37B3A1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7" w:type="pct"/>
            <w:vAlign w:val="center"/>
          </w:tcPr>
          <w:p w14:paraId="4A92D6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627" w:type="pct"/>
            <w:vAlign w:val="center"/>
          </w:tcPr>
          <w:p w14:paraId="7E494E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污水处理设施隔油池产生的浮渣</w:t>
            </w:r>
          </w:p>
        </w:tc>
        <w:tc>
          <w:tcPr>
            <w:tcW w:w="390" w:type="pct"/>
            <w:vAlign w:val="center"/>
          </w:tcPr>
          <w:p w14:paraId="5D582E06">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eastAsia="宋体" w:cs="Times New Roman"/>
                <w:color w:val="000000" w:themeColor="text1"/>
                <w:u w:val="none" w:color="auto"/>
                <w:lang w:eastAsia="zh-CN"/>
                <w14:textFill>
                  <w14:solidFill>
                    <w14:schemeClr w14:val="tx1"/>
                  </w14:solidFill>
                </w14:textFill>
              </w:rPr>
              <w:t>/</w:t>
            </w:r>
          </w:p>
        </w:tc>
        <w:tc>
          <w:tcPr>
            <w:tcW w:w="611" w:type="pct"/>
            <w:shd w:val="clear" w:color="auto" w:fill="auto"/>
            <w:vAlign w:val="center"/>
          </w:tcPr>
          <w:p w14:paraId="2283D3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w:t>
            </w:r>
          </w:p>
        </w:tc>
        <w:tc>
          <w:tcPr>
            <w:tcW w:w="416" w:type="pct"/>
            <w:vAlign w:val="center"/>
          </w:tcPr>
          <w:p w14:paraId="324DD2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w:t>
            </w:r>
          </w:p>
        </w:tc>
        <w:tc>
          <w:tcPr>
            <w:tcW w:w="418" w:type="pct"/>
            <w:vAlign w:val="center"/>
          </w:tcPr>
          <w:p w14:paraId="6E7E36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固态</w:t>
            </w:r>
          </w:p>
        </w:tc>
        <w:tc>
          <w:tcPr>
            <w:tcW w:w="437" w:type="pct"/>
            <w:vAlign w:val="center"/>
          </w:tcPr>
          <w:p w14:paraId="7B0BDF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2"/>
                <w:u w:val="none" w:color="auto"/>
                <w14:textFill>
                  <w14:solidFill>
                    <w14:schemeClr w14:val="tx1"/>
                  </w14:solidFill>
                </w14:textFill>
              </w:rPr>
            </w:pPr>
            <w:r>
              <w:rPr>
                <w:rFonts w:hint="default" w:ascii="Times New Roman" w:hAnsi="Times New Roman" w:eastAsia="宋体" w:cs="Times New Roman"/>
                <w:color w:val="000000" w:themeColor="text1"/>
                <w:sz w:val="22"/>
                <w:u w:val="none" w:color="auto"/>
                <w14:textFill>
                  <w14:solidFill>
                    <w14:schemeClr w14:val="tx1"/>
                  </w14:solidFill>
                </w14:textFill>
              </w:rPr>
              <w:t>/</w:t>
            </w:r>
          </w:p>
        </w:tc>
        <w:tc>
          <w:tcPr>
            <w:tcW w:w="543" w:type="pct"/>
            <w:vAlign w:val="center"/>
          </w:tcPr>
          <w:p w14:paraId="119A7B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2"/>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2"/>
                <w:u w:val="none" w:color="auto"/>
                <w:lang w:val="en-US" w:eastAsia="zh-CN"/>
                <w14:textFill>
                  <w14:solidFill>
                    <w14:schemeClr w14:val="tx1"/>
                  </w14:solidFill>
                </w14:textFill>
              </w:rPr>
              <w:t>0.1</w:t>
            </w:r>
          </w:p>
        </w:tc>
        <w:tc>
          <w:tcPr>
            <w:tcW w:w="1247" w:type="pct"/>
            <w:vAlign w:val="center"/>
          </w:tcPr>
          <w:p w14:paraId="6E907A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回用生产</w:t>
            </w:r>
            <w:r>
              <w:rPr>
                <w:rFonts w:hint="eastAsia" w:eastAsia="宋体" w:cs="Times New Roman"/>
                <w:color w:val="000000" w:themeColor="text1"/>
                <w:u w:val="none" w:color="auto"/>
                <w:lang w:val="en-US" w:eastAsia="zh-CN"/>
                <w14:textFill>
                  <w14:solidFill>
                    <w14:schemeClr w14:val="tx1"/>
                  </w14:solidFill>
                </w14:textFill>
              </w:rPr>
              <w:t>，不作为一般固废管理</w:t>
            </w:r>
          </w:p>
        </w:tc>
      </w:tr>
      <w:tr w14:paraId="47FC4E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7" w:type="pct"/>
            <w:vAlign w:val="center"/>
          </w:tcPr>
          <w:p w14:paraId="30771F5E">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w:t>
            </w:r>
          </w:p>
        </w:tc>
        <w:tc>
          <w:tcPr>
            <w:tcW w:w="627" w:type="pct"/>
            <w:shd w:val="clear" w:color="auto" w:fill="auto"/>
            <w:vAlign w:val="center"/>
          </w:tcPr>
          <w:p w14:paraId="5B0B4D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废弃油脂加工产生的废渣</w:t>
            </w:r>
          </w:p>
        </w:tc>
        <w:tc>
          <w:tcPr>
            <w:tcW w:w="390" w:type="pct"/>
            <w:shd w:val="clear" w:color="auto" w:fill="auto"/>
            <w:vAlign w:val="center"/>
          </w:tcPr>
          <w:p w14:paraId="1B35FBE9">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一般固废</w:t>
            </w:r>
          </w:p>
        </w:tc>
        <w:tc>
          <w:tcPr>
            <w:tcW w:w="611" w:type="pct"/>
            <w:shd w:val="clear" w:color="auto" w:fill="auto"/>
            <w:vAlign w:val="center"/>
          </w:tcPr>
          <w:p w14:paraId="3FDA07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SW59</w:t>
            </w:r>
          </w:p>
          <w:p w14:paraId="06A50414">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900-099-S</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59</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416" w:type="pct"/>
            <w:shd w:val="clear" w:color="auto" w:fill="auto"/>
            <w:vAlign w:val="center"/>
          </w:tcPr>
          <w:p w14:paraId="0C8602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w:t>
            </w:r>
          </w:p>
        </w:tc>
        <w:tc>
          <w:tcPr>
            <w:tcW w:w="418" w:type="pct"/>
            <w:shd w:val="clear" w:color="auto" w:fill="auto"/>
            <w:vAlign w:val="center"/>
          </w:tcPr>
          <w:p w14:paraId="44C31A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2"/>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固态</w:t>
            </w:r>
          </w:p>
        </w:tc>
        <w:tc>
          <w:tcPr>
            <w:tcW w:w="437" w:type="pct"/>
            <w:shd w:val="clear" w:color="auto" w:fill="auto"/>
            <w:vAlign w:val="center"/>
          </w:tcPr>
          <w:p w14:paraId="7300A1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2"/>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2"/>
                <w:u w:val="none" w:color="auto"/>
                <w14:textFill>
                  <w14:solidFill>
                    <w14:schemeClr w14:val="tx1"/>
                  </w14:solidFill>
                </w14:textFill>
              </w:rPr>
              <w:t>/</w:t>
            </w:r>
          </w:p>
        </w:tc>
        <w:tc>
          <w:tcPr>
            <w:tcW w:w="543" w:type="pct"/>
            <w:shd w:val="clear" w:color="auto" w:fill="auto"/>
            <w:vAlign w:val="center"/>
          </w:tcPr>
          <w:p w14:paraId="61AF46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248</w:t>
            </w:r>
          </w:p>
        </w:tc>
        <w:tc>
          <w:tcPr>
            <w:tcW w:w="1247" w:type="pct"/>
            <w:shd w:val="clear" w:color="auto" w:fill="auto"/>
            <w:vAlign w:val="center"/>
          </w:tcPr>
          <w:p w14:paraId="681A0E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交由有关单位进行综合利用或处置</w:t>
            </w:r>
          </w:p>
        </w:tc>
      </w:tr>
      <w:tr w14:paraId="25596C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7" w:type="pct"/>
            <w:vAlign w:val="center"/>
          </w:tcPr>
          <w:p w14:paraId="074B7A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627" w:type="pct"/>
            <w:vAlign w:val="center"/>
          </w:tcPr>
          <w:p w14:paraId="75972A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生活垃圾</w:t>
            </w:r>
          </w:p>
        </w:tc>
        <w:tc>
          <w:tcPr>
            <w:tcW w:w="390" w:type="pct"/>
            <w:vAlign w:val="center"/>
          </w:tcPr>
          <w:p w14:paraId="4340BD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一般固废</w:t>
            </w:r>
          </w:p>
        </w:tc>
        <w:tc>
          <w:tcPr>
            <w:tcW w:w="611" w:type="pct"/>
            <w:vAlign w:val="center"/>
          </w:tcPr>
          <w:p w14:paraId="783F18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SW64</w:t>
            </w:r>
          </w:p>
          <w:p w14:paraId="661409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900-099-S</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416" w:type="pct"/>
            <w:vAlign w:val="center"/>
          </w:tcPr>
          <w:p w14:paraId="29ADF3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生活垃圾</w:t>
            </w:r>
          </w:p>
        </w:tc>
        <w:tc>
          <w:tcPr>
            <w:tcW w:w="418" w:type="pct"/>
            <w:vAlign w:val="center"/>
          </w:tcPr>
          <w:p w14:paraId="115213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固态</w:t>
            </w:r>
          </w:p>
        </w:tc>
        <w:tc>
          <w:tcPr>
            <w:tcW w:w="437" w:type="pct"/>
            <w:vAlign w:val="center"/>
          </w:tcPr>
          <w:p w14:paraId="14D3AC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2"/>
                <w:u w:val="none" w:color="auto"/>
                <w14:textFill>
                  <w14:solidFill>
                    <w14:schemeClr w14:val="tx1"/>
                  </w14:solidFill>
                </w14:textFill>
              </w:rPr>
              <w:t>/</w:t>
            </w:r>
          </w:p>
        </w:tc>
        <w:tc>
          <w:tcPr>
            <w:tcW w:w="543" w:type="pct"/>
            <w:vAlign w:val="center"/>
          </w:tcPr>
          <w:p w14:paraId="17874A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2"/>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2"/>
                <w:u w:val="none" w:color="auto"/>
                <w:lang w:val="en-US" w:eastAsia="zh-CN"/>
                <w14:textFill>
                  <w14:solidFill>
                    <w14:schemeClr w14:val="tx1"/>
                  </w14:solidFill>
                </w14:textFill>
              </w:rPr>
              <w:t>3</w:t>
            </w:r>
          </w:p>
        </w:tc>
        <w:tc>
          <w:tcPr>
            <w:tcW w:w="1247" w:type="pct"/>
            <w:vAlign w:val="center"/>
          </w:tcPr>
          <w:p w14:paraId="3C3DAE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交由环卫部门处理</w:t>
            </w:r>
          </w:p>
        </w:tc>
      </w:tr>
      <w:tr w14:paraId="07BC4B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7" w:type="pct"/>
            <w:vAlign w:val="center"/>
          </w:tcPr>
          <w:p w14:paraId="72951F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627" w:type="pct"/>
            <w:vAlign w:val="center"/>
          </w:tcPr>
          <w:p w14:paraId="5DF3B2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废气处理设施产生的废过滤棉</w:t>
            </w:r>
          </w:p>
        </w:tc>
        <w:tc>
          <w:tcPr>
            <w:tcW w:w="390" w:type="pct"/>
            <w:vAlign w:val="center"/>
          </w:tcPr>
          <w:p w14:paraId="690398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w:t>
            </w:r>
          </w:p>
        </w:tc>
        <w:tc>
          <w:tcPr>
            <w:tcW w:w="611" w:type="pct"/>
            <w:vAlign w:val="center"/>
          </w:tcPr>
          <w:p w14:paraId="4A10CE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HW49</w:t>
            </w:r>
          </w:p>
          <w:p w14:paraId="01D734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（900-041-49）</w:t>
            </w:r>
          </w:p>
        </w:tc>
        <w:tc>
          <w:tcPr>
            <w:tcW w:w="416" w:type="pct"/>
            <w:vAlign w:val="center"/>
          </w:tcPr>
          <w:p w14:paraId="37F85E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废过滤棉</w:t>
            </w:r>
          </w:p>
        </w:tc>
        <w:tc>
          <w:tcPr>
            <w:tcW w:w="418" w:type="pct"/>
            <w:vAlign w:val="center"/>
          </w:tcPr>
          <w:p w14:paraId="4E47DC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固态</w:t>
            </w:r>
          </w:p>
        </w:tc>
        <w:tc>
          <w:tcPr>
            <w:tcW w:w="437" w:type="pct"/>
            <w:vAlign w:val="center"/>
          </w:tcPr>
          <w:p w14:paraId="35E290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T，In</w:t>
            </w:r>
          </w:p>
        </w:tc>
        <w:tc>
          <w:tcPr>
            <w:tcW w:w="543" w:type="pct"/>
            <w:vAlign w:val="center"/>
          </w:tcPr>
          <w:p w14:paraId="4FD56B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0.004</w:t>
            </w:r>
          </w:p>
        </w:tc>
        <w:tc>
          <w:tcPr>
            <w:tcW w:w="1247" w:type="pct"/>
            <w:vMerge w:val="restart"/>
            <w:vAlign w:val="center"/>
          </w:tcPr>
          <w:p w14:paraId="49817D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交由有资质单位进行处理</w:t>
            </w:r>
          </w:p>
        </w:tc>
      </w:tr>
      <w:tr w14:paraId="27B55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7" w:type="pct"/>
            <w:vAlign w:val="center"/>
          </w:tcPr>
          <w:p w14:paraId="5DADE1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w:t>
            </w:r>
          </w:p>
        </w:tc>
        <w:tc>
          <w:tcPr>
            <w:tcW w:w="627" w:type="pct"/>
            <w:vAlign w:val="center"/>
          </w:tcPr>
          <w:p w14:paraId="72C273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废气处理设施产生的废活性炭</w:t>
            </w:r>
          </w:p>
        </w:tc>
        <w:tc>
          <w:tcPr>
            <w:tcW w:w="390" w:type="pct"/>
            <w:vAlign w:val="center"/>
          </w:tcPr>
          <w:p w14:paraId="28E847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w:t>
            </w:r>
          </w:p>
        </w:tc>
        <w:tc>
          <w:tcPr>
            <w:tcW w:w="611" w:type="pct"/>
            <w:vAlign w:val="center"/>
          </w:tcPr>
          <w:p w14:paraId="7204AD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HW4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p>
          <w:p w14:paraId="388FD7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39</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416" w:type="pct"/>
            <w:vAlign w:val="center"/>
          </w:tcPr>
          <w:p w14:paraId="015A64E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废活性炭</w:t>
            </w:r>
          </w:p>
        </w:tc>
        <w:tc>
          <w:tcPr>
            <w:tcW w:w="418" w:type="pct"/>
            <w:vAlign w:val="center"/>
          </w:tcPr>
          <w:p w14:paraId="03DDBD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固态</w:t>
            </w:r>
          </w:p>
        </w:tc>
        <w:tc>
          <w:tcPr>
            <w:tcW w:w="437" w:type="pct"/>
            <w:vAlign w:val="center"/>
          </w:tcPr>
          <w:p w14:paraId="6CB3DC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w:t>
            </w:r>
          </w:p>
        </w:tc>
        <w:tc>
          <w:tcPr>
            <w:tcW w:w="543" w:type="pct"/>
            <w:vAlign w:val="center"/>
          </w:tcPr>
          <w:p w14:paraId="4B0FF8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1.6</w:t>
            </w:r>
          </w:p>
        </w:tc>
        <w:tc>
          <w:tcPr>
            <w:tcW w:w="1247" w:type="pct"/>
            <w:vMerge w:val="continue"/>
            <w:vAlign w:val="center"/>
          </w:tcPr>
          <w:p w14:paraId="3EC85D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10EEDA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7" w:type="pct"/>
            <w:vAlign w:val="center"/>
          </w:tcPr>
          <w:p w14:paraId="729AF1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w:t>
            </w:r>
          </w:p>
        </w:tc>
        <w:tc>
          <w:tcPr>
            <w:tcW w:w="627" w:type="pct"/>
            <w:vAlign w:val="center"/>
          </w:tcPr>
          <w:p w14:paraId="3D3D9F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设备检修产生的废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润滑油</w:t>
            </w:r>
          </w:p>
        </w:tc>
        <w:tc>
          <w:tcPr>
            <w:tcW w:w="390" w:type="pct"/>
            <w:vAlign w:val="center"/>
          </w:tcPr>
          <w:p w14:paraId="000E61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w:t>
            </w:r>
          </w:p>
        </w:tc>
        <w:tc>
          <w:tcPr>
            <w:tcW w:w="611" w:type="pct"/>
            <w:vAlign w:val="center"/>
          </w:tcPr>
          <w:p w14:paraId="42C1FA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HW</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08</w:t>
            </w:r>
          </w:p>
          <w:p w14:paraId="26BF5F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214-08</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416" w:type="pct"/>
            <w:vAlign w:val="center"/>
          </w:tcPr>
          <w:p w14:paraId="16BA78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废矿物油</w:t>
            </w:r>
          </w:p>
        </w:tc>
        <w:tc>
          <w:tcPr>
            <w:tcW w:w="418" w:type="pct"/>
            <w:vAlign w:val="center"/>
          </w:tcPr>
          <w:p w14:paraId="0ABD3B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液态</w:t>
            </w:r>
          </w:p>
        </w:tc>
        <w:tc>
          <w:tcPr>
            <w:tcW w:w="437" w:type="pct"/>
            <w:vAlign w:val="center"/>
          </w:tcPr>
          <w:p w14:paraId="189B4B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T，I</w:t>
            </w:r>
          </w:p>
        </w:tc>
        <w:tc>
          <w:tcPr>
            <w:tcW w:w="543" w:type="pct"/>
            <w:vAlign w:val="center"/>
          </w:tcPr>
          <w:p w14:paraId="18BAE2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0.1</w:t>
            </w:r>
          </w:p>
        </w:tc>
        <w:tc>
          <w:tcPr>
            <w:tcW w:w="1247" w:type="pct"/>
            <w:vMerge w:val="continue"/>
            <w:vAlign w:val="center"/>
          </w:tcPr>
          <w:p w14:paraId="549270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1D2B84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7" w:type="pct"/>
            <w:vAlign w:val="center"/>
          </w:tcPr>
          <w:p w14:paraId="364E1F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w:t>
            </w:r>
          </w:p>
        </w:tc>
        <w:tc>
          <w:tcPr>
            <w:tcW w:w="627" w:type="pct"/>
            <w:vAlign w:val="center"/>
          </w:tcPr>
          <w:p w14:paraId="6E0E0C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废劳保用品</w:t>
            </w:r>
          </w:p>
        </w:tc>
        <w:tc>
          <w:tcPr>
            <w:tcW w:w="390" w:type="pct"/>
            <w:vAlign w:val="center"/>
          </w:tcPr>
          <w:p w14:paraId="2BF2779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w:t>
            </w:r>
          </w:p>
        </w:tc>
        <w:tc>
          <w:tcPr>
            <w:tcW w:w="611" w:type="pct"/>
            <w:vAlign w:val="center"/>
          </w:tcPr>
          <w:p w14:paraId="1EA8E8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HW49</w:t>
            </w:r>
          </w:p>
          <w:p w14:paraId="14DB43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41</w:t>
            </w:r>
            <w:r>
              <w:rPr>
                <w:rFonts w:hint="default" w:ascii="Times New Roman" w:hAnsi="Times New Roman" w:eastAsia="宋体" w:cs="Times New Roman"/>
                <w:color w:val="000000" w:themeColor="text1"/>
                <w:u w:val="none" w:color="auto"/>
                <w14:textFill>
                  <w14:solidFill>
                    <w14:schemeClr w14:val="tx1"/>
                  </w14:solidFill>
                </w14:textFill>
              </w:rPr>
              <w:t>-49）</w:t>
            </w:r>
          </w:p>
        </w:tc>
        <w:tc>
          <w:tcPr>
            <w:tcW w:w="416" w:type="pct"/>
            <w:vAlign w:val="center"/>
          </w:tcPr>
          <w:p w14:paraId="6458D2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废矿物油</w:t>
            </w:r>
          </w:p>
        </w:tc>
        <w:tc>
          <w:tcPr>
            <w:tcW w:w="418" w:type="pct"/>
            <w:vAlign w:val="center"/>
          </w:tcPr>
          <w:p w14:paraId="3E9D14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固态</w:t>
            </w:r>
          </w:p>
        </w:tc>
        <w:tc>
          <w:tcPr>
            <w:tcW w:w="437" w:type="pct"/>
            <w:vAlign w:val="center"/>
          </w:tcPr>
          <w:p w14:paraId="2B325F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T，In</w:t>
            </w:r>
          </w:p>
        </w:tc>
        <w:tc>
          <w:tcPr>
            <w:tcW w:w="543" w:type="pct"/>
            <w:vAlign w:val="center"/>
          </w:tcPr>
          <w:p w14:paraId="468473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0.1</w:t>
            </w:r>
          </w:p>
        </w:tc>
        <w:tc>
          <w:tcPr>
            <w:tcW w:w="1247" w:type="pct"/>
            <w:vMerge w:val="continue"/>
            <w:vAlign w:val="center"/>
          </w:tcPr>
          <w:p w14:paraId="625976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bl>
    <w:p w14:paraId="698B36A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6840" w:h="11907" w:orient="landscape"/>
          <w:pgMar w:top="1797" w:right="1440" w:bottom="1797" w:left="1440" w:header="964" w:footer="851" w:gutter="0"/>
          <w:pgBorders>
            <w:top w:val="none" w:sz="0" w:space="0"/>
            <w:left w:val="none" w:sz="0" w:space="0"/>
            <w:bottom w:val="none" w:sz="0" w:space="0"/>
            <w:right w:val="none" w:sz="0" w:space="0"/>
          </w:pgBorders>
          <w:cols w:space="720" w:num="1"/>
          <w:docGrid w:linePitch="297" w:charSpace="200"/>
        </w:sectPr>
      </w:pPr>
    </w:p>
    <w:p w14:paraId="4B0F45DE">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166" w:name="_Toc191240001"/>
      <w:bookmarkStart w:id="167" w:name="_Toc16448"/>
      <w:bookmarkStart w:id="168" w:name="_Toc187011310"/>
      <w:r>
        <w:rPr>
          <w:rFonts w:hint="default" w:ascii="Times New Roman" w:hAnsi="Times New Roman" w:eastAsia="宋体" w:cs="Times New Roman"/>
          <w:color w:val="000000" w:themeColor="text1"/>
          <w:u w:val="none" w:color="auto"/>
          <w14:textFill>
            <w14:solidFill>
              <w14:schemeClr w14:val="tx1"/>
            </w14:solidFill>
          </w14:textFill>
        </w:rPr>
        <w:t>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章 区域环境概况</w:t>
      </w:r>
      <w:bookmarkEnd w:id="166"/>
      <w:bookmarkEnd w:id="167"/>
      <w:bookmarkEnd w:id="168"/>
    </w:p>
    <w:p w14:paraId="23F8412C">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69" w:name="_Toc171081675"/>
      <w:bookmarkStart w:id="170" w:name="_Toc14817"/>
      <w:bookmarkStart w:id="171" w:name="_Toc191240002"/>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 自然环境概况</w:t>
      </w:r>
      <w:bookmarkEnd w:id="169"/>
      <w:bookmarkEnd w:id="170"/>
      <w:bookmarkEnd w:id="171"/>
    </w:p>
    <w:p w14:paraId="05E9019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72" w:name="_Toc21699"/>
      <w:bookmarkStart w:id="173" w:name="_Toc191240003"/>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1.1 地理位置</w:t>
      </w:r>
      <w:bookmarkEnd w:id="172"/>
      <w:bookmarkEnd w:id="173"/>
    </w:p>
    <w:p w14:paraId="56EDBD37">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位于湘、鄂、赣三省交界处，湖南省东北边陲，地处东经113°11′至114°09′，北纬28°25′33″至29°06′之间。东西长为98.5公里，南北长为76公里。东与江西省修水县、铜鼓县接壤；南与浏阳市、长沙县毗邻；西与汨罗市交界；北与岳阳县和湖北省通城县相连。东北面以山为界，西南面以水为界。</w:t>
      </w:r>
    </w:p>
    <w:p w14:paraId="7980C0E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74" w:name="_Toc191240004"/>
      <w:bookmarkStart w:id="175" w:name="_Toc171081677"/>
      <w:bookmarkStart w:id="176" w:name="_Toc2557"/>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1.2 地形地貌地质</w:t>
      </w:r>
      <w:bookmarkEnd w:id="174"/>
      <w:bookmarkEnd w:id="175"/>
      <w:bookmarkEnd w:id="176"/>
    </w:p>
    <w:p w14:paraId="5B74E9D5">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地质环境复杂，地层发育齐全。地势东南、东北高，西南低，相对高度达1500m。东北多以山为界，西南以水为界。境内四面环山，分属连云山脉和幕阜山脉。地貌以山地和丘陵为主，山地占总面积的28.5%，丘陵占56%，岗地占5.7%，平原占9.8%。</w:t>
      </w:r>
    </w:p>
    <w:p w14:paraId="2F3B65B9">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地处湘阴—汨罗断陷盆地边缘，白沙井组红色黏土分布较多，形成了红土山冈地低丘区，区内地形地貌简单，地层岩相对稳定，分布均匀，岩土体的水文地质条件和岩土工程地质条件简单。项目区未发现坍塌、滑坡及泥石流等不良地质灾害产生的迹象，根据其地形、岩层和水文等地质条件，预计在工程建设中产生较大的地质灾害的可能性不大，并且未发现可溶性岩类和具有工业开发价值的重要矿产，无压覆矿产，不会产生水文地质条件和工程地质条件改变而产生的坍塌和岩土体滑坡现象，具体工程项目的建设地质情况需要详细勘察。</w:t>
      </w:r>
    </w:p>
    <w:p w14:paraId="14BA3FC7">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项目区地下水类型主要为上层滞水，含水层为上层填土层，粘土层及风化板岩为不透水层，地下水主要为天然降水及生活用水补给，根据经验，地下水对砼无侵蚀作用。</w:t>
      </w:r>
    </w:p>
    <w:p w14:paraId="482D7967">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平江县抗震设防烈度为6度，设计地震加速度为0.05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g，设计地震分组为第一组，本场地为中硬场地土、属Ⅱ类建筑场地，特征周期为0.35，建筑抗震为有利地段。</w:t>
      </w:r>
    </w:p>
    <w:p w14:paraId="1397428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77" w:name="_Toc191240005"/>
      <w:bookmarkStart w:id="178" w:name="_Toc16673"/>
      <w:bookmarkStart w:id="179" w:name="_Toc171081678"/>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1.3 气候气象</w:t>
      </w:r>
      <w:bookmarkEnd w:id="177"/>
      <w:bookmarkEnd w:id="178"/>
      <w:bookmarkEnd w:id="179"/>
    </w:p>
    <w:p w14:paraId="2CE01447">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（1）气象</w:t>
      </w:r>
    </w:p>
    <w:p w14:paraId="2B76BC77">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境内气候属大陆季风气候区，东亚热带向北亚热带过渡气候带。平均气温17.6摄氏度，一月平均气温5.0摄氏度，七月平均气温28.9摄氏度，多年平均气压1002.9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hPa，多年平均降水量1474.4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mm，多年平均相对湿度为77.1%，多年平均风速1.3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m/s，多年主导风向为NW、风向频率为11.65%。主要气候特征为：春温多雨、寒流频繁，降水集中；夏秋多旱；严寒期短，无霜期长；风小、雾多、湿度大。全年无霜期263天。</w:t>
      </w:r>
    </w:p>
    <w:p w14:paraId="0528DE73">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（2）气温</w:t>
      </w:r>
    </w:p>
    <w:p w14:paraId="0BEAA49E">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境内年平均气温17.6℃。年均气温及积温随海拔增高而降低，汨罗江沿岸平原河谷地带，年均气温一般在17℃左右，而境东北幕阜山及境东南连云山一带，年均气温一般在8.6℃以下，相差8.4℃，相当于从湖南长沙到辽宁营口水平方向上的温差。一月份平均气温5.0℃，极端最低气温为－12℃（1972年2月9日）。七月份平均气温28.9℃，极端最高气温40.3℃（1971年7月26日）。年平均气温5℃以上的时期为295天。</w:t>
      </w:r>
    </w:p>
    <w:p w14:paraId="43B9F5C6">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（3）风向</w:t>
      </w:r>
    </w:p>
    <w:p w14:paraId="5016857F">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地处湿润的大陆季风气候区，属中亚热带向北区亚热带过度气候带，夏季多东南风，冬季多西北风，偏西风占20%，偏南风占5%，静风日142天，长年静风期占39%。多年均风速为1.4米/秒，最大风速为28米/秒（1957年6月4日）。大风发生的机会以4、7、8月较多，占全年大风天数的57.8%。</w:t>
      </w:r>
    </w:p>
    <w:p w14:paraId="0B0C2771">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（4）降水</w:t>
      </w:r>
    </w:p>
    <w:p w14:paraId="6C51C668">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由于地形复杂，降水地域分布有较大差异，年降水量自西向东沿汨罗江顺流而上诼步增加。下游栗山年降水为1310毫米，上游浆市为1610毫米，最多年份为2020毫米，相差710毫米。由于受季风和副热带高气压的影响，降水量在年内也分布不均匀，呈春夏多秋冬少的规律。多年平均降雨量1550.78毫米，年最大降水量2749.9毫米、最小降雨量992.8毫米；春秋雨季降雨量905.65毫米，占年降雨量的58.4%。年均蒸发量为741.5毫米，相对湿度为82%，最小相对湿度为9%。多年平均降水日为160天，降水年际变化大。</w:t>
      </w:r>
    </w:p>
    <w:p w14:paraId="18357201">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（5）日照</w:t>
      </w:r>
    </w:p>
    <w:p w14:paraId="55634B55">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年均日照时数1731.1小时，日照率39‰，全年太阳光能辐射总量为108.5千卡/平方厘米，光合作用有效辐射为54.25千卡/平方厘米。汨罗江沿岸及县境西部，由于地势较平缓，开阔，日照充足。沿栗山至幕阜山、连云山一带，年日照时数从1780小时减至1400小时。1963年日照最多，计2040.4小时，1982年日照最少，计1405.3小时。全年日照时数中，大于或等于10℃的日照时数为1341.2小时，占全年日照量的77.5%。</w:t>
      </w:r>
    </w:p>
    <w:p w14:paraId="5D4DD3D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80" w:name="_Toc171081679"/>
      <w:bookmarkStart w:id="181" w:name="_Toc191240006"/>
      <w:bookmarkStart w:id="182" w:name="_Toc7662"/>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1.4 水文水系</w:t>
      </w:r>
      <w:bookmarkEnd w:id="180"/>
      <w:bookmarkEnd w:id="181"/>
      <w:bookmarkEnd w:id="182"/>
    </w:p>
    <w:p w14:paraId="0DC4E8C1">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境内河网密布，分属汨罗江和新墙河两大水系。汨罗江流域面积占96.1%；新墙河流面积占3.9%。汨水自东向西贯穿全境，境内全长192.9公里，有大小支流141条，总长2656.9公里，河网密度0.64公里/平方公里。径流总量32.56亿立方米。</w:t>
      </w:r>
    </w:p>
    <w:p w14:paraId="5621DB13">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汨罗江发源于黄龙山梨树埚（江西修水县境）。经修水白石桥至龙门进入县境，自东向西贯穿全县，由新市街入汨罗市。境内全长192.9公里，流经金龙、长寿、嘉义、安定、三阳、城关、瓮江、谈岑、栗山等9个区（镇）、22个乡、122个村。流域面积4053.3平方公里，落差107.5米，平均坡降4‰。汨罗江流域降水量充沛，雨量多发在4～8月，河水受降水影响明显。根据当地黄旗水文站资料，该河流域历史最高水位为47.69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m，最低水位为31.5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m，河流断面流量825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/s，平均流速0.95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m/s，水面宽230米，平均水深3.9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m，最大水深5.7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m，历史未发生特大水灾及断流。干流多年平均径流量为43.04亿立方米，汛期为5-8月，径流量占全年总量46.2%，保证率95%的枯水年径流量为5.33亿立方米，多年平均流量129m3/s，多年最大月平均流量231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/s（5月），最小月平均流量26.2 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/s（12月</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1月）。</w:t>
      </w:r>
    </w:p>
    <w:p w14:paraId="6BDE531F">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83" w:name="_Toc11465"/>
      <w:bookmarkStart w:id="184" w:name="_Toc191240007"/>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1.5 土壤环境</w:t>
      </w:r>
      <w:bookmarkEnd w:id="183"/>
      <w:bookmarkEnd w:id="184"/>
    </w:p>
    <w:p w14:paraId="4B27C9B1">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成土母岩质主要有变质岩类、花岗岩类、第三纪红岩类、第四纪红土类等，全县土壤分7个大类，13个亚类，43个土属，66个土种。其中由变质岩类发育而成的土壤面积占全县的55.6%，由花岗岩、第三纪红岩类、砾岩类、第四纪红土类，河流冲积物发育而成的土壤面积分别占全境的18.4%、15.1%、1.1%、9.8%。山地土壤主要有山地红壤、山地黄壤及山地黄棕壤。</w:t>
      </w:r>
    </w:p>
    <w:p w14:paraId="507167D6">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评价区以丘陵山地为主，土层通常较薄，植被不发育，类型较单一。植被类型以油茶林为主，兼有马尾松林、杉木林、杂木灌丛和桔园与农作物植被，林木多低矮、稀疏，山地植被覆盖约在70%左右。</w:t>
      </w:r>
    </w:p>
    <w:p w14:paraId="29A96319">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区内野生木本植物主要物种为油茶、马尾松、杉木、椿树、楠竹、苦楝、槐树、檵木、火棘、盐肤木、山胡椒、桅子花、冬青、构骨、杜荆、女贞、黄檀、金樱子、小果蔷薇、映山红、桔、桃、枇杷、野桐等；草本植物主要有白茅、野古草、香茅草、狗尾草、车前草、野菊花、狗牙根、芒、蒲公英等；另外还有多种蕨类和藤本植物。物种均为常见种，丰度一般，区内农作物主要有水稻、白菜、萝卜等粮食作物和蔬菜类作物。</w:t>
      </w:r>
    </w:p>
    <w:p w14:paraId="624B6E34">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区域内野生动物较少，主要有蛇、鼠、蛙、昆虫类及野兔、黄鼠狼、麻雀、八哥等。家畜主要有猪、牛、羊、鸡、鸭、兔等。水生鱼类资源主要有草鱼、鲤鱼、鲫鱼、鲭鱼、鲢鱼等，调查未发现野生的珍稀濒危动物种类。</w:t>
      </w:r>
    </w:p>
    <w:p w14:paraId="02CF9C9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85" w:name="_Toc19621"/>
      <w:bookmarkStart w:id="186" w:name="_Toc191240008"/>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1.6 生态环境</w:t>
      </w:r>
      <w:bookmarkEnd w:id="185"/>
      <w:bookmarkEnd w:id="186"/>
    </w:p>
    <w:p w14:paraId="71B7A65F">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1.6.1 区域动植物资源现状</w:t>
      </w:r>
    </w:p>
    <w:p w14:paraId="2D766FF8">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（1）动物资源现状</w:t>
      </w:r>
    </w:p>
    <w:p w14:paraId="33B24567">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区域内大部分处于人类长期活动区域，野生动植物的生存环境基本上己遭到破坏。野生动物多为适应耕地和居民点的种类，主要动物物种有斑鸠、喜雀、麻雀等鸟类及鼠类、蛙类、蛇类等常见中小型动物，家畜、家禽主要有猪、牛、羊、鸡、鸭，鱼类有青、草、鲢、鲤、鲫等。</w:t>
      </w:r>
    </w:p>
    <w:p w14:paraId="591D3EC2">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（2）植物资源现状</w:t>
      </w:r>
    </w:p>
    <w:p w14:paraId="51FD771C">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区域内植物资源比较简单，林地以人工次生林、幼林及自然灌木类植物为主。林地主要分布于山坡和山丘顶部等坡度较大地带，谷地多为菜地、农田、民舍。园区内基本无原生植被，多为人工植被，植被主要为农作物群落（水稻、蔬菜）、经济林木和绿化树林。区内现有植物：松树、杉树、油茶树等及农作物群落。通过现场踏勘及向当地居民进行调查了解，规划区域内未发现国家和省级重点保护野生动物，无珍稀保护动物。</w:t>
      </w:r>
    </w:p>
    <w:p w14:paraId="03CF56D3">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1.6.2 罗江平江段斑鳜黄颡鱼国家级水产种质资源保护区</w:t>
      </w:r>
    </w:p>
    <w:p w14:paraId="44429479">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（1）保护区概况</w:t>
      </w:r>
    </w:p>
    <w:p w14:paraId="4946CC29">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2016年12月13日，中华人民共和国农业部公告第2474号，根据《中华人民共和国渔业法》规定和《中国水生生物资源养护行动纲要》有关要求。经农业部审定，批准建立汨罗江平江段斑鳜黄颡鱼国家级水产种质资源保护区。保护区位于湖南省平江县境内的汨罗江加义大桥（113°50′16″E，28°38′35″N）至伍市镇（113°14′18″E，28°47′08″ N）江段，全长150公里，核心区为三市镇爽口大桥（113°42′58″E，28°35′43″N）至浯口镇浯口大桥（113°21′8″E，28°46′23″N）江段，长约85公里。实验区有两处：一是加义大桥（113°50′16″E，28°38′35″N）至爽口大桥（113°42′58″E，28°35′43″N）江段，长35 公里；二是浯口大桥（113°21′08″E，28°46′23″N）至伍市镇（113°14′18″E，28°47′08″ N ）江段，长30公里。保护区总面积1200公顷，其中核心区面积为700公顷，实验区面积为500公顷。</w:t>
      </w:r>
    </w:p>
    <w:p w14:paraId="3C131171">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（2）保护区物种</w:t>
      </w:r>
    </w:p>
    <w:p w14:paraId="42910001">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保护区主要保护对象为斑鳜、黄颡鱼，同时对鮈鱼、乌鳢等物种进行保护。特别保护期为全年。</w:t>
      </w:r>
    </w:p>
    <w:p w14:paraId="4FBA0C0A">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1）斑鳜 Siniperca scherzeri</w:t>
      </w:r>
    </w:p>
    <w:p w14:paraId="2F6CC821">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地方名：岩鳜鱼。</w:t>
      </w:r>
    </w:p>
    <w:p w14:paraId="7B46746C">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形态特征：体中等长，稍侧扁。背部隆起呈弧形，腹部下凸不甚明显。眼位于头的前部，侧上位。眼间头背较宽平。</w:t>
      </w:r>
    </w:p>
    <w:p w14:paraId="58ED5CA7">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2）黄颡鱼 Pelteobagrus fulvidraco</w:t>
      </w:r>
    </w:p>
    <w:p w14:paraId="2508519B">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地方名：黄呀姑、黄鸭叫。</w:t>
      </w:r>
    </w:p>
    <w:p w14:paraId="4B2F601B">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形态特征：身体在腹鳍前较肥胖，由此向后渐侧扁，通常背鳍起点处突高。头部较宽，由后向前渐平扁。眼位于头的前部，侧上位。</w:t>
      </w:r>
    </w:p>
    <w:p w14:paraId="7386B982">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87" w:name="_Toc4924"/>
      <w:bookmarkStart w:id="188" w:name="_Toc191240009"/>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2 平江高新技术产业园概况</w:t>
      </w:r>
      <w:bookmarkEnd w:id="187"/>
      <w:bookmarkEnd w:id="188"/>
    </w:p>
    <w:p w14:paraId="128797EE">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89" w:name="_Toc191240010"/>
      <w:bookmarkStart w:id="190" w:name="_Toc27301"/>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2.1 高新区概况</w:t>
      </w:r>
      <w:bookmarkEnd w:id="189"/>
      <w:bookmarkEnd w:id="190"/>
    </w:p>
    <w:p w14:paraId="76DC47EB">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平江高新技术产业园区，前身为平江伍市工业园、湖南平江工业园。</w:t>
      </w:r>
    </w:p>
    <w:p w14:paraId="7BC006FE">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2002年，湖南省人民政府办公厅《关于同意设立平江伍市工业园的批复》（湘政办函</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2002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24号），批准平江伍市工业园，级别为省级工业园区。</w:t>
      </w:r>
    </w:p>
    <w:p w14:paraId="10D92B99">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2006年，国家发改委发布第8号（国家发改委</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2006</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8号）公告，平江县伍市工业园核准面积2.5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p>
    <w:p w14:paraId="766A40A7">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2013年6月，平江工业园进行规划环评取得《湖南省环保厅&lt;关于湖南平江工业园环评报告书的批复&gt;》（湘环评</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156号），园区规划面积为6.6185 km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以伍市溪为界划分为东部工业区和西部工业区。规划范围西起京珠高速，南至塘沙村-马头村一线，东至秀水村-仕洞村一线，北至平伍公路。产业定位为矿产品加工、食品加工、机械电子，以伍市溪为界划分为东部工业区和西部工业区，其中西片区规划发展机械电子产业，东片区由北向南依次布置食品轻工产业、矿产品加工产业和机械电子产业。</w:t>
      </w:r>
    </w:p>
    <w:p w14:paraId="653F5016">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2014年，《湖南省省级及以上产业园区名录》（湘政函办</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66号），湖南平江工业园核准面积为2.5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，核准产业为汽车制造业、化学原料和化学制造业、食品制造业。</w:t>
      </w:r>
    </w:p>
    <w:p w14:paraId="48F03AED">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2015年5月，湖南省政府（湘政函</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2015</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80号）文批准更名为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平江高新技术产业园区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（以下简称</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平江高新区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p>
    <w:p w14:paraId="43117542">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2016年，湖南省产业园区建设领导小组印发了《2016年全省产业园区主导产业指导目录（修订）》（湘园区</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2016</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4号文），平江高新区核准主导产业为绿色食品加工。</w:t>
      </w:r>
    </w:p>
    <w:p w14:paraId="0FCC32AE">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2018年，《中国开发区审核公告目录（2018年版）》，平江高新区核准面积为2.2776 km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，主导产业为食品、新材料、装备制造。</w:t>
      </w:r>
    </w:p>
    <w:p w14:paraId="27C0FE8D">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2021年6月，《湖南省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十四五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产业园区发展规划（湘发改地区</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394号）》，主导产业：休闲食品；特色产业：新材料（云母制品、石膏制品）、电子信息。</w:t>
      </w:r>
    </w:p>
    <w:p w14:paraId="31F229AF">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2022年8月，省发改委和省自然资源厅发布了《关于发布湖南省省级及以上产业园区边界面积及四至范围目录的通知》（湘发改园区[2022]601号），平江高新区核定面积438.19公顷。</w:t>
      </w:r>
    </w:p>
    <w:p w14:paraId="3235FCD6">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2024年，平江高新技术产业园进行扩区，扩区后平江高新区规划面积772.70公顷。扩区平江高新区规划形成</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一园三区四片</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，即伍市片区、余梅片区、安定片区（天岳新城）、安定片区（安定镇）。并于2024年7月取得湖南省生态环境厅关于《平江高新技术产业园区总体规划环境影响报告书》审查意见的函（湘环评函</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37号）。</w:t>
      </w:r>
    </w:p>
    <w:p w14:paraId="0BE713C5">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本项目位于平江高新技术产业园伍市片区，区域污染源现状详见附表1。</w:t>
      </w:r>
    </w:p>
    <w:p w14:paraId="5C31648C">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91" w:name="_Toc144236777"/>
      <w:bookmarkStart w:id="192" w:name="_Toc144276907"/>
      <w:bookmarkStart w:id="193" w:name="_Toc164200796"/>
      <w:bookmarkStart w:id="194" w:name="_Toc191240011"/>
      <w:bookmarkStart w:id="195" w:name="_Toc18898"/>
      <w:bookmarkStart w:id="196" w:name="_Toc187011319"/>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2.2 </w:t>
      </w:r>
      <w:bookmarkEnd w:id="191"/>
      <w:bookmarkEnd w:id="192"/>
      <w:bookmarkEnd w:id="193"/>
      <w:r>
        <w:rPr>
          <w:rFonts w:hint="default" w:ascii="Times New Roman" w:hAnsi="Times New Roman" w:eastAsia="宋体" w:cs="Times New Roman"/>
          <w:color w:val="000000" w:themeColor="text1"/>
          <w:u w:val="none" w:color="auto"/>
          <w14:textFill>
            <w14:solidFill>
              <w14:schemeClr w14:val="tx1"/>
            </w14:solidFill>
          </w14:textFill>
        </w:rPr>
        <w:t>产业定位</w:t>
      </w:r>
      <w:bookmarkEnd w:id="194"/>
      <w:bookmarkEnd w:id="195"/>
      <w:bookmarkEnd w:id="196"/>
    </w:p>
    <w:p w14:paraId="6DEB41A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平江高新区规划发展食品加工、装备制造、新材料、电子信息、医疗器械、建材、火力发电、民爆产业（南岭民爆、南岭澳瑞凯）等产业。</w:t>
      </w:r>
    </w:p>
    <w:p w14:paraId="754261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伍市片区：重点发展食品加工、装备制造、新材料、电子信息、民爆产业（南岭民爆、南岭澳瑞凯）等产业。</w:t>
      </w:r>
    </w:p>
    <w:p w14:paraId="0EA8661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余梅片区：依托平江电厂建设余梅工业区，对平江电厂固废综合化利用，促进产业聚集和经济发展，将余梅工业区建设成为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湖南火电循环经济发展示范区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，配套发展建材产业。</w:t>
      </w:r>
    </w:p>
    <w:p w14:paraId="6D61129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安定片区（天岳新城）：重点发展电子信息、医疗器械、食品加工等产业。</w:t>
      </w:r>
    </w:p>
    <w:p w14:paraId="4011FD7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安定片区：以食品加工产业为主导产业，持续扩大休闲食品市场，引进产业链上下游生产企业。</w:t>
      </w:r>
    </w:p>
    <w:p w14:paraId="0D35D8D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97" w:name="_Toc69148561"/>
      <w:bookmarkStart w:id="198" w:name="_Toc68125549"/>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2-1  平江高新区规划产业定位</w:t>
      </w:r>
      <w:bookmarkEnd w:id="197"/>
      <w:bookmarkEnd w:id="198"/>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68"/>
        <w:gridCol w:w="6060"/>
      </w:tblGrid>
      <w:tr w14:paraId="476BF3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47" w:type="pct"/>
            <w:vAlign w:val="center"/>
          </w:tcPr>
          <w:p w14:paraId="65CB4C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片区</w:t>
            </w:r>
          </w:p>
        </w:tc>
        <w:tc>
          <w:tcPr>
            <w:tcW w:w="3553" w:type="pct"/>
            <w:vAlign w:val="center"/>
          </w:tcPr>
          <w:p w14:paraId="43419E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产业定位</w:t>
            </w:r>
          </w:p>
        </w:tc>
      </w:tr>
      <w:tr w14:paraId="410007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47" w:type="pct"/>
            <w:vAlign w:val="center"/>
          </w:tcPr>
          <w:p w14:paraId="135B92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w:t>
            </w:r>
          </w:p>
        </w:tc>
        <w:tc>
          <w:tcPr>
            <w:tcW w:w="3553" w:type="pct"/>
            <w:vAlign w:val="center"/>
          </w:tcPr>
          <w:p w14:paraId="3B04C4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食品加工、新材料、装备制造、电子信息、民爆产业（南岭民爆、南岭澳瑞凯）</w:t>
            </w:r>
          </w:p>
        </w:tc>
      </w:tr>
      <w:tr w14:paraId="11AC60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47" w:type="pct"/>
            <w:vAlign w:val="center"/>
          </w:tcPr>
          <w:p w14:paraId="392AD2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余梅片区</w:t>
            </w:r>
          </w:p>
        </w:tc>
        <w:tc>
          <w:tcPr>
            <w:tcW w:w="3553" w:type="pct"/>
            <w:vAlign w:val="center"/>
          </w:tcPr>
          <w:p w14:paraId="3AD829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火力发电、建材</w:t>
            </w:r>
          </w:p>
        </w:tc>
      </w:tr>
      <w:tr w14:paraId="72CE7C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47" w:type="pct"/>
            <w:vAlign w:val="center"/>
          </w:tcPr>
          <w:p w14:paraId="1CF425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安定片区（天岳新城）</w:t>
            </w:r>
          </w:p>
        </w:tc>
        <w:tc>
          <w:tcPr>
            <w:tcW w:w="3553" w:type="pct"/>
            <w:vAlign w:val="center"/>
          </w:tcPr>
          <w:p w14:paraId="5D5076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电子信息、医疗器械、食品加工</w:t>
            </w:r>
          </w:p>
        </w:tc>
      </w:tr>
      <w:tr w14:paraId="1BA3C7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447" w:type="pct"/>
            <w:vAlign w:val="center"/>
          </w:tcPr>
          <w:p w14:paraId="767A3E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安定片区（安定镇）</w:t>
            </w:r>
          </w:p>
        </w:tc>
        <w:tc>
          <w:tcPr>
            <w:tcW w:w="3553" w:type="pct"/>
            <w:vAlign w:val="center"/>
          </w:tcPr>
          <w:p w14:paraId="4AB84E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食品加工</w:t>
            </w:r>
          </w:p>
        </w:tc>
      </w:tr>
    </w:tbl>
    <w:p w14:paraId="751C6D9F">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199" w:name="_Toc1855"/>
      <w:bookmarkStart w:id="200" w:name="_Toc191240012"/>
      <w:bookmarkStart w:id="201" w:name="_Toc187011321"/>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2.3 配套基础设施现状及规划</w:t>
      </w:r>
      <w:bookmarkEnd w:id="199"/>
      <w:bookmarkEnd w:id="200"/>
      <w:bookmarkEnd w:id="201"/>
    </w:p>
    <w:p w14:paraId="5EA66505">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2.3.1 给水规划</w:t>
      </w:r>
    </w:p>
    <w:p w14:paraId="307E5F30">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（1）供水水源及水厂</w:t>
      </w:r>
    </w:p>
    <w:p w14:paraId="7B167D44">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伍市片区：平江县恒润自来水有限公司青冲水厂供水，供水水源汨罗江，供水范围为浯口镇、伍市镇（包括伍市片区）、园艺场，现状规模4.0万m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/d，规划规模6.0万m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p>
    <w:p w14:paraId="28D088D3">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（2）给水管网布置</w:t>
      </w:r>
    </w:p>
    <w:p w14:paraId="631DC883">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园区给水采用生活、生产、消防合网布置的管网系统，规划沿主干道敷设DN600-1200毫米供水主管，沿次干道和支路敷设DN400-600毫米供水支管。给水管网沿主要道路采用环状的布置方式，通过枝状供水管向各用户单元供水。</w:t>
      </w:r>
    </w:p>
    <w:p w14:paraId="08A23CD5">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道路沿线布置消火栓，最大间距120米，并应尽量靠近路口布置。室外消火栓配置应按室外消防用水量确定。室外消火栓采用地上式，应有一个直径为150毫米或100毫米和两个直径为65毫米的栓口。地势较高的最不利点供水压力要求不低于0.1兆帕，园区消防给水为低压消防体制。</w:t>
      </w:r>
    </w:p>
    <w:p w14:paraId="530478CA">
      <w:pPr>
        <w:keepNext w:val="0"/>
        <w:keepLines w:val="0"/>
        <w:pageBreakBefore w:val="0"/>
        <w:widowControl w:val="0"/>
        <w:kinsoku/>
        <w:wordWrap/>
        <w:overflowPunct/>
        <w:topLinePunct w:val="0"/>
        <w:bidi w:val="0"/>
        <w:snapToGrid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给水管道管底埋深1.45米左右，特殊情况下最小埋深满足《城市工程管线综合规划规范》（GB50289-98）中规定的车行道下0.7米，人行道小0.6米。</w:t>
      </w:r>
    </w:p>
    <w:p w14:paraId="6D9ACD2C">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2.3.2 排水规划</w:t>
      </w:r>
    </w:p>
    <w:p w14:paraId="66BE117C">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1）雨水工程</w:t>
      </w:r>
    </w:p>
    <w:p w14:paraId="24B1AFAB">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规划各片区雨水均就近排入附近自然水体或现有排洪渠。雨水系统布置贯彻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高水高排、低水低排</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的原则，充分利用现有水域、排洪渠，并对其进行疏通整治；雨水管道沿沿道路两侧绿化带布置。</w:t>
      </w:r>
    </w:p>
    <w:p w14:paraId="4FAD02FE">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2）污水处理厂规划</w:t>
      </w:r>
    </w:p>
    <w:p w14:paraId="3B58BC3D">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服务范围为伍市片区东西组团，规划处理规模20000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/d，生化处理规模15000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/d，主要工艺为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A</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O-MBR</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，处理园区企业生产生活废水；物理处理规模5000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/d，主要工艺为沉淀，处理废水主要为湖南荣泰新材料科技有限公司预处理废水；COD、NH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-N、TP、TN等污染物达到《湖南省城镇污水处理厂主要水污染物排放标准（DB43/T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1546-2018）》表1中二级标准，其它污染物达到《城镇污水处理厂污染物排放标准》（GB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18918-2002）一级A标准后流经凌公桥河1.1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km后汇入汨罗江。</w:t>
      </w:r>
    </w:p>
    <w:p w14:paraId="563A5490">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伍市片区南岭澳瑞凯和南岭民爆两家企业废水依托伍市镇污水处理厂处理，伍市镇污水处理厂总设计规模8000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/d，近期处理规模4000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/d，已建成处理规模2000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/d，出水达到《城镇污水处理厂污染物排放标准》（GB 18918-2002）一级A标准后经栗山河最终排入汨罗江。</w:t>
      </w:r>
    </w:p>
    <w:p w14:paraId="16CB0171">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2.3.3</w:t>
      </w:r>
      <w:bookmarkStart w:id="202" w:name="_Toc69148580"/>
      <w:bookmarkStart w:id="203" w:name="_Toc68125569"/>
      <w:r>
        <w:rPr>
          <w:rFonts w:hint="default" w:ascii="Times New Roman" w:hAnsi="Times New Roman" w:eastAsia="宋体" w:cs="Times New Roman"/>
          <w:color w:val="000000" w:themeColor="text1"/>
          <w:u w:val="none" w:color="auto"/>
          <w14:textFill>
            <w14:solidFill>
              <w14:schemeClr w14:val="tx1"/>
            </w14:solidFill>
          </w14:textFill>
        </w:rPr>
        <w:t xml:space="preserve"> 能源工程规划</w:t>
      </w:r>
      <w:bookmarkEnd w:id="202"/>
      <w:bookmarkEnd w:id="203"/>
    </w:p>
    <w:p w14:paraId="0502F97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平江高新区能源电能和管道天然气为主，辅助能源生物质、煤炭。</w:t>
      </w:r>
    </w:p>
    <w:p w14:paraId="5E28DA3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伍市片区天然气用气量为29.9万m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/d，余梅片区天然气用气量为5.38万m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/d，安定片区（天岳新城）天然气用气量为5.32万m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/d，安定片区（安定镇）天然气用气量为2.53万m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/d，则园区天然气总用气量为43.13万m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p>
    <w:p w14:paraId="604757B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燃气供应坚持以民用为主，工业民用兼顾的原则，燃气管网采用中低压二级管网系统的形式，管网近期采用支状网，远期形成环状与支状相结合的形式，确保工业民用气。规划区范围内天然气长输管道和次高压管道，次高压燃气管道与建筑物、构筑物或相邻管道之间的水平净距应符合《城镇燃气设计规范》表6.3.3-1和表6.3.3-2的规定。地下燃气管道与电杆（塔）基础应保持一定水平净距，还应满足下表地下燃气管道与交流电力线接地体净距规定。</w:t>
      </w:r>
    </w:p>
    <w:p w14:paraId="2BFD50D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伍市片区东部组团的北部食品加工企业，依托平江大唐环保科技有限公司2×15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t/h锅炉进行集中供热，集中供热范围为伍市片区平伍公路以北区域，目前已沿兴业路、平伍公路铺设集中供热管网。伍市片区实施湖南燃燚能源有限公司120蒸吨集中供热项目，集中供热范围为伍市片区平伍公路以南区域的伍市片区东部南面、伍市片区西部组团的新材料（云母产业）、食品加工企业。余梅片区规划依托华电平江电厂开展集中供热。</w:t>
      </w:r>
    </w:p>
    <w:p w14:paraId="3012180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41307D90">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204" w:name="_Toc144236784"/>
      <w:bookmarkStart w:id="205" w:name="_Toc191240014"/>
      <w:bookmarkStart w:id="206" w:name="_Toc23688"/>
      <w:bookmarkStart w:id="207" w:name="_Toc164200803"/>
      <w:bookmarkStart w:id="208" w:name="_Toc144276914"/>
      <w:bookmarkStart w:id="209" w:name="_Toc187011324"/>
      <w:r>
        <w:rPr>
          <w:rFonts w:hint="default" w:ascii="Times New Roman" w:hAnsi="Times New Roman" w:eastAsia="宋体" w:cs="Times New Roman"/>
          <w:color w:val="000000" w:themeColor="text1"/>
          <w:u w:val="none" w:color="auto"/>
          <w14:textFill>
            <w14:solidFill>
              <w14:schemeClr w14:val="tx1"/>
            </w14:solidFill>
          </w14:textFill>
        </w:rPr>
        <w:t>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章 环境质量现状调查与评价</w:t>
      </w:r>
      <w:bookmarkEnd w:id="204"/>
      <w:bookmarkEnd w:id="205"/>
      <w:bookmarkEnd w:id="206"/>
      <w:bookmarkEnd w:id="207"/>
      <w:bookmarkEnd w:id="208"/>
      <w:bookmarkEnd w:id="209"/>
    </w:p>
    <w:p w14:paraId="7C4DDFEA">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10" w:name="_Toc144276915"/>
      <w:bookmarkStart w:id="211" w:name="_Toc144236785"/>
      <w:bookmarkStart w:id="212" w:name="_Toc6313"/>
      <w:bookmarkStart w:id="213" w:name="_Toc191240015"/>
      <w:bookmarkStart w:id="214" w:name="_Toc187011325"/>
      <w:bookmarkStart w:id="215" w:name="_Toc164200804"/>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1 环境空气质量现状监测与评价</w:t>
      </w:r>
      <w:bookmarkEnd w:id="210"/>
      <w:bookmarkEnd w:id="211"/>
      <w:bookmarkEnd w:id="212"/>
      <w:bookmarkEnd w:id="213"/>
      <w:bookmarkEnd w:id="214"/>
      <w:bookmarkEnd w:id="215"/>
    </w:p>
    <w:p w14:paraId="529415B5">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16" w:name="_Toc144276916"/>
      <w:bookmarkStart w:id="217" w:name="_Toc164200805"/>
      <w:bookmarkStart w:id="218" w:name="_Toc144236786"/>
      <w:bookmarkStart w:id="219" w:name="_Toc191240016"/>
      <w:bookmarkStart w:id="220" w:name="_Toc16963"/>
      <w:bookmarkStart w:id="221" w:name="_Toc187011326"/>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1.1 空气质量达标性分析</w:t>
      </w:r>
      <w:bookmarkEnd w:id="216"/>
      <w:bookmarkEnd w:id="217"/>
      <w:bookmarkEnd w:id="218"/>
      <w:bookmarkEnd w:id="219"/>
      <w:bookmarkEnd w:id="220"/>
      <w:bookmarkEnd w:id="221"/>
    </w:p>
    <w:p w14:paraId="1611AAC8">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大气环境》（HJ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6.2.1.2采用评价范围内国家或地方环境空气质量监测网中评价基准年连续1年的监测数据，或采用生态环境主管部门公开发布的环境空气质量现状数据</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p>
    <w:p w14:paraId="3ED16EF5">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kern w:val="0"/>
          <w:szCs w:val="21"/>
          <w:u w:val="none" w:color="auto"/>
          <w:lang w:bidi="ar"/>
          <w14:textFill>
            <w14:solidFill>
              <w14:schemeClr w14:val="tx1"/>
            </w14:solidFill>
          </w14:textFill>
        </w:rPr>
        <w:t>本项目环境空气环境质量现状引用岳阳市生态环境局公布的</w:t>
      </w:r>
      <w:r>
        <w:rPr>
          <w:rFonts w:hint="eastAsia" w:ascii="Times New Roman" w:hAnsi="Times New Roman" w:eastAsia="宋体" w:cs="Times New Roman"/>
          <w:color w:val="000000" w:themeColor="text1"/>
          <w:kern w:val="0"/>
          <w:szCs w:val="21"/>
          <w:u w:val="none" w:color="auto"/>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u w:val="none" w:color="auto"/>
          <w:lang w:bidi="ar"/>
          <w14:textFill>
            <w14:solidFill>
              <w14:schemeClr w14:val="tx1"/>
            </w14:solidFill>
          </w14:textFill>
        </w:rPr>
        <w:t>岳阳市2024年度生态环境质量公报</w:t>
      </w:r>
      <w:r>
        <w:rPr>
          <w:rFonts w:hint="eastAsia" w:ascii="Times New Roman" w:hAnsi="Times New Roman" w:eastAsia="宋体" w:cs="Times New Roman"/>
          <w:color w:val="000000" w:themeColor="text1"/>
          <w:kern w:val="0"/>
          <w:szCs w:val="21"/>
          <w:u w:val="none" w:color="auto"/>
          <w:lang w:eastAsia="zh-CN" w:bidi="ar"/>
          <w14:textFill>
            <w14:solidFill>
              <w14:schemeClr w14:val="tx1"/>
            </w14:solidFill>
          </w14:textFill>
        </w:rPr>
        <w:t>”</w:t>
      </w:r>
      <w:r>
        <w:rPr>
          <w:rFonts w:hint="default" w:ascii="Times New Roman" w:hAnsi="Times New Roman" w:eastAsia="宋体" w:cs="Times New Roman"/>
          <w:color w:val="000000" w:themeColor="text1"/>
          <w:kern w:val="0"/>
          <w:szCs w:val="21"/>
          <w:u w:val="none" w:color="auto"/>
          <w:lang w:bidi="ar"/>
          <w14:textFill>
            <w14:solidFill>
              <w14:schemeClr w14:val="tx1"/>
            </w14:solidFill>
          </w14:textFill>
        </w:rPr>
        <w:t>，平江县2024</w:t>
      </w:r>
      <w:r>
        <w:rPr>
          <w:rFonts w:hint="default" w:ascii="Times New Roman" w:hAnsi="Times New Roman" w:eastAsia="宋体" w:cs="Times New Roman"/>
          <w:color w:val="000000" w:themeColor="text1"/>
          <w:kern w:val="0"/>
          <w:szCs w:val="21"/>
          <w:u w:val="none" w:color="auto"/>
          <w:lang w:eastAsia="zh-CN" w:bidi="ar"/>
          <w14:textFill>
            <w14:solidFill>
              <w14:schemeClr w14:val="tx1"/>
            </w14:solidFill>
          </w14:textFill>
        </w:rPr>
        <w:t>年度</w:t>
      </w:r>
      <w:r>
        <w:rPr>
          <w:rFonts w:hint="default" w:ascii="Times New Roman" w:hAnsi="Times New Roman" w:eastAsia="宋体" w:cs="Times New Roman"/>
          <w:color w:val="000000" w:themeColor="text1"/>
          <w:kern w:val="0"/>
          <w:szCs w:val="21"/>
          <w:u w:val="none" w:color="auto"/>
          <w:lang w:bidi="ar"/>
          <w14:textFill>
            <w14:solidFill>
              <w14:schemeClr w14:val="tx1"/>
            </w14:solidFill>
          </w14:textFill>
        </w:rPr>
        <w:t>区域环境空气质量数据，</w:t>
      </w:r>
      <w:r>
        <w:rPr>
          <w:rFonts w:hint="default" w:ascii="Times New Roman" w:hAnsi="Times New Roman" w:eastAsia="宋体" w:cs="Times New Roman"/>
          <w:color w:val="000000" w:themeColor="text1"/>
          <w:u w:val="none" w:color="auto"/>
          <w14:textFill>
            <w14:solidFill>
              <w14:schemeClr w14:val="tx1"/>
            </w14:solidFill>
          </w14:textFill>
        </w:rPr>
        <w:t>详见下表。</w:t>
      </w:r>
    </w:p>
    <w:p w14:paraId="039A7E9B">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GB"/>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1-1  </w:t>
      </w:r>
      <w:r>
        <w:rPr>
          <w:rFonts w:hint="default" w:ascii="Times New Roman" w:hAnsi="Times New Roman" w:eastAsia="宋体" w:cs="Times New Roman"/>
          <w:color w:val="000000" w:themeColor="text1"/>
          <w:u w:val="none" w:color="auto"/>
          <w:lang w:val="en-GB"/>
          <w14:textFill>
            <w14:solidFill>
              <w14:schemeClr w14:val="tx1"/>
            </w14:solidFill>
          </w14:textFill>
        </w:rPr>
        <w:t>20</w:t>
      </w: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GB"/>
          <w14:textFill>
            <w14:solidFill>
              <w14:schemeClr w14:val="tx1"/>
            </w14:solidFill>
          </w14:textFill>
        </w:rPr>
        <w:t>年</w:t>
      </w:r>
      <w:r>
        <w:rPr>
          <w:rFonts w:hint="default" w:ascii="Times New Roman" w:hAnsi="Times New Roman" w:eastAsia="宋体" w:cs="Times New Roman"/>
          <w:color w:val="000000" w:themeColor="text1"/>
          <w:u w:val="none" w:color="auto"/>
          <w14:textFill>
            <w14:solidFill>
              <w14:schemeClr w14:val="tx1"/>
            </w14:solidFill>
          </w14:textFill>
        </w:rPr>
        <w:t>平江县</w:t>
      </w:r>
      <w:r>
        <w:rPr>
          <w:rFonts w:hint="default" w:ascii="Times New Roman" w:hAnsi="Times New Roman" w:eastAsia="宋体" w:cs="Times New Roman"/>
          <w:color w:val="000000" w:themeColor="text1"/>
          <w:u w:val="none" w:color="auto"/>
          <w:lang w:val="en-GB"/>
          <w14:textFill>
            <w14:solidFill>
              <w14:schemeClr w14:val="tx1"/>
            </w14:solidFill>
          </w14:textFill>
        </w:rPr>
        <w:t>环境空气</w:t>
      </w:r>
      <w:r>
        <w:rPr>
          <w:rFonts w:hint="default" w:ascii="Times New Roman" w:hAnsi="Times New Roman" w:eastAsia="宋体" w:cs="Times New Roman"/>
          <w:color w:val="000000" w:themeColor="text1"/>
          <w:u w:val="none" w:color="auto"/>
          <w14:textFill>
            <w14:solidFill>
              <w14:schemeClr w14:val="tx1"/>
            </w14:solidFill>
          </w14:textFill>
        </w:rPr>
        <w:t>质量一览表（单位：μg/m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w:t>
      </w:r>
    </w:p>
    <w:tbl>
      <w:tblPr>
        <w:tblStyle w:val="3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1"/>
        <w:gridCol w:w="1295"/>
        <w:gridCol w:w="636"/>
        <w:gridCol w:w="1423"/>
        <w:gridCol w:w="899"/>
        <w:gridCol w:w="645"/>
        <w:gridCol w:w="1421"/>
        <w:gridCol w:w="1423"/>
      </w:tblGrid>
      <w:tr w14:paraId="16BFCE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 w:type="pct"/>
            <w:vAlign w:val="center"/>
          </w:tcPr>
          <w:p w14:paraId="58F7AC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评价因子</w:t>
            </w:r>
          </w:p>
        </w:tc>
        <w:tc>
          <w:tcPr>
            <w:tcW w:w="759" w:type="pct"/>
            <w:vAlign w:val="center"/>
          </w:tcPr>
          <w:p w14:paraId="309C64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平均</w:t>
            </w:r>
            <w:r>
              <w:rPr>
                <w:rFonts w:hint="default" w:ascii="Times New Roman" w:hAnsi="Times New Roman" w:eastAsia="宋体" w:cs="Times New Roman"/>
                <w:color w:val="000000" w:themeColor="text1"/>
                <w:u w:val="none" w:color="auto"/>
                <w14:textFill>
                  <w14:solidFill>
                    <w14:schemeClr w14:val="tx1"/>
                  </w14:solidFill>
                </w14:textFill>
              </w:rPr>
              <w:t>时段</w:t>
            </w:r>
          </w:p>
        </w:tc>
        <w:tc>
          <w:tcPr>
            <w:tcW w:w="373" w:type="pct"/>
            <w:vAlign w:val="center"/>
          </w:tcPr>
          <w:p w14:paraId="7AC827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现状浓度</w:t>
            </w:r>
          </w:p>
        </w:tc>
        <w:tc>
          <w:tcPr>
            <w:tcW w:w="834" w:type="pct"/>
            <w:vAlign w:val="center"/>
          </w:tcPr>
          <w:p w14:paraId="6BA0C273">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GB3095-2012二级标准</w:t>
            </w:r>
            <w:r>
              <w:rPr>
                <w:rFonts w:hint="eastAsia" w:eastAsia="宋体" w:cs="Times New Roman"/>
                <w:color w:val="000000" w:themeColor="text1"/>
                <w:u w:val="none" w:color="auto"/>
                <w:lang w:val="en-US" w:eastAsia="zh-CN"/>
                <w14:textFill>
                  <w14:solidFill>
                    <w14:schemeClr w14:val="tx1"/>
                  </w14:solidFill>
                </w14:textFill>
              </w:rPr>
              <w:t>限值</w:t>
            </w:r>
          </w:p>
        </w:tc>
        <w:tc>
          <w:tcPr>
            <w:tcW w:w="527" w:type="pct"/>
            <w:shd w:val="clear" w:color="auto" w:fill="auto"/>
            <w:vAlign w:val="center"/>
          </w:tcPr>
          <w:p w14:paraId="1DAAC1E2">
            <w:pPr>
              <w:pStyle w:val="68"/>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占标率</w:t>
            </w:r>
          </w:p>
          <w:p w14:paraId="1B66B5A4">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w:t>
            </w:r>
          </w:p>
        </w:tc>
        <w:tc>
          <w:tcPr>
            <w:tcW w:w="378" w:type="pct"/>
            <w:shd w:val="clear" w:color="auto" w:fill="auto"/>
            <w:vAlign w:val="center"/>
          </w:tcPr>
          <w:p w14:paraId="64587596">
            <w:pPr>
              <w:pStyle w:val="68"/>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达标</w:t>
            </w:r>
          </w:p>
          <w:p w14:paraId="3FF6F1A5">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情况</w:t>
            </w:r>
          </w:p>
        </w:tc>
        <w:tc>
          <w:tcPr>
            <w:tcW w:w="833" w:type="pct"/>
            <w:shd w:val="clear" w:color="auto" w:fill="auto"/>
            <w:vAlign w:val="center"/>
          </w:tcPr>
          <w:p w14:paraId="1150AB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GB3095-2026过渡期</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二级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标准限值</w:t>
            </w:r>
          </w:p>
        </w:tc>
        <w:tc>
          <w:tcPr>
            <w:tcW w:w="834" w:type="pct"/>
            <w:shd w:val="clear" w:color="auto" w:fill="auto"/>
            <w:vAlign w:val="center"/>
          </w:tcPr>
          <w:p w14:paraId="06C6E1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GB3095-2026</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二级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标准限值</w:t>
            </w:r>
          </w:p>
        </w:tc>
      </w:tr>
      <w:tr w14:paraId="765615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 w:type="pct"/>
            <w:vAlign w:val="center"/>
          </w:tcPr>
          <w:p w14:paraId="5765B76C">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PM</w:t>
            </w:r>
            <w:r>
              <w:rPr>
                <w:rFonts w:hint="default" w:ascii="Times New Roman" w:hAnsi="Times New Roman" w:eastAsia="宋体" w:cs="Times New Roman"/>
                <w:color w:val="000000" w:themeColor="text1"/>
                <w:u w:val="none" w:color="auto"/>
                <w:vertAlign w:val="subscript"/>
                <w14:textFill>
                  <w14:solidFill>
                    <w14:schemeClr w14:val="tx1"/>
                  </w14:solidFill>
                </w14:textFill>
              </w:rPr>
              <w:t>2.5</w:t>
            </w:r>
          </w:p>
        </w:tc>
        <w:tc>
          <w:tcPr>
            <w:tcW w:w="759" w:type="pct"/>
            <w:vAlign w:val="center"/>
          </w:tcPr>
          <w:p w14:paraId="743A7D0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年平均浓度</w:t>
            </w:r>
          </w:p>
        </w:tc>
        <w:tc>
          <w:tcPr>
            <w:tcW w:w="373" w:type="pct"/>
            <w:vAlign w:val="center"/>
          </w:tcPr>
          <w:p w14:paraId="02DB6ABC">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29</w:t>
            </w:r>
          </w:p>
        </w:tc>
        <w:tc>
          <w:tcPr>
            <w:tcW w:w="834" w:type="pct"/>
            <w:vAlign w:val="center"/>
          </w:tcPr>
          <w:p w14:paraId="369A6512">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35</w:t>
            </w:r>
          </w:p>
        </w:tc>
        <w:tc>
          <w:tcPr>
            <w:tcW w:w="527" w:type="pct"/>
            <w:shd w:val="clear" w:color="auto" w:fill="auto"/>
            <w:vAlign w:val="center"/>
          </w:tcPr>
          <w:p w14:paraId="4E19B7EA">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82.86</w:t>
            </w:r>
          </w:p>
        </w:tc>
        <w:tc>
          <w:tcPr>
            <w:tcW w:w="378" w:type="pct"/>
            <w:shd w:val="clear" w:color="auto" w:fill="auto"/>
            <w:vAlign w:val="center"/>
          </w:tcPr>
          <w:p w14:paraId="5A7181D3">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达标</w:t>
            </w:r>
          </w:p>
        </w:tc>
        <w:tc>
          <w:tcPr>
            <w:tcW w:w="833" w:type="pct"/>
            <w:shd w:val="clear" w:color="auto" w:fill="auto"/>
            <w:vAlign w:val="center"/>
          </w:tcPr>
          <w:p w14:paraId="5C2434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30</w:t>
            </w:r>
          </w:p>
        </w:tc>
        <w:tc>
          <w:tcPr>
            <w:tcW w:w="834" w:type="pct"/>
            <w:shd w:val="clear" w:color="auto" w:fill="auto"/>
            <w:vAlign w:val="center"/>
          </w:tcPr>
          <w:p w14:paraId="740EC9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25</w:t>
            </w:r>
          </w:p>
        </w:tc>
      </w:tr>
      <w:tr w14:paraId="1C0A3A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 w:type="pct"/>
            <w:vAlign w:val="center"/>
          </w:tcPr>
          <w:p w14:paraId="5F8ACC17">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PM</w:t>
            </w:r>
            <w:r>
              <w:rPr>
                <w:rFonts w:hint="default" w:ascii="Times New Roman" w:hAnsi="Times New Roman" w:eastAsia="宋体" w:cs="Times New Roman"/>
                <w:color w:val="000000" w:themeColor="text1"/>
                <w:u w:val="none" w:color="auto"/>
                <w:vertAlign w:val="subscript"/>
                <w14:textFill>
                  <w14:solidFill>
                    <w14:schemeClr w14:val="tx1"/>
                  </w14:solidFill>
                </w14:textFill>
              </w:rPr>
              <w:t>10</w:t>
            </w:r>
          </w:p>
        </w:tc>
        <w:tc>
          <w:tcPr>
            <w:tcW w:w="759" w:type="pct"/>
            <w:vAlign w:val="center"/>
          </w:tcPr>
          <w:p w14:paraId="6AC46F6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年平均浓度</w:t>
            </w:r>
          </w:p>
        </w:tc>
        <w:tc>
          <w:tcPr>
            <w:tcW w:w="373" w:type="pct"/>
            <w:vAlign w:val="center"/>
          </w:tcPr>
          <w:p w14:paraId="0CF20B6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45</w:t>
            </w:r>
          </w:p>
        </w:tc>
        <w:tc>
          <w:tcPr>
            <w:tcW w:w="834" w:type="pct"/>
            <w:vAlign w:val="center"/>
          </w:tcPr>
          <w:p w14:paraId="3CACFBA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70</w:t>
            </w:r>
          </w:p>
        </w:tc>
        <w:tc>
          <w:tcPr>
            <w:tcW w:w="527" w:type="pct"/>
            <w:shd w:val="clear" w:color="auto" w:fill="auto"/>
            <w:vAlign w:val="center"/>
          </w:tcPr>
          <w:p w14:paraId="3058DF74">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64.29</w:t>
            </w:r>
          </w:p>
        </w:tc>
        <w:tc>
          <w:tcPr>
            <w:tcW w:w="378" w:type="pct"/>
            <w:shd w:val="clear" w:color="auto" w:fill="auto"/>
            <w:vAlign w:val="center"/>
          </w:tcPr>
          <w:p w14:paraId="1B73EBDD">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达标</w:t>
            </w:r>
          </w:p>
        </w:tc>
        <w:tc>
          <w:tcPr>
            <w:tcW w:w="833" w:type="pct"/>
            <w:shd w:val="clear" w:color="auto" w:fill="auto"/>
            <w:vAlign w:val="center"/>
          </w:tcPr>
          <w:p w14:paraId="533E68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60</w:t>
            </w:r>
          </w:p>
        </w:tc>
        <w:tc>
          <w:tcPr>
            <w:tcW w:w="834" w:type="pct"/>
            <w:shd w:val="clear" w:color="auto" w:fill="auto"/>
            <w:vAlign w:val="center"/>
          </w:tcPr>
          <w:p w14:paraId="1C2A40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50</w:t>
            </w:r>
          </w:p>
        </w:tc>
      </w:tr>
      <w:tr w14:paraId="768E3C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 w:type="pct"/>
            <w:vAlign w:val="center"/>
          </w:tcPr>
          <w:p w14:paraId="4F6BE3F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759" w:type="pct"/>
            <w:vAlign w:val="center"/>
          </w:tcPr>
          <w:p w14:paraId="7915001F">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日最大8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h滑动平均值的第90百分位数</w:t>
            </w:r>
          </w:p>
        </w:tc>
        <w:tc>
          <w:tcPr>
            <w:tcW w:w="373" w:type="pct"/>
            <w:vAlign w:val="center"/>
          </w:tcPr>
          <w:p w14:paraId="35B2A876">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130</w:t>
            </w:r>
          </w:p>
        </w:tc>
        <w:tc>
          <w:tcPr>
            <w:tcW w:w="834" w:type="pct"/>
            <w:vAlign w:val="center"/>
          </w:tcPr>
          <w:p w14:paraId="21F592CE">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160</w:t>
            </w:r>
          </w:p>
        </w:tc>
        <w:tc>
          <w:tcPr>
            <w:tcW w:w="527" w:type="pct"/>
            <w:shd w:val="clear" w:color="auto" w:fill="auto"/>
            <w:vAlign w:val="center"/>
          </w:tcPr>
          <w:p w14:paraId="2B66C605">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81.25</w:t>
            </w:r>
          </w:p>
        </w:tc>
        <w:tc>
          <w:tcPr>
            <w:tcW w:w="378" w:type="pct"/>
            <w:shd w:val="clear" w:color="auto" w:fill="auto"/>
            <w:vAlign w:val="center"/>
          </w:tcPr>
          <w:p w14:paraId="13554470">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达标</w:t>
            </w:r>
          </w:p>
        </w:tc>
        <w:tc>
          <w:tcPr>
            <w:tcW w:w="833" w:type="pct"/>
            <w:shd w:val="clear" w:color="auto" w:fill="auto"/>
            <w:vAlign w:val="center"/>
          </w:tcPr>
          <w:p w14:paraId="650DBD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160</w:t>
            </w:r>
          </w:p>
        </w:tc>
        <w:tc>
          <w:tcPr>
            <w:tcW w:w="834" w:type="pct"/>
            <w:shd w:val="clear" w:color="auto" w:fill="auto"/>
            <w:vAlign w:val="center"/>
          </w:tcPr>
          <w:p w14:paraId="5B3760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160</w:t>
            </w:r>
          </w:p>
        </w:tc>
      </w:tr>
      <w:tr w14:paraId="433373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 w:type="pct"/>
            <w:vAlign w:val="center"/>
          </w:tcPr>
          <w:p w14:paraId="49BFD3C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p>
        </w:tc>
        <w:tc>
          <w:tcPr>
            <w:tcW w:w="759" w:type="pct"/>
            <w:vAlign w:val="center"/>
          </w:tcPr>
          <w:p w14:paraId="5F2D2A06">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年平均浓度</w:t>
            </w:r>
          </w:p>
        </w:tc>
        <w:tc>
          <w:tcPr>
            <w:tcW w:w="373" w:type="pct"/>
            <w:vAlign w:val="center"/>
          </w:tcPr>
          <w:p w14:paraId="62B21E1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14</w:t>
            </w:r>
          </w:p>
        </w:tc>
        <w:tc>
          <w:tcPr>
            <w:tcW w:w="834" w:type="pct"/>
            <w:vAlign w:val="center"/>
          </w:tcPr>
          <w:p w14:paraId="663A3AF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w:t>
            </w:r>
          </w:p>
        </w:tc>
        <w:tc>
          <w:tcPr>
            <w:tcW w:w="527" w:type="pct"/>
            <w:shd w:val="clear" w:color="auto" w:fill="auto"/>
            <w:vAlign w:val="center"/>
          </w:tcPr>
          <w:p w14:paraId="410B3E79">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35.00</w:t>
            </w:r>
          </w:p>
        </w:tc>
        <w:tc>
          <w:tcPr>
            <w:tcW w:w="378" w:type="pct"/>
            <w:shd w:val="clear" w:color="auto" w:fill="auto"/>
            <w:vAlign w:val="center"/>
          </w:tcPr>
          <w:p w14:paraId="7406E9EF">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达标</w:t>
            </w:r>
          </w:p>
        </w:tc>
        <w:tc>
          <w:tcPr>
            <w:tcW w:w="833" w:type="pct"/>
            <w:shd w:val="clear" w:color="auto" w:fill="auto"/>
            <w:vAlign w:val="center"/>
          </w:tcPr>
          <w:p w14:paraId="62F5F0C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40</w:t>
            </w:r>
          </w:p>
        </w:tc>
        <w:tc>
          <w:tcPr>
            <w:tcW w:w="834" w:type="pct"/>
            <w:shd w:val="clear" w:color="auto" w:fill="auto"/>
            <w:vAlign w:val="center"/>
          </w:tcPr>
          <w:p w14:paraId="1023A9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30</w:t>
            </w:r>
          </w:p>
        </w:tc>
      </w:tr>
      <w:tr w14:paraId="47450B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 w:type="pct"/>
            <w:vAlign w:val="center"/>
          </w:tcPr>
          <w:p w14:paraId="27D5818D">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SO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p>
        </w:tc>
        <w:tc>
          <w:tcPr>
            <w:tcW w:w="759" w:type="pct"/>
            <w:vAlign w:val="center"/>
          </w:tcPr>
          <w:p w14:paraId="44D7C4A8">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年平均浓度</w:t>
            </w:r>
          </w:p>
        </w:tc>
        <w:tc>
          <w:tcPr>
            <w:tcW w:w="373" w:type="pct"/>
            <w:vAlign w:val="center"/>
          </w:tcPr>
          <w:p w14:paraId="24A030FB">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w:t>
            </w:r>
          </w:p>
        </w:tc>
        <w:tc>
          <w:tcPr>
            <w:tcW w:w="834" w:type="pct"/>
            <w:vAlign w:val="center"/>
          </w:tcPr>
          <w:p w14:paraId="3083DFC1">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60</w:t>
            </w:r>
          </w:p>
        </w:tc>
        <w:tc>
          <w:tcPr>
            <w:tcW w:w="527" w:type="pct"/>
            <w:shd w:val="clear" w:color="auto" w:fill="auto"/>
            <w:vAlign w:val="center"/>
          </w:tcPr>
          <w:p w14:paraId="17EA80C1">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10.00</w:t>
            </w:r>
          </w:p>
        </w:tc>
        <w:tc>
          <w:tcPr>
            <w:tcW w:w="378" w:type="pct"/>
            <w:shd w:val="clear" w:color="auto" w:fill="auto"/>
            <w:vAlign w:val="center"/>
          </w:tcPr>
          <w:p w14:paraId="5C22F050">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达标</w:t>
            </w:r>
          </w:p>
        </w:tc>
        <w:tc>
          <w:tcPr>
            <w:tcW w:w="833" w:type="pct"/>
            <w:shd w:val="clear" w:color="auto" w:fill="auto"/>
            <w:vAlign w:val="center"/>
          </w:tcPr>
          <w:p w14:paraId="4E2BCF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60</w:t>
            </w:r>
          </w:p>
        </w:tc>
        <w:tc>
          <w:tcPr>
            <w:tcW w:w="834" w:type="pct"/>
            <w:shd w:val="clear" w:color="auto" w:fill="auto"/>
            <w:vAlign w:val="center"/>
          </w:tcPr>
          <w:p w14:paraId="01C03F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20</w:t>
            </w:r>
          </w:p>
        </w:tc>
      </w:tr>
      <w:tr w14:paraId="64C540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 w:type="pct"/>
            <w:vAlign w:val="center"/>
          </w:tcPr>
          <w:p w14:paraId="3EC5B9CE">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CO</w:t>
            </w:r>
          </w:p>
        </w:tc>
        <w:tc>
          <w:tcPr>
            <w:tcW w:w="759" w:type="pct"/>
            <w:vAlign w:val="center"/>
          </w:tcPr>
          <w:p w14:paraId="4275FAA3">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24小时平均第95百分位数</w:t>
            </w:r>
          </w:p>
        </w:tc>
        <w:tc>
          <w:tcPr>
            <w:tcW w:w="373" w:type="pct"/>
            <w:vAlign w:val="center"/>
          </w:tcPr>
          <w:p w14:paraId="431D2125">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1000</w:t>
            </w:r>
          </w:p>
        </w:tc>
        <w:tc>
          <w:tcPr>
            <w:tcW w:w="834" w:type="pct"/>
            <w:vAlign w:val="center"/>
          </w:tcPr>
          <w:p w14:paraId="4F8D71CA">
            <w:pPr>
              <w:pStyle w:val="68"/>
              <w:keepNext w:val="0"/>
              <w:keepLines w:val="0"/>
              <w:pageBreakBefore w:val="0"/>
              <w:widowControl w:val="0"/>
              <w:kinsoku/>
              <w:wordWrap/>
              <w:overflowPunct/>
              <w:topLinePunct w:val="0"/>
              <w:bidi w:val="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4000</w:t>
            </w:r>
          </w:p>
        </w:tc>
        <w:tc>
          <w:tcPr>
            <w:tcW w:w="527" w:type="pct"/>
            <w:vAlign w:val="center"/>
          </w:tcPr>
          <w:p w14:paraId="4531DDE8">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25.00</w:t>
            </w:r>
          </w:p>
        </w:tc>
        <w:tc>
          <w:tcPr>
            <w:tcW w:w="378" w:type="pct"/>
            <w:vAlign w:val="center"/>
          </w:tcPr>
          <w:p w14:paraId="0F31D131">
            <w:pPr>
              <w:pStyle w:val="68"/>
              <w:rPr>
                <w:rFonts w:hint="default" w:ascii="Times New Roman" w:hAnsi="Times New Roman" w:eastAsia="宋体" w:cs="Times New Roman"/>
                <w:color w:val="000000" w:themeColor="text1"/>
                <w:u w:val="none" w:color="auto"/>
                <w14:textFill>
                  <w14:solidFill>
                    <w14:schemeClr w14:val="tx1"/>
                  </w14:solidFill>
                </w14:textFill>
              </w:rPr>
            </w:pPr>
            <w:r>
              <w:rPr>
                <w:rFonts w:eastAsia="宋体"/>
                <w:color w:val="000000" w:themeColor="text1"/>
                <w14:textFill>
                  <w14:solidFill>
                    <w14:schemeClr w14:val="tx1"/>
                  </w14:solidFill>
                </w14:textFill>
              </w:rPr>
              <w:t>达标</w:t>
            </w:r>
          </w:p>
        </w:tc>
        <w:tc>
          <w:tcPr>
            <w:tcW w:w="833" w:type="pct"/>
            <w:vAlign w:val="center"/>
          </w:tcPr>
          <w:p w14:paraId="00533B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4000</w:t>
            </w:r>
          </w:p>
        </w:tc>
        <w:tc>
          <w:tcPr>
            <w:tcW w:w="834" w:type="pct"/>
            <w:vAlign w:val="center"/>
          </w:tcPr>
          <w:p w14:paraId="140D7E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4000</w:t>
            </w:r>
          </w:p>
        </w:tc>
      </w:tr>
    </w:tbl>
    <w:p w14:paraId="49F402B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由上表可知，平江县2024年区域环境空气质量数据PM</w:t>
      </w:r>
      <w:r>
        <w:rPr>
          <w:rFonts w:hint="default" w:ascii="Times New Roman" w:hAnsi="Times New Roman" w:eastAsia="宋体" w:cs="Times New Roman"/>
          <w:color w:val="000000" w:themeColor="text1"/>
          <w:u w:val="none" w:color="auto"/>
          <w:vertAlign w:val="subscript"/>
          <w14:textFill>
            <w14:solidFill>
              <w14:schemeClr w14:val="tx1"/>
            </w14:solidFill>
          </w14:textFill>
        </w:rPr>
        <w:t>2.5</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PM</w:t>
      </w:r>
      <w:r>
        <w:rPr>
          <w:rFonts w:hint="default" w:ascii="Times New Roman" w:hAnsi="Times New Roman" w:eastAsia="宋体" w:cs="Times New Roman"/>
          <w:color w:val="000000" w:themeColor="text1"/>
          <w:u w:val="none" w:color="auto"/>
          <w:vertAlign w:val="subscript"/>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、SO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、CO年均值均能满足《环境空气质量标准》（GB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3095-2012）二级标准要求</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故本项目所在行政区判定为达标区域。</w:t>
      </w:r>
    </w:p>
    <w:p w14:paraId="3CBDA7E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《环境空气质量标准》（GB 3095-2026）于2026年3月1日正式实施，按照最新标准要求，</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平江县</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年度环境空气中PM</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年平均浓度超过《环境空气质量标准》（GB 3095-2026）</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过渡期二级标准及过渡期后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二级标准要求。考虑其原因是：近年来城市发展较快，工程建设项目较多，大量运输车辆尾气、基建扬尘是导致PM</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超标的主要原因之一。其次也受到外来输入污染以及春节期间烟花爆竹、秸秆焚烧等的影响。</w:t>
      </w:r>
    </w:p>
    <w:p w14:paraId="3E2737E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生产过程不涉及粉尘排放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仅原料收运过程产生极少量粉尘，对</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区域大气环境</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影响很小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p w14:paraId="087897F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22" w:name="_Toc191240017"/>
      <w:bookmarkStart w:id="223" w:name="_Toc187011327"/>
      <w:bookmarkStart w:id="224" w:name="_Toc144236787"/>
      <w:bookmarkStart w:id="225" w:name="_Toc164200806"/>
      <w:bookmarkStart w:id="226" w:name="_Toc144276917"/>
      <w:bookmarkStart w:id="227" w:name="_Toc13743"/>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1.2 </w:t>
      </w:r>
      <w:bookmarkEnd w:id="222"/>
      <w:bookmarkEnd w:id="223"/>
      <w:bookmarkEnd w:id="224"/>
      <w:bookmarkEnd w:id="225"/>
      <w:bookmarkEnd w:id="226"/>
      <w:r>
        <w:rPr>
          <w:rFonts w:hint="default" w:ascii="Times New Roman" w:hAnsi="Times New Roman" w:eastAsia="宋体" w:cs="Times New Roman"/>
          <w:color w:val="000000" w:themeColor="text1"/>
          <w:u w:val="none" w:color="auto"/>
          <w14:textFill>
            <w14:solidFill>
              <w14:schemeClr w14:val="tx1"/>
            </w14:solidFill>
          </w14:textFill>
        </w:rPr>
        <w:t>环境空气现状引用监测</w:t>
      </w:r>
      <w:bookmarkEnd w:id="227"/>
    </w:p>
    <w:p w14:paraId="153DEBF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监测点位</w:t>
      </w:r>
    </w:p>
    <w:p w14:paraId="43557C2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引用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监测点位信息见下表。</w:t>
      </w:r>
    </w:p>
    <w:p w14:paraId="2E3CC7E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vertAlign w:val="superscript"/>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环境空气质量引用监测</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点位信息表</w:t>
      </w:r>
    </w:p>
    <w:tbl>
      <w:tblPr>
        <w:tblStyle w:val="37"/>
        <w:tblW w:w="4997" w:type="pct"/>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972"/>
        <w:gridCol w:w="1323"/>
        <w:gridCol w:w="1225"/>
        <w:gridCol w:w="1128"/>
        <w:gridCol w:w="913"/>
        <w:gridCol w:w="705"/>
        <w:gridCol w:w="2071"/>
      </w:tblGrid>
      <w:tr w14:paraId="73E50FA0">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592" w:type="pct"/>
            <w:vMerge w:val="restart"/>
            <w:vAlign w:val="center"/>
          </w:tcPr>
          <w:p w14:paraId="3B8411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点位</w:t>
            </w:r>
          </w:p>
        </w:tc>
        <w:tc>
          <w:tcPr>
            <w:tcW w:w="1484" w:type="pct"/>
            <w:gridSpan w:val="2"/>
            <w:vAlign w:val="center"/>
          </w:tcPr>
          <w:p w14:paraId="655483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监测点坐标</w:t>
            </w:r>
          </w:p>
        </w:tc>
        <w:tc>
          <w:tcPr>
            <w:tcW w:w="685" w:type="pct"/>
            <w:vMerge w:val="restart"/>
            <w:vAlign w:val="center"/>
          </w:tcPr>
          <w:p w14:paraId="156D4F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监测因子</w:t>
            </w:r>
          </w:p>
        </w:tc>
        <w:tc>
          <w:tcPr>
            <w:tcW w:w="556" w:type="pct"/>
            <w:vMerge w:val="restart"/>
            <w:vAlign w:val="center"/>
          </w:tcPr>
          <w:p w14:paraId="46D65F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w:t>
            </w:r>
            <w:r>
              <w:rPr>
                <w:rFonts w:hint="eastAsia" w:eastAsia="宋体" w:cs="Times New Roman"/>
                <w:color w:val="000000" w:themeColor="text1"/>
                <w:u w:val="none" w:color="auto"/>
                <w:lang w:val="en-US" w:eastAsia="zh-CN"/>
                <w14:textFill>
                  <w14:solidFill>
                    <w14:schemeClr w14:val="tx1"/>
                  </w14:solidFill>
                </w14:textFill>
              </w:rPr>
              <w:t>时间</w:t>
            </w:r>
          </w:p>
        </w:tc>
        <w:tc>
          <w:tcPr>
            <w:tcW w:w="431" w:type="pct"/>
            <w:vMerge w:val="restart"/>
            <w:vAlign w:val="center"/>
          </w:tcPr>
          <w:p w14:paraId="523133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相对</w:t>
            </w:r>
            <w:r>
              <w:rPr>
                <w:rFonts w:hint="eastAsia" w:eastAsia="宋体" w:cs="Times New Roman"/>
                <w:color w:val="000000" w:themeColor="text1"/>
                <w:u w:val="none" w:color="auto"/>
                <w:lang w:val="en-US" w:eastAsia="zh-CN"/>
                <w14:textFill>
                  <w14:solidFill>
                    <w14:schemeClr w14:val="tx1"/>
                  </w14:solidFill>
                </w14:textFill>
              </w:rPr>
              <w:t>本项目位置</w:t>
            </w:r>
          </w:p>
        </w:tc>
        <w:tc>
          <w:tcPr>
            <w:tcW w:w="1250" w:type="pct"/>
            <w:vMerge w:val="restart"/>
            <w:vAlign w:val="center"/>
          </w:tcPr>
          <w:p w14:paraId="7830D4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备注</w:t>
            </w:r>
          </w:p>
        </w:tc>
      </w:tr>
      <w:tr w14:paraId="6EC1FD5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592" w:type="pct"/>
            <w:vMerge w:val="continue"/>
            <w:vAlign w:val="center"/>
          </w:tcPr>
          <w:p w14:paraId="7DC864E0">
            <w:pPr>
              <w:pStyle w:val="68"/>
              <w:keepNext w:val="0"/>
              <w:keepLines w:val="0"/>
              <w:pageBreakBefore w:val="0"/>
              <w:widowControl w:val="0"/>
              <w:kinsoku/>
              <w:wordWrap/>
              <w:overflowPunct/>
              <w:topLinePunct w:val="0"/>
              <w:bidi w:val="0"/>
              <w:rPr>
                <w:rFonts w:hint="default" w:ascii="Times New Roman" w:hAnsi="Times New Roman" w:eastAsia="宋体" w:cs="Times New Roman"/>
                <w:u w:val="none" w:color="auto"/>
              </w:rPr>
            </w:pPr>
          </w:p>
        </w:tc>
        <w:tc>
          <w:tcPr>
            <w:tcW w:w="774" w:type="pct"/>
            <w:vAlign w:val="center"/>
          </w:tcPr>
          <w:p w14:paraId="585900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经度</w:t>
            </w:r>
          </w:p>
        </w:tc>
        <w:tc>
          <w:tcPr>
            <w:tcW w:w="709" w:type="pct"/>
            <w:vAlign w:val="center"/>
          </w:tcPr>
          <w:p w14:paraId="1D5259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纬度</w:t>
            </w:r>
          </w:p>
        </w:tc>
        <w:tc>
          <w:tcPr>
            <w:tcW w:w="685" w:type="pct"/>
            <w:vMerge w:val="continue"/>
            <w:vAlign w:val="center"/>
          </w:tcPr>
          <w:p w14:paraId="51EA95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556" w:type="pct"/>
            <w:vMerge w:val="continue"/>
            <w:vAlign w:val="center"/>
          </w:tcPr>
          <w:p w14:paraId="4E2C51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431" w:type="pct"/>
            <w:vMerge w:val="continue"/>
            <w:vAlign w:val="center"/>
          </w:tcPr>
          <w:p w14:paraId="57D3AC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1250" w:type="pct"/>
            <w:vMerge w:val="continue"/>
            <w:vAlign w:val="center"/>
          </w:tcPr>
          <w:p w14:paraId="21539A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25CA6539">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2" w:type="pct"/>
            <w:vMerge w:val="restart"/>
            <w:vAlign w:val="center"/>
          </w:tcPr>
          <w:p w14:paraId="703762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平江县吉成科技有限责任公司厂址处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G1</w:t>
            </w:r>
          </w:p>
        </w:tc>
        <w:tc>
          <w:tcPr>
            <w:tcW w:w="774" w:type="pct"/>
            <w:vMerge w:val="restart"/>
            <w:vAlign w:val="center"/>
          </w:tcPr>
          <w:p w14:paraId="049925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113°17′16.42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709" w:type="pct"/>
            <w:vMerge w:val="restart"/>
            <w:vAlign w:val="center"/>
          </w:tcPr>
          <w:p w14:paraId="19D53A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28°47′16.347″</w:t>
            </w:r>
          </w:p>
        </w:tc>
        <w:tc>
          <w:tcPr>
            <w:tcW w:w="685" w:type="pct"/>
            <w:vAlign w:val="center"/>
          </w:tcPr>
          <w:p w14:paraId="4BE135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556" w:type="pct"/>
            <w:vMerge w:val="restart"/>
            <w:vAlign w:val="center"/>
          </w:tcPr>
          <w:p w14:paraId="2CE9F082">
            <w:pPr>
              <w:pStyle w:val="68"/>
              <w:keepNext w:val="0"/>
              <w:keepLines w:val="0"/>
              <w:pageBreakBefore w:val="0"/>
              <w:widowControl w:val="0"/>
              <w:kinsoku/>
              <w:wordWrap/>
              <w:overflowPunct/>
              <w:topLinePunct w:val="0"/>
              <w:bidi w:val="0"/>
              <w:rPr>
                <w:rFonts w:hint="eastAsia"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2025.8.18</w:t>
            </w:r>
          </w:p>
          <w:p w14:paraId="3D8BD268">
            <w:pPr>
              <w:pStyle w:val="68"/>
              <w:keepNext w:val="0"/>
              <w:keepLines w:val="0"/>
              <w:pageBreakBefore w:val="0"/>
              <w:widowControl w:val="0"/>
              <w:kinsoku/>
              <w:wordWrap/>
              <w:overflowPunct/>
              <w:topLinePunct w:val="0"/>
              <w:bidi w:val="0"/>
              <w:rPr>
                <w:rFonts w:hint="eastAsia" w:eastAsia="宋体" w:cs="Times New Roman"/>
                <w:color w:val="000000" w:themeColor="text1"/>
                <w:u w:val="none" w:color="auto"/>
                <w:lang w:val="en-US" w:eastAsia="zh-CN"/>
                <w14:textFill>
                  <w14:solidFill>
                    <w14:schemeClr w14:val="tx1"/>
                  </w14:solidFill>
                </w14:textFill>
              </w:rPr>
            </w:pPr>
            <w:r>
              <w:rPr>
                <w:rFonts w:hint="eastAsia" w:ascii="宋体" w:hAnsi="宋体" w:eastAsia="宋体" w:cs="宋体"/>
                <w:color w:val="000000" w:themeColor="text1"/>
                <w:u w:val="none" w:color="auto"/>
                <w:lang w:val="en-US" w:eastAsia="zh-CN"/>
                <w14:textFill>
                  <w14:solidFill>
                    <w14:schemeClr w14:val="tx1"/>
                  </w14:solidFill>
                </w14:textFill>
              </w:rPr>
              <w:t>～</w:t>
            </w:r>
          </w:p>
          <w:p w14:paraId="4C3A33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2025.8.24</w:t>
            </w:r>
          </w:p>
        </w:tc>
        <w:tc>
          <w:tcPr>
            <w:tcW w:w="431" w:type="pct"/>
            <w:vMerge w:val="restart"/>
            <w:vAlign w:val="center"/>
          </w:tcPr>
          <w:p w14:paraId="2B08A7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项目下风向</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1400</w:t>
            </w:r>
            <w:r>
              <w:rPr>
                <w:rFonts w:hint="eastAsia" w:eastAsia="宋体" w:cs="Times New Roman"/>
                <w:color w:val="000000" w:themeColor="text1"/>
                <w:u w:val="none" w:color="auto"/>
                <w:lang w:val="en-US" w:eastAsia="zh-CN"/>
                <w14:textFill>
                  <w14:solidFill>
                    <w14:schemeClr w14:val="tx1"/>
                  </w14:solidFill>
                </w14:textFill>
              </w:rPr>
              <w:t xml:space="preserve"> m</w:t>
            </w:r>
          </w:p>
        </w:tc>
        <w:tc>
          <w:tcPr>
            <w:tcW w:w="1250" w:type="pct"/>
            <w:vMerge w:val="restart"/>
            <w:vAlign w:val="center"/>
          </w:tcPr>
          <w:p w14:paraId="3BD864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引用平江县吉成科技有限责任公司《4000吨/年纳米氧化锌技改项目环境影响报告书》</w:t>
            </w:r>
          </w:p>
        </w:tc>
      </w:tr>
      <w:tr w14:paraId="3E81AA93">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2" w:type="pct"/>
            <w:vMerge w:val="continue"/>
            <w:vAlign w:val="center"/>
          </w:tcPr>
          <w:p w14:paraId="6A7971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74" w:type="pct"/>
            <w:vMerge w:val="continue"/>
            <w:vAlign w:val="center"/>
          </w:tcPr>
          <w:p w14:paraId="624B7C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09" w:type="pct"/>
            <w:vMerge w:val="continue"/>
            <w:vAlign w:val="center"/>
          </w:tcPr>
          <w:p w14:paraId="739A65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85" w:type="pct"/>
            <w:vAlign w:val="center"/>
          </w:tcPr>
          <w:p w14:paraId="35BBA9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556" w:type="pct"/>
            <w:vMerge w:val="continue"/>
            <w:vAlign w:val="center"/>
          </w:tcPr>
          <w:p w14:paraId="2B42B9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p>
        </w:tc>
        <w:tc>
          <w:tcPr>
            <w:tcW w:w="431" w:type="pct"/>
            <w:vMerge w:val="continue"/>
            <w:vAlign w:val="center"/>
          </w:tcPr>
          <w:p w14:paraId="69B57B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1250" w:type="pct"/>
            <w:vMerge w:val="continue"/>
            <w:vAlign w:val="center"/>
          </w:tcPr>
          <w:p w14:paraId="4B71D1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3AEE1E03">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2" w:type="pct"/>
            <w:vMerge w:val="continue"/>
            <w:vAlign w:val="center"/>
          </w:tcPr>
          <w:p w14:paraId="4DA4DC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74" w:type="pct"/>
            <w:vMerge w:val="continue"/>
            <w:vAlign w:val="center"/>
          </w:tcPr>
          <w:p w14:paraId="5A43BF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09" w:type="pct"/>
            <w:vMerge w:val="continue"/>
            <w:vAlign w:val="center"/>
          </w:tcPr>
          <w:p w14:paraId="5C742D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85" w:type="pct"/>
            <w:vAlign w:val="center"/>
          </w:tcPr>
          <w:p w14:paraId="163F07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556" w:type="pct"/>
            <w:vMerge w:val="continue"/>
            <w:vAlign w:val="center"/>
          </w:tcPr>
          <w:p w14:paraId="65330A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1" w:type="pct"/>
            <w:vMerge w:val="continue"/>
            <w:vAlign w:val="center"/>
          </w:tcPr>
          <w:p w14:paraId="785A56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1250" w:type="pct"/>
            <w:vMerge w:val="continue"/>
            <w:vAlign w:val="center"/>
          </w:tcPr>
          <w:p w14:paraId="4F4752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5EBC5C4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2" w:type="pct"/>
            <w:vMerge w:val="restart"/>
            <w:vAlign w:val="center"/>
          </w:tcPr>
          <w:p w14:paraId="54A828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大罗屋居民点G2</w:t>
            </w:r>
          </w:p>
        </w:tc>
        <w:tc>
          <w:tcPr>
            <w:tcW w:w="774" w:type="pct"/>
            <w:vMerge w:val="restart"/>
            <w:vAlign w:val="center"/>
          </w:tcPr>
          <w:p w14:paraId="08A665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113°16′47.30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709" w:type="pct"/>
            <w:vMerge w:val="restart"/>
            <w:vAlign w:val="center"/>
          </w:tcPr>
          <w:p w14:paraId="71DBDD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28°47′12.215″</w:t>
            </w:r>
          </w:p>
        </w:tc>
        <w:tc>
          <w:tcPr>
            <w:tcW w:w="685" w:type="pct"/>
            <w:vAlign w:val="center"/>
          </w:tcPr>
          <w:p w14:paraId="3A2A3B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556" w:type="pct"/>
            <w:vMerge w:val="restart"/>
            <w:vAlign w:val="center"/>
          </w:tcPr>
          <w:p w14:paraId="1A05C6CC">
            <w:pPr>
              <w:pStyle w:val="68"/>
              <w:keepNext w:val="0"/>
              <w:keepLines w:val="0"/>
              <w:pageBreakBefore w:val="0"/>
              <w:widowControl w:val="0"/>
              <w:kinsoku/>
              <w:wordWrap/>
              <w:overflowPunct/>
              <w:topLinePunct w:val="0"/>
              <w:bidi w:val="0"/>
              <w:rPr>
                <w:rFonts w:hint="eastAsia"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2023.3.16</w:t>
            </w:r>
          </w:p>
          <w:p w14:paraId="5F67149C">
            <w:pPr>
              <w:pStyle w:val="68"/>
              <w:keepNext w:val="0"/>
              <w:keepLines w:val="0"/>
              <w:pageBreakBefore w:val="0"/>
              <w:widowControl w:val="0"/>
              <w:kinsoku/>
              <w:wordWrap/>
              <w:overflowPunct/>
              <w:topLinePunct w:val="0"/>
              <w:bidi w:val="0"/>
              <w:rPr>
                <w:rFonts w:hint="eastAsia" w:eastAsia="宋体" w:cs="Times New Roman"/>
                <w:color w:val="000000" w:themeColor="text1"/>
                <w:u w:val="none" w:color="auto"/>
                <w:lang w:val="en-US" w:eastAsia="zh-CN"/>
                <w14:textFill>
                  <w14:solidFill>
                    <w14:schemeClr w14:val="tx1"/>
                  </w14:solidFill>
                </w14:textFill>
              </w:rPr>
            </w:pPr>
            <w:r>
              <w:rPr>
                <w:rFonts w:hint="eastAsia" w:ascii="宋体" w:hAnsi="宋体" w:eastAsia="宋体" w:cs="宋体"/>
                <w:color w:val="000000" w:themeColor="text1"/>
                <w:u w:val="none" w:color="auto"/>
                <w:lang w:val="en-US" w:eastAsia="zh-CN"/>
                <w14:textFill>
                  <w14:solidFill>
                    <w14:schemeClr w14:val="tx1"/>
                  </w14:solidFill>
                </w14:textFill>
              </w:rPr>
              <w:t>～</w:t>
            </w:r>
          </w:p>
          <w:p w14:paraId="4AB717F0">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2025.3.22</w:t>
            </w:r>
          </w:p>
        </w:tc>
        <w:tc>
          <w:tcPr>
            <w:tcW w:w="431" w:type="pct"/>
            <w:vMerge w:val="restart"/>
            <w:vAlign w:val="center"/>
          </w:tcPr>
          <w:p w14:paraId="4430D8CE">
            <w:pPr>
              <w:pStyle w:val="68"/>
              <w:keepNext w:val="0"/>
              <w:keepLines w:val="0"/>
              <w:pageBreakBefore w:val="0"/>
              <w:widowControl w:val="0"/>
              <w:kinsoku/>
              <w:wordWrap/>
              <w:overflowPunct/>
              <w:topLinePunct w:val="0"/>
              <w:bidi w:val="0"/>
              <w:rPr>
                <w:rFonts w:hint="eastAsia"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项目下风向</w:t>
            </w:r>
          </w:p>
          <w:p w14:paraId="712DA5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600 m</w:t>
            </w:r>
          </w:p>
        </w:tc>
        <w:tc>
          <w:tcPr>
            <w:tcW w:w="1250" w:type="pct"/>
            <w:vMerge w:val="restart"/>
            <w:vAlign w:val="center"/>
          </w:tcPr>
          <w:p w14:paraId="093B3E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引用《</w:t>
            </w:r>
            <w:r>
              <w:rPr>
                <w:rFonts w:hint="default" w:ascii="Times New Roman" w:hAnsi="Times New Roman" w:eastAsia="宋体" w:cs="Times New Roman"/>
                <w:color w:val="000000" w:themeColor="text1"/>
                <w:u w:val="none" w:color="auto"/>
                <w:lang w:eastAsia="zh-CN"/>
                <w14:textFill>
                  <w14:solidFill>
                    <w14:schemeClr w14:val="tx1"/>
                  </w14:solidFill>
                </w14:textFill>
              </w:rPr>
              <w:t>湖南平江高新平江高新区污水处理厂三期建设项目</w:t>
            </w:r>
            <w:r>
              <w:rPr>
                <w:rFonts w:hint="default" w:ascii="Times New Roman" w:hAnsi="Times New Roman" w:eastAsia="宋体" w:cs="Times New Roman"/>
                <w:color w:val="000000" w:themeColor="text1"/>
                <w:u w:val="none" w:color="auto"/>
                <w14:textFill>
                  <w14:solidFill>
                    <w14:schemeClr w14:val="tx1"/>
                  </w14:solidFill>
                </w14:textFill>
              </w:rPr>
              <w:t>环境影响报告书》</w:t>
            </w:r>
          </w:p>
        </w:tc>
      </w:tr>
      <w:tr w14:paraId="568224E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92" w:type="pct"/>
            <w:vMerge w:val="continue"/>
            <w:vAlign w:val="center"/>
          </w:tcPr>
          <w:p w14:paraId="160591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74" w:type="pct"/>
            <w:vMerge w:val="continue"/>
            <w:vAlign w:val="center"/>
          </w:tcPr>
          <w:p w14:paraId="2B00ED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09" w:type="pct"/>
            <w:vMerge w:val="continue"/>
            <w:vAlign w:val="center"/>
          </w:tcPr>
          <w:p w14:paraId="77C9E5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85" w:type="pct"/>
            <w:vAlign w:val="center"/>
          </w:tcPr>
          <w:p w14:paraId="135FC3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556" w:type="pct"/>
            <w:vMerge w:val="continue"/>
            <w:vAlign w:val="center"/>
          </w:tcPr>
          <w:p w14:paraId="365A9B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1" w:type="pct"/>
            <w:vMerge w:val="continue"/>
            <w:vAlign w:val="center"/>
          </w:tcPr>
          <w:p w14:paraId="1FBD58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1250" w:type="pct"/>
            <w:vMerge w:val="continue"/>
            <w:vAlign w:val="center"/>
          </w:tcPr>
          <w:p w14:paraId="50B6AD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bl>
    <w:p w14:paraId="39B0C90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）监测数据</w:t>
      </w:r>
    </w:p>
    <w:p w14:paraId="76DC6EE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vertAlign w:val="superscript"/>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环境空气质量引用监测及评价结果一览表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u w:val="none" w:color="auto"/>
          <w14:textFill>
            <w14:solidFill>
              <w14:schemeClr w14:val="tx1"/>
            </w14:solidFill>
          </w14:textFill>
        </w:rPr>
        <w:t>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1233"/>
        <w:gridCol w:w="1353"/>
        <w:gridCol w:w="1372"/>
        <w:gridCol w:w="1423"/>
        <w:gridCol w:w="1173"/>
        <w:gridCol w:w="861"/>
        <w:gridCol w:w="922"/>
      </w:tblGrid>
      <w:tr w14:paraId="0034B8D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739" w:type="pct"/>
            <w:vAlign w:val="center"/>
          </w:tcPr>
          <w:p w14:paraId="4586CA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点位</w:t>
            </w:r>
          </w:p>
        </w:tc>
        <w:tc>
          <w:tcPr>
            <w:tcW w:w="811" w:type="pct"/>
            <w:vAlign w:val="center"/>
          </w:tcPr>
          <w:p w14:paraId="0FD707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污染物</w:t>
            </w:r>
          </w:p>
        </w:tc>
        <w:tc>
          <w:tcPr>
            <w:tcW w:w="822" w:type="pct"/>
            <w:vAlign w:val="center"/>
          </w:tcPr>
          <w:p w14:paraId="5CA725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评价标准</w:t>
            </w:r>
          </w:p>
        </w:tc>
        <w:tc>
          <w:tcPr>
            <w:tcW w:w="853" w:type="pct"/>
            <w:vAlign w:val="center"/>
          </w:tcPr>
          <w:p w14:paraId="5EAE97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监测浓度范围</w:t>
            </w:r>
          </w:p>
        </w:tc>
        <w:tc>
          <w:tcPr>
            <w:tcW w:w="703" w:type="pct"/>
            <w:vAlign w:val="center"/>
          </w:tcPr>
          <w:p w14:paraId="63FC5D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最大浓度占标率/%</w:t>
            </w:r>
          </w:p>
        </w:tc>
        <w:tc>
          <w:tcPr>
            <w:tcW w:w="516" w:type="pct"/>
            <w:vAlign w:val="center"/>
          </w:tcPr>
          <w:p w14:paraId="6443F9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超标率/%</w:t>
            </w:r>
          </w:p>
        </w:tc>
        <w:tc>
          <w:tcPr>
            <w:tcW w:w="552" w:type="pct"/>
            <w:vAlign w:val="center"/>
          </w:tcPr>
          <w:p w14:paraId="0589EC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达标情况</w:t>
            </w:r>
          </w:p>
        </w:tc>
      </w:tr>
      <w:tr w14:paraId="6DC5549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restart"/>
            <w:vAlign w:val="center"/>
          </w:tcPr>
          <w:p w14:paraId="6D9ACC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平江县吉成科技有限责任公司厂址处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G1</w:t>
            </w:r>
          </w:p>
        </w:tc>
        <w:tc>
          <w:tcPr>
            <w:tcW w:w="811" w:type="pct"/>
            <w:vAlign w:val="center"/>
          </w:tcPr>
          <w:p w14:paraId="3EB06E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822" w:type="pct"/>
            <w:vAlign w:val="center"/>
          </w:tcPr>
          <w:p w14:paraId="4D4C4F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0.2</w:t>
            </w:r>
          </w:p>
        </w:tc>
        <w:tc>
          <w:tcPr>
            <w:tcW w:w="853" w:type="pct"/>
            <w:vAlign w:val="center"/>
          </w:tcPr>
          <w:p w14:paraId="6372EE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0.03～0.13</w:t>
            </w:r>
          </w:p>
        </w:tc>
        <w:tc>
          <w:tcPr>
            <w:tcW w:w="703" w:type="pct"/>
            <w:vAlign w:val="center"/>
          </w:tcPr>
          <w:p w14:paraId="126AB0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65</w:t>
            </w:r>
          </w:p>
        </w:tc>
        <w:tc>
          <w:tcPr>
            <w:tcW w:w="516" w:type="pct"/>
            <w:vAlign w:val="center"/>
          </w:tcPr>
          <w:p w14:paraId="29C0E9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552" w:type="pct"/>
            <w:vAlign w:val="center"/>
          </w:tcPr>
          <w:p w14:paraId="6931CC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0FA8F147">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continue"/>
            <w:vAlign w:val="center"/>
          </w:tcPr>
          <w:p w14:paraId="52A753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11" w:type="pct"/>
            <w:vAlign w:val="center"/>
          </w:tcPr>
          <w:p w14:paraId="75762D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822" w:type="pct"/>
            <w:vAlign w:val="center"/>
          </w:tcPr>
          <w:p w14:paraId="2E3E4A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20（无量纲）</w:t>
            </w:r>
          </w:p>
        </w:tc>
        <w:tc>
          <w:tcPr>
            <w:tcW w:w="853" w:type="pct"/>
            <w:vAlign w:val="center"/>
          </w:tcPr>
          <w:p w14:paraId="6CD5A3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703" w:type="pct"/>
            <w:vAlign w:val="center"/>
          </w:tcPr>
          <w:p w14:paraId="2E55C3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516" w:type="pct"/>
            <w:vAlign w:val="center"/>
          </w:tcPr>
          <w:p w14:paraId="0D2859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552" w:type="pct"/>
            <w:vAlign w:val="center"/>
          </w:tcPr>
          <w:p w14:paraId="4BCDB5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05D9321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continue"/>
            <w:vAlign w:val="center"/>
          </w:tcPr>
          <w:p w14:paraId="376EBC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11" w:type="pct"/>
            <w:vAlign w:val="center"/>
          </w:tcPr>
          <w:p w14:paraId="47DF82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822" w:type="pct"/>
            <w:vAlign w:val="center"/>
          </w:tcPr>
          <w:p w14:paraId="524B69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w:t>
            </w:r>
          </w:p>
        </w:tc>
        <w:tc>
          <w:tcPr>
            <w:tcW w:w="853" w:type="pct"/>
            <w:vAlign w:val="center"/>
          </w:tcPr>
          <w:p w14:paraId="422CD7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0.23～0.45</w:t>
            </w:r>
          </w:p>
        </w:tc>
        <w:tc>
          <w:tcPr>
            <w:tcW w:w="703" w:type="pct"/>
            <w:vAlign w:val="center"/>
          </w:tcPr>
          <w:p w14:paraId="12A88F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22.5</w:t>
            </w:r>
          </w:p>
        </w:tc>
        <w:tc>
          <w:tcPr>
            <w:tcW w:w="516" w:type="pct"/>
            <w:vAlign w:val="center"/>
          </w:tcPr>
          <w:p w14:paraId="168DB5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552" w:type="pct"/>
            <w:vAlign w:val="center"/>
          </w:tcPr>
          <w:p w14:paraId="504A11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6272292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restart"/>
            <w:shd w:val="clear" w:color="auto" w:fill="auto"/>
            <w:vAlign w:val="center"/>
          </w:tcPr>
          <w:p w14:paraId="7AA3D6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大罗屋居民点G2</w:t>
            </w:r>
          </w:p>
        </w:tc>
        <w:tc>
          <w:tcPr>
            <w:tcW w:w="811" w:type="pct"/>
            <w:shd w:val="clear" w:color="auto" w:fill="auto"/>
            <w:vAlign w:val="center"/>
          </w:tcPr>
          <w:p w14:paraId="3F60F7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822" w:type="pct"/>
            <w:shd w:val="clear" w:color="auto" w:fill="auto"/>
            <w:vAlign w:val="center"/>
          </w:tcPr>
          <w:p w14:paraId="0866E2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0.01</w:t>
            </w:r>
          </w:p>
        </w:tc>
        <w:tc>
          <w:tcPr>
            <w:tcW w:w="853" w:type="pct"/>
            <w:shd w:val="clear" w:color="auto" w:fill="auto"/>
            <w:vAlign w:val="center"/>
          </w:tcPr>
          <w:p w14:paraId="1084B2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0.003～0.006</w:t>
            </w:r>
          </w:p>
        </w:tc>
        <w:tc>
          <w:tcPr>
            <w:tcW w:w="703" w:type="pct"/>
            <w:shd w:val="clear" w:color="auto" w:fill="auto"/>
            <w:vAlign w:val="center"/>
          </w:tcPr>
          <w:p w14:paraId="223282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60</w:t>
            </w:r>
          </w:p>
        </w:tc>
        <w:tc>
          <w:tcPr>
            <w:tcW w:w="516" w:type="pct"/>
            <w:shd w:val="clear" w:color="auto" w:fill="auto"/>
            <w:vAlign w:val="center"/>
          </w:tcPr>
          <w:p w14:paraId="412CE5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552" w:type="pct"/>
            <w:shd w:val="clear" w:color="auto" w:fill="auto"/>
            <w:vAlign w:val="center"/>
          </w:tcPr>
          <w:p w14:paraId="46ED6E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7FDF31A9">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continue"/>
            <w:vAlign w:val="center"/>
          </w:tcPr>
          <w:p w14:paraId="75040F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11" w:type="pct"/>
            <w:shd w:val="clear" w:color="auto" w:fill="auto"/>
            <w:vAlign w:val="center"/>
          </w:tcPr>
          <w:p w14:paraId="3C0455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822" w:type="pct"/>
            <w:shd w:val="clear" w:color="auto" w:fill="auto"/>
            <w:vAlign w:val="center"/>
          </w:tcPr>
          <w:p w14:paraId="1DD147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0.2</w:t>
            </w:r>
          </w:p>
        </w:tc>
        <w:tc>
          <w:tcPr>
            <w:tcW w:w="853" w:type="pct"/>
            <w:shd w:val="clear" w:color="auto" w:fill="auto"/>
            <w:vAlign w:val="center"/>
          </w:tcPr>
          <w:p w14:paraId="146BE8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0.14～0.16</w:t>
            </w:r>
          </w:p>
        </w:tc>
        <w:tc>
          <w:tcPr>
            <w:tcW w:w="703" w:type="pct"/>
            <w:shd w:val="clear" w:color="auto" w:fill="auto"/>
            <w:vAlign w:val="center"/>
          </w:tcPr>
          <w:p w14:paraId="3ECDE1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80</w:t>
            </w:r>
          </w:p>
        </w:tc>
        <w:tc>
          <w:tcPr>
            <w:tcW w:w="516" w:type="pct"/>
            <w:shd w:val="clear" w:color="auto" w:fill="auto"/>
            <w:vAlign w:val="center"/>
          </w:tcPr>
          <w:p w14:paraId="4887D5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552" w:type="pct"/>
            <w:shd w:val="clear" w:color="auto" w:fill="auto"/>
            <w:vAlign w:val="center"/>
          </w:tcPr>
          <w:p w14:paraId="28A850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bl>
    <w:p w14:paraId="7DF9D10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）监测结果</w:t>
      </w:r>
    </w:p>
    <w:p w14:paraId="53B0885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监测结果表明：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引用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的各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监测点</w:t>
      </w:r>
      <w:r>
        <w:rPr>
          <w:rFonts w:hint="default" w:ascii="Times New Roman" w:hAnsi="Times New Roman" w:eastAsia="宋体" w:cs="Times New Roman"/>
          <w:color w:val="000000" w:themeColor="text1"/>
          <w:u w:val="none" w:color="auto"/>
          <w:lang w:eastAsia="zh-CN"/>
          <w14:textFill>
            <w14:solidFill>
              <w14:schemeClr w14:val="tx1"/>
            </w14:solidFill>
          </w14:textFill>
        </w:rPr>
        <w:t>硫化氢和氨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气</w:t>
      </w:r>
      <w:r>
        <w:rPr>
          <w:rFonts w:hint="default" w:ascii="Times New Roman" w:hAnsi="Times New Roman" w:eastAsia="宋体" w:cs="Times New Roman"/>
          <w:color w:val="000000" w:themeColor="text1"/>
          <w:u w:val="none" w:color="auto"/>
          <w14:textFill>
            <w14:solidFill>
              <w14:schemeClr w14:val="tx1"/>
            </w14:solidFill>
          </w14:textFill>
        </w:rPr>
        <w:t>的</w:t>
      </w:r>
      <w:r>
        <w:rPr>
          <w:rFonts w:hint="default" w:ascii="Times New Roman" w:hAnsi="Times New Roman" w:eastAsia="宋体" w:cs="Times New Roman"/>
          <w:color w:val="000000" w:themeColor="text1"/>
          <w:u w:val="none" w:color="auto"/>
          <w:lang w:eastAsia="zh-CN"/>
          <w14:textFill>
            <w14:solidFill>
              <w14:schemeClr w14:val="tx1"/>
            </w14:solidFill>
          </w14:textFill>
        </w:rPr>
        <w:t>小时</w:t>
      </w:r>
      <w:r>
        <w:rPr>
          <w:rFonts w:hint="default" w:ascii="Times New Roman" w:hAnsi="Times New Roman" w:eastAsia="宋体" w:cs="Times New Roman"/>
          <w:color w:val="000000" w:themeColor="text1"/>
          <w:u w:val="none" w:color="auto"/>
          <w14:textFill>
            <w14:solidFill>
              <w14:schemeClr w14:val="tx1"/>
            </w14:solidFill>
          </w14:textFill>
        </w:rPr>
        <w:t>浓度值值均能够满足《环境影响评价技术导则大气环境》（HJ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2018）附录D中的浓度限值</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臭气浓度满足《恶臭污染物排放标准》</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14554-93）表1恶臭污染物厂界标准值要求；非甲烷总烃符合《大气污染物综合排放标准详解》中关于非甲烷总烃环境质量标准。</w:t>
      </w:r>
    </w:p>
    <w:p w14:paraId="6DD716B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28" w:name="_Toc11312"/>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1.3 环境空气现状补充监测</w:t>
      </w:r>
      <w:bookmarkEnd w:id="228"/>
    </w:p>
    <w:p w14:paraId="6F90420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（1）监测点位基本信息</w:t>
      </w:r>
    </w:p>
    <w:p w14:paraId="1961909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环境空气现状补充</w:t>
      </w:r>
      <w:r>
        <w:rPr>
          <w:rFonts w:hint="default" w:ascii="Times New Roman" w:hAnsi="Times New Roman" w:eastAsia="宋体" w:cs="Times New Roman"/>
          <w:color w:val="000000" w:themeColor="text1"/>
          <w:u w:val="none" w:color="auto"/>
          <w14:textFill>
            <w14:solidFill>
              <w14:schemeClr w14:val="tx1"/>
            </w14:solidFill>
          </w14:textFill>
        </w:rPr>
        <w:t>监测点</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位信息</w:t>
      </w:r>
      <w:r>
        <w:rPr>
          <w:rFonts w:hint="default" w:ascii="Times New Roman" w:hAnsi="Times New Roman" w:eastAsia="宋体" w:cs="Times New Roman"/>
          <w:color w:val="000000" w:themeColor="text1"/>
          <w:u w:val="none" w:color="auto"/>
          <w14:textFill>
            <w14:solidFill>
              <w14:schemeClr w14:val="tx1"/>
            </w14:solidFill>
          </w14:textFill>
        </w:rPr>
        <w:t>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1412"/>
        <w:gridCol w:w="1323"/>
        <w:gridCol w:w="1313"/>
        <w:gridCol w:w="1205"/>
        <w:gridCol w:w="1235"/>
        <w:gridCol w:w="828"/>
        <w:gridCol w:w="1023"/>
      </w:tblGrid>
      <w:tr w14:paraId="5461C08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847" w:type="pct"/>
            <w:vMerge w:val="restart"/>
            <w:vAlign w:val="center"/>
          </w:tcPr>
          <w:p w14:paraId="07F3AA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点位</w:t>
            </w:r>
          </w:p>
        </w:tc>
        <w:tc>
          <w:tcPr>
            <w:tcW w:w="1580" w:type="pct"/>
            <w:gridSpan w:val="2"/>
            <w:vAlign w:val="center"/>
          </w:tcPr>
          <w:p w14:paraId="16D885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监测点坐标</w:t>
            </w:r>
          </w:p>
        </w:tc>
        <w:tc>
          <w:tcPr>
            <w:tcW w:w="722" w:type="pct"/>
            <w:vMerge w:val="restart"/>
            <w:vAlign w:val="center"/>
          </w:tcPr>
          <w:p w14:paraId="798EB8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监测因子</w:t>
            </w:r>
          </w:p>
        </w:tc>
        <w:tc>
          <w:tcPr>
            <w:tcW w:w="740" w:type="pct"/>
            <w:vMerge w:val="restart"/>
            <w:vAlign w:val="center"/>
          </w:tcPr>
          <w:p w14:paraId="4AA9B2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监测时段</w:t>
            </w:r>
          </w:p>
        </w:tc>
        <w:tc>
          <w:tcPr>
            <w:tcW w:w="496" w:type="pct"/>
            <w:vMerge w:val="restart"/>
            <w:vAlign w:val="center"/>
          </w:tcPr>
          <w:p w14:paraId="6AB02B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相对厂址方位</w:t>
            </w:r>
          </w:p>
        </w:tc>
        <w:tc>
          <w:tcPr>
            <w:tcW w:w="613" w:type="pct"/>
            <w:vMerge w:val="restart"/>
            <w:vAlign w:val="center"/>
          </w:tcPr>
          <w:p w14:paraId="5CB225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相对厂界距离/m</w:t>
            </w:r>
          </w:p>
        </w:tc>
      </w:tr>
      <w:tr w14:paraId="58BDEBD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847" w:type="pct"/>
            <w:vMerge w:val="continue"/>
            <w:vAlign w:val="center"/>
          </w:tcPr>
          <w:p w14:paraId="03CA4A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93" w:type="pct"/>
            <w:vAlign w:val="center"/>
          </w:tcPr>
          <w:p w14:paraId="31DCDD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经度</w:t>
            </w:r>
          </w:p>
        </w:tc>
        <w:tc>
          <w:tcPr>
            <w:tcW w:w="787" w:type="pct"/>
            <w:vAlign w:val="center"/>
          </w:tcPr>
          <w:p w14:paraId="357806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纬度</w:t>
            </w:r>
          </w:p>
        </w:tc>
        <w:tc>
          <w:tcPr>
            <w:tcW w:w="722" w:type="pct"/>
            <w:vMerge w:val="continue"/>
            <w:vAlign w:val="center"/>
          </w:tcPr>
          <w:p w14:paraId="03AB8E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740" w:type="pct"/>
            <w:vMerge w:val="continue"/>
            <w:vAlign w:val="center"/>
          </w:tcPr>
          <w:p w14:paraId="7552FD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496" w:type="pct"/>
            <w:vMerge w:val="continue"/>
            <w:vAlign w:val="center"/>
          </w:tcPr>
          <w:p w14:paraId="6A68DB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613" w:type="pct"/>
            <w:vMerge w:val="continue"/>
            <w:vAlign w:val="center"/>
          </w:tcPr>
          <w:p w14:paraId="628612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73752F0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47" w:type="pct"/>
            <w:vMerge w:val="restart"/>
            <w:vAlign w:val="center"/>
          </w:tcPr>
          <w:p w14:paraId="4735D4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厂址处G1</w:t>
            </w:r>
          </w:p>
        </w:tc>
        <w:tc>
          <w:tcPr>
            <w:tcW w:w="793" w:type="pct"/>
            <w:vMerge w:val="restart"/>
            <w:vAlign w:val="center"/>
          </w:tcPr>
          <w:p w14:paraId="24114E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113°16′47.30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787" w:type="pct"/>
            <w:vMerge w:val="restart"/>
            <w:vAlign w:val="center"/>
          </w:tcPr>
          <w:p w14:paraId="3E6674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28°47′12.215″</w:t>
            </w:r>
          </w:p>
        </w:tc>
        <w:tc>
          <w:tcPr>
            <w:tcW w:w="722" w:type="pct"/>
            <w:vAlign w:val="center"/>
          </w:tcPr>
          <w:p w14:paraId="2A6F33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740" w:type="pct"/>
            <w:vAlign w:val="center"/>
          </w:tcPr>
          <w:p w14:paraId="3A600A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昼间1 h</w:t>
            </w:r>
          </w:p>
        </w:tc>
        <w:tc>
          <w:tcPr>
            <w:tcW w:w="496" w:type="pct"/>
            <w:vMerge w:val="restart"/>
            <w:vAlign w:val="center"/>
          </w:tcPr>
          <w:p w14:paraId="15803BC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厂址处</w:t>
            </w:r>
          </w:p>
        </w:tc>
        <w:tc>
          <w:tcPr>
            <w:tcW w:w="613" w:type="pct"/>
            <w:vMerge w:val="restart"/>
            <w:vAlign w:val="center"/>
          </w:tcPr>
          <w:p w14:paraId="7EFD50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5EE3E037">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47" w:type="pct"/>
            <w:vMerge w:val="continue"/>
            <w:vAlign w:val="center"/>
          </w:tcPr>
          <w:p w14:paraId="699195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93" w:type="pct"/>
            <w:vMerge w:val="continue"/>
            <w:vAlign w:val="center"/>
          </w:tcPr>
          <w:p w14:paraId="7B636F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87" w:type="pct"/>
            <w:vMerge w:val="continue"/>
            <w:vAlign w:val="center"/>
          </w:tcPr>
          <w:p w14:paraId="4E7B3E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22" w:type="pct"/>
            <w:shd w:val="clear" w:color="auto" w:fill="auto"/>
            <w:vAlign w:val="center"/>
          </w:tcPr>
          <w:p w14:paraId="3ED883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740" w:type="pct"/>
            <w:shd w:val="clear" w:color="auto" w:fill="auto"/>
            <w:vAlign w:val="center"/>
          </w:tcPr>
          <w:p w14:paraId="6C5205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昼间1 h</w:t>
            </w:r>
          </w:p>
        </w:tc>
        <w:tc>
          <w:tcPr>
            <w:tcW w:w="496" w:type="pct"/>
            <w:vMerge w:val="continue"/>
            <w:vAlign w:val="center"/>
          </w:tcPr>
          <w:p w14:paraId="229CC8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613" w:type="pct"/>
            <w:vMerge w:val="continue"/>
            <w:vAlign w:val="center"/>
          </w:tcPr>
          <w:p w14:paraId="2F7E48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405DD4E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47" w:type="pct"/>
            <w:vMerge w:val="continue"/>
            <w:vAlign w:val="center"/>
          </w:tcPr>
          <w:p w14:paraId="432E98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93" w:type="pct"/>
            <w:vMerge w:val="continue"/>
            <w:vAlign w:val="center"/>
          </w:tcPr>
          <w:p w14:paraId="7EDF67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87" w:type="pct"/>
            <w:vMerge w:val="continue"/>
            <w:vAlign w:val="center"/>
          </w:tcPr>
          <w:p w14:paraId="3192B6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22" w:type="pct"/>
            <w:vAlign w:val="center"/>
          </w:tcPr>
          <w:p w14:paraId="4D5405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740" w:type="pct"/>
            <w:vAlign w:val="center"/>
          </w:tcPr>
          <w:p w14:paraId="475448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昼间1 h</w:t>
            </w:r>
          </w:p>
        </w:tc>
        <w:tc>
          <w:tcPr>
            <w:tcW w:w="496" w:type="pct"/>
            <w:vMerge w:val="continue"/>
            <w:vAlign w:val="center"/>
          </w:tcPr>
          <w:p w14:paraId="438423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613" w:type="pct"/>
            <w:vMerge w:val="continue"/>
            <w:vAlign w:val="center"/>
          </w:tcPr>
          <w:p w14:paraId="6A6A84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4727DD5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47" w:type="pct"/>
            <w:vMerge w:val="continue"/>
            <w:vAlign w:val="center"/>
          </w:tcPr>
          <w:p w14:paraId="209A93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93" w:type="pct"/>
            <w:vMerge w:val="continue"/>
            <w:vAlign w:val="center"/>
          </w:tcPr>
          <w:p w14:paraId="01676A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87" w:type="pct"/>
            <w:vMerge w:val="continue"/>
            <w:vAlign w:val="center"/>
          </w:tcPr>
          <w:p w14:paraId="7BAE0D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22" w:type="pct"/>
            <w:vAlign w:val="center"/>
          </w:tcPr>
          <w:p w14:paraId="6039A7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740" w:type="pct"/>
            <w:vAlign w:val="center"/>
          </w:tcPr>
          <w:p w14:paraId="68ED20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昼间1次</w:t>
            </w:r>
          </w:p>
        </w:tc>
        <w:tc>
          <w:tcPr>
            <w:tcW w:w="496" w:type="pct"/>
            <w:vMerge w:val="continue"/>
            <w:vAlign w:val="center"/>
          </w:tcPr>
          <w:p w14:paraId="74A748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613" w:type="pct"/>
            <w:vMerge w:val="continue"/>
            <w:vAlign w:val="center"/>
          </w:tcPr>
          <w:p w14:paraId="34B975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bl>
    <w:p w14:paraId="40EF320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（2）监测时间、频次</w:t>
      </w:r>
    </w:p>
    <w:p w14:paraId="335F5C3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监测时间为202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月</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日-2025年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月</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日。</w:t>
      </w:r>
    </w:p>
    <w:p w14:paraId="6C614E6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（3）监测单位：</w:t>
      </w:r>
    </w:p>
    <w:p w14:paraId="6C095D2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湖南环景检测有限公司</w:t>
      </w:r>
    </w:p>
    <w:p w14:paraId="3E482AC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（4）气象情况：</w:t>
      </w:r>
    </w:p>
    <w:p w14:paraId="0DAF813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监测期间气象情况见下表所示。</w:t>
      </w:r>
    </w:p>
    <w:p w14:paraId="20FC47BD">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监测期间气象条件</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1421"/>
        <w:gridCol w:w="1421"/>
        <w:gridCol w:w="1421"/>
        <w:gridCol w:w="1422"/>
        <w:gridCol w:w="1422"/>
      </w:tblGrid>
      <w:tr w14:paraId="48111E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33" w:type="pct"/>
            <w:vAlign w:val="center"/>
          </w:tcPr>
          <w:p w14:paraId="0958D8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日期</w:t>
            </w:r>
          </w:p>
        </w:tc>
        <w:tc>
          <w:tcPr>
            <w:tcW w:w="833" w:type="pct"/>
            <w:vAlign w:val="center"/>
          </w:tcPr>
          <w:p w14:paraId="307E50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天气</w:t>
            </w:r>
          </w:p>
        </w:tc>
        <w:tc>
          <w:tcPr>
            <w:tcW w:w="833" w:type="pct"/>
            <w:vAlign w:val="center"/>
          </w:tcPr>
          <w:p w14:paraId="78DC5F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气温℃</w:t>
            </w:r>
          </w:p>
        </w:tc>
        <w:tc>
          <w:tcPr>
            <w:tcW w:w="833" w:type="pct"/>
            <w:vAlign w:val="center"/>
          </w:tcPr>
          <w:p w14:paraId="39414D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风向</w:t>
            </w:r>
          </w:p>
        </w:tc>
        <w:tc>
          <w:tcPr>
            <w:tcW w:w="833" w:type="pct"/>
            <w:vAlign w:val="center"/>
          </w:tcPr>
          <w:p w14:paraId="195119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风速m/s</w:t>
            </w:r>
          </w:p>
        </w:tc>
        <w:tc>
          <w:tcPr>
            <w:tcW w:w="833" w:type="pct"/>
            <w:vAlign w:val="center"/>
          </w:tcPr>
          <w:p w14:paraId="57508B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气压KPa</w:t>
            </w:r>
          </w:p>
        </w:tc>
      </w:tr>
      <w:tr w14:paraId="384CE9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21" w:type="dxa"/>
            <w:vAlign w:val="center"/>
          </w:tcPr>
          <w:p w14:paraId="53BEABB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2026.03.06</w:t>
            </w:r>
          </w:p>
        </w:tc>
        <w:tc>
          <w:tcPr>
            <w:tcW w:w="1421" w:type="dxa"/>
            <w:vAlign w:val="center"/>
          </w:tcPr>
          <w:p w14:paraId="54CE546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阴</w:t>
            </w:r>
          </w:p>
        </w:tc>
        <w:tc>
          <w:tcPr>
            <w:tcW w:w="1421" w:type="dxa"/>
            <w:vAlign w:val="center"/>
          </w:tcPr>
          <w:p w14:paraId="0A8829B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8.1～9.3</w:t>
            </w:r>
          </w:p>
        </w:tc>
        <w:tc>
          <w:tcPr>
            <w:tcW w:w="1421" w:type="dxa"/>
            <w:vAlign w:val="center"/>
          </w:tcPr>
          <w:p w14:paraId="24B428F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东北</w:t>
            </w:r>
          </w:p>
        </w:tc>
        <w:tc>
          <w:tcPr>
            <w:tcW w:w="1422" w:type="dxa"/>
            <w:vAlign w:val="center"/>
          </w:tcPr>
          <w:p w14:paraId="2E94786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0.2</w:t>
            </w:r>
          </w:p>
        </w:tc>
        <w:tc>
          <w:tcPr>
            <w:tcW w:w="1422" w:type="dxa"/>
            <w:vAlign w:val="center"/>
          </w:tcPr>
          <w:p w14:paraId="10DAE34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101.4</w:t>
            </w:r>
          </w:p>
        </w:tc>
      </w:tr>
      <w:tr w14:paraId="4B6BC7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21" w:type="dxa"/>
            <w:vAlign w:val="center"/>
          </w:tcPr>
          <w:p w14:paraId="7995EA5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2026.03.07</w:t>
            </w:r>
          </w:p>
        </w:tc>
        <w:tc>
          <w:tcPr>
            <w:tcW w:w="1421" w:type="dxa"/>
            <w:vAlign w:val="center"/>
          </w:tcPr>
          <w:p w14:paraId="074C228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阴</w:t>
            </w:r>
          </w:p>
        </w:tc>
        <w:tc>
          <w:tcPr>
            <w:tcW w:w="1421" w:type="dxa"/>
            <w:vAlign w:val="center"/>
          </w:tcPr>
          <w:p w14:paraId="0ED4CED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8.1～9.6</w:t>
            </w:r>
          </w:p>
        </w:tc>
        <w:tc>
          <w:tcPr>
            <w:tcW w:w="1421" w:type="dxa"/>
            <w:vAlign w:val="center"/>
          </w:tcPr>
          <w:p w14:paraId="150FBA0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东北</w:t>
            </w:r>
          </w:p>
        </w:tc>
        <w:tc>
          <w:tcPr>
            <w:tcW w:w="1422" w:type="dxa"/>
            <w:vAlign w:val="center"/>
          </w:tcPr>
          <w:p w14:paraId="175FEFD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0.3</w:t>
            </w:r>
          </w:p>
        </w:tc>
        <w:tc>
          <w:tcPr>
            <w:tcW w:w="1422" w:type="dxa"/>
            <w:vAlign w:val="center"/>
          </w:tcPr>
          <w:p w14:paraId="5681C4E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101.1</w:t>
            </w:r>
          </w:p>
        </w:tc>
      </w:tr>
      <w:tr w14:paraId="69AED1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21" w:type="dxa"/>
            <w:vAlign w:val="center"/>
          </w:tcPr>
          <w:p w14:paraId="00BF541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2026.03.08</w:t>
            </w:r>
          </w:p>
        </w:tc>
        <w:tc>
          <w:tcPr>
            <w:tcW w:w="1421" w:type="dxa"/>
            <w:vAlign w:val="center"/>
          </w:tcPr>
          <w:p w14:paraId="4709326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阴</w:t>
            </w:r>
          </w:p>
        </w:tc>
        <w:tc>
          <w:tcPr>
            <w:tcW w:w="1421" w:type="dxa"/>
            <w:vAlign w:val="center"/>
          </w:tcPr>
          <w:p w14:paraId="46DF30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9.1～9.7</w:t>
            </w:r>
          </w:p>
        </w:tc>
        <w:tc>
          <w:tcPr>
            <w:tcW w:w="1421" w:type="dxa"/>
            <w:vAlign w:val="center"/>
          </w:tcPr>
          <w:p w14:paraId="7B48DBD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东北</w:t>
            </w:r>
          </w:p>
        </w:tc>
        <w:tc>
          <w:tcPr>
            <w:tcW w:w="1422" w:type="dxa"/>
            <w:vAlign w:val="center"/>
          </w:tcPr>
          <w:p w14:paraId="35275DC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0.2</w:t>
            </w:r>
          </w:p>
        </w:tc>
        <w:tc>
          <w:tcPr>
            <w:tcW w:w="1422" w:type="dxa"/>
            <w:vAlign w:val="center"/>
          </w:tcPr>
          <w:p w14:paraId="4244EFC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101.3</w:t>
            </w:r>
          </w:p>
        </w:tc>
      </w:tr>
      <w:tr w14:paraId="03FF2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21" w:type="dxa"/>
            <w:vAlign w:val="center"/>
          </w:tcPr>
          <w:p w14:paraId="729D593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2026.03.09</w:t>
            </w:r>
          </w:p>
        </w:tc>
        <w:tc>
          <w:tcPr>
            <w:tcW w:w="1421" w:type="dxa"/>
            <w:vAlign w:val="center"/>
          </w:tcPr>
          <w:p w14:paraId="19736C5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阴</w:t>
            </w:r>
          </w:p>
        </w:tc>
        <w:tc>
          <w:tcPr>
            <w:tcW w:w="1421" w:type="dxa"/>
            <w:vAlign w:val="center"/>
          </w:tcPr>
          <w:p w14:paraId="7C1020A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8.2～9.6</w:t>
            </w:r>
          </w:p>
        </w:tc>
        <w:tc>
          <w:tcPr>
            <w:tcW w:w="1421" w:type="dxa"/>
            <w:vAlign w:val="center"/>
          </w:tcPr>
          <w:p w14:paraId="11C1280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东北</w:t>
            </w:r>
          </w:p>
        </w:tc>
        <w:tc>
          <w:tcPr>
            <w:tcW w:w="1422" w:type="dxa"/>
            <w:vAlign w:val="center"/>
          </w:tcPr>
          <w:p w14:paraId="3A2905C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0.3</w:t>
            </w:r>
          </w:p>
        </w:tc>
        <w:tc>
          <w:tcPr>
            <w:tcW w:w="1422" w:type="dxa"/>
            <w:vAlign w:val="center"/>
          </w:tcPr>
          <w:p w14:paraId="52CFABD0">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102.1</w:t>
            </w:r>
          </w:p>
        </w:tc>
      </w:tr>
      <w:tr w14:paraId="03A33A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21" w:type="dxa"/>
            <w:vAlign w:val="center"/>
          </w:tcPr>
          <w:p w14:paraId="6DD9987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2026.03.10</w:t>
            </w:r>
          </w:p>
        </w:tc>
        <w:tc>
          <w:tcPr>
            <w:tcW w:w="1421" w:type="dxa"/>
            <w:vAlign w:val="center"/>
          </w:tcPr>
          <w:p w14:paraId="4FBA6B9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阴</w:t>
            </w:r>
          </w:p>
        </w:tc>
        <w:tc>
          <w:tcPr>
            <w:tcW w:w="1421" w:type="dxa"/>
            <w:vAlign w:val="center"/>
          </w:tcPr>
          <w:p w14:paraId="3DBE446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9.3～11.3</w:t>
            </w:r>
          </w:p>
        </w:tc>
        <w:tc>
          <w:tcPr>
            <w:tcW w:w="1421" w:type="dxa"/>
            <w:vAlign w:val="center"/>
          </w:tcPr>
          <w:p w14:paraId="475378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东北</w:t>
            </w:r>
          </w:p>
        </w:tc>
        <w:tc>
          <w:tcPr>
            <w:tcW w:w="1422" w:type="dxa"/>
            <w:vAlign w:val="center"/>
          </w:tcPr>
          <w:p w14:paraId="6831EAA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0.3</w:t>
            </w:r>
          </w:p>
        </w:tc>
        <w:tc>
          <w:tcPr>
            <w:tcW w:w="1422" w:type="dxa"/>
            <w:vAlign w:val="center"/>
          </w:tcPr>
          <w:p w14:paraId="5E05127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101.3</w:t>
            </w:r>
          </w:p>
        </w:tc>
      </w:tr>
      <w:tr w14:paraId="6B01A9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21" w:type="dxa"/>
            <w:vAlign w:val="center"/>
          </w:tcPr>
          <w:p w14:paraId="27FD7D5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2026.03.11</w:t>
            </w:r>
          </w:p>
        </w:tc>
        <w:tc>
          <w:tcPr>
            <w:tcW w:w="1421" w:type="dxa"/>
            <w:vAlign w:val="center"/>
          </w:tcPr>
          <w:p w14:paraId="42BF3EC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晴</w:t>
            </w:r>
          </w:p>
        </w:tc>
        <w:tc>
          <w:tcPr>
            <w:tcW w:w="1421" w:type="dxa"/>
            <w:vAlign w:val="center"/>
          </w:tcPr>
          <w:p w14:paraId="3DD7A0D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10.2～11.2</w:t>
            </w:r>
          </w:p>
        </w:tc>
        <w:tc>
          <w:tcPr>
            <w:tcW w:w="1421" w:type="dxa"/>
            <w:vAlign w:val="center"/>
          </w:tcPr>
          <w:p w14:paraId="14426EC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东北</w:t>
            </w:r>
          </w:p>
        </w:tc>
        <w:tc>
          <w:tcPr>
            <w:tcW w:w="1422" w:type="dxa"/>
            <w:vAlign w:val="center"/>
          </w:tcPr>
          <w:p w14:paraId="53A0F99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0.2</w:t>
            </w:r>
          </w:p>
        </w:tc>
        <w:tc>
          <w:tcPr>
            <w:tcW w:w="1422" w:type="dxa"/>
            <w:vAlign w:val="center"/>
          </w:tcPr>
          <w:p w14:paraId="61934D1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101.4</w:t>
            </w:r>
          </w:p>
        </w:tc>
      </w:tr>
      <w:tr w14:paraId="462711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21" w:type="dxa"/>
            <w:vAlign w:val="center"/>
          </w:tcPr>
          <w:p w14:paraId="39E292E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2026.03.12</w:t>
            </w:r>
          </w:p>
        </w:tc>
        <w:tc>
          <w:tcPr>
            <w:tcW w:w="1421" w:type="dxa"/>
            <w:vAlign w:val="center"/>
          </w:tcPr>
          <w:p w14:paraId="442A222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晴</w:t>
            </w:r>
          </w:p>
        </w:tc>
        <w:tc>
          <w:tcPr>
            <w:tcW w:w="1421" w:type="dxa"/>
            <w:vAlign w:val="center"/>
          </w:tcPr>
          <w:p w14:paraId="1F6CE62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9.2～12.2</w:t>
            </w:r>
          </w:p>
        </w:tc>
        <w:tc>
          <w:tcPr>
            <w:tcW w:w="1421" w:type="dxa"/>
            <w:vAlign w:val="center"/>
          </w:tcPr>
          <w:p w14:paraId="2FC6DBB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东北</w:t>
            </w:r>
          </w:p>
        </w:tc>
        <w:tc>
          <w:tcPr>
            <w:tcW w:w="1422" w:type="dxa"/>
            <w:vAlign w:val="center"/>
          </w:tcPr>
          <w:p w14:paraId="7AE791A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0.3</w:t>
            </w:r>
          </w:p>
        </w:tc>
        <w:tc>
          <w:tcPr>
            <w:tcW w:w="1422" w:type="dxa"/>
            <w:vAlign w:val="center"/>
          </w:tcPr>
          <w:p w14:paraId="20CBD13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101.2</w:t>
            </w:r>
          </w:p>
        </w:tc>
      </w:tr>
    </w:tbl>
    <w:p w14:paraId="63C66EF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（5）执行标准</w:t>
      </w:r>
    </w:p>
    <w:p w14:paraId="4E9C305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硫化氢、氨气</w:t>
      </w:r>
      <w:r>
        <w:rPr>
          <w:rFonts w:hint="default" w:ascii="Times New Roman" w:hAnsi="Times New Roman" w:eastAsia="宋体" w:cs="Times New Roman"/>
          <w:color w:val="000000" w:themeColor="text1"/>
          <w:u w:val="none" w:color="auto"/>
          <w14:textFill>
            <w14:solidFill>
              <w14:schemeClr w14:val="tx1"/>
            </w14:solidFill>
          </w14:textFill>
        </w:rPr>
        <w:t>执行《环境影响评价技术导则 大气环境》（HJ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表D.1标准限值</w:t>
      </w:r>
      <w:r>
        <w:rPr>
          <w:rFonts w:hint="default" w:ascii="Times New Roman" w:hAnsi="Times New Roman" w:eastAsia="宋体" w:cs="Times New Roman"/>
          <w:color w:val="000000" w:themeColor="text1"/>
          <w:u w:val="none" w:color="auto"/>
          <w14:textFill>
            <w14:solidFill>
              <w14:schemeClr w14:val="tx1"/>
            </w14:solidFill>
          </w14:textFill>
        </w:rPr>
        <w:t>，非甲烷总烃参照执行《大气污染物综合排放标准详解》中关于非甲烷总烃环境质量标准：2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（一次值）</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臭气浓度监测现状浓度留作本底，不评价。</w:t>
      </w:r>
    </w:p>
    <w:p w14:paraId="58F6F99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（6）监测结果分析</w:t>
      </w:r>
    </w:p>
    <w:p w14:paraId="15D2892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vertAlign w:val="superscript"/>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环境空气质量监测及评价结果一览表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w:t>
      </w:r>
      <w:r>
        <w:rPr>
          <w:rFonts w:hint="default" w:ascii="Times New Roman" w:hAnsi="Times New Roman" w:eastAsia="宋体" w:cs="Times New Roman"/>
          <w:color w:val="000000" w:themeColor="text1"/>
          <w:u w:val="none" w:color="auto"/>
          <w14:textFill>
            <w14:solidFill>
              <w14:schemeClr w14:val="tx1"/>
            </w14:solidFill>
          </w14:textFill>
        </w:rPr>
        <w:t>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1233"/>
        <w:gridCol w:w="1353"/>
        <w:gridCol w:w="1371"/>
        <w:gridCol w:w="1423"/>
        <w:gridCol w:w="1173"/>
        <w:gridCol w:w="1028"/>
        <w:gridCol w:w="756"/>
      </w:tblGrid>
      <w:tr w14:paraId="7E6C00F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739" w:type="pct"/>
            <w:vAlign w:val="center"/>
          </w:tcPr>
          <w:p w14:paraId="755FCB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点位</w:t>
            </w:r>
          </w:p>
        </w:tc>
        <w:tc>
          <w:tcPr>
            <w:tcW w:w="811" w:type="pct"/>
            <w:vAlign w:val="center"/>
          </w:tcPr>
          <w:p w14:paraId="6EFC82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污染物</w:t>
            </w:r>
          </w:p>
        </w:tc>
        <w:tc>
          <w:tcPr>
            <w:tcW w:w="822" w:type="pct"/>
            <w:vAlign w:val="center"/>
          </w:tcPr>
          <w:p w14:paraId="2E3DC5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评价标准</w:t>
            </w:r>
          </w:p>
        </w:tc>
        <w:tc>
          <w:tcPr>
            <w:tcW w:w="853" w:type="pct"/>
            <w:vAlign w:val="center"/>
          </w:tcPr>
          <w:p w14:paraId="547F7B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监测浓度范围</w:t>
            </w:r>
          </w:p>
        </w:tc>
        <w:tc>
          <w:tcPr>
            <w:tcW w:w="703" w:type="pct"/>
            <w:vAlign w:val="center"/>
          </w:tcPr>
          <w:p w14:paraId="20D01A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最大浓度占标率/%</w:t>
            </w:r>
          </w:p>
        </w:tc>
        <w:tc>
          <w:tcPr>
            <w:tcW w:w="616" w:type="pct"/>
            <w:vAlign w:val="center"/>
          </w:tcPr>
          <w:p w14:paraId="58F855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超标率/%</w:t>
            </w:r>
          </w:p>
        </w:tc>
        <w:tc>
          <w:tcPr>
            <w:tcW w:w="453" w:type="pct"/>
            <w:vAlign w:val="center"/>
          </w:tcPr>
          <w:p w14:paraId="4CB17A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达标情况</w:t>
            </w:r>
          </w:p>
        </w:tc>
      </w:tr>
      <w:tr w14:paraId="0E63B85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restart"/>
            <w:vAlign w:val="center"/>
          </w:tcPr>
          <w:p w14:paraId="1A74CD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厂址处G1</w:t>
            </w:r>
          </w:p>
        </w:tc>
        <w:tc>
          <w:tcPr>
            <w:tcW w:w="811" w:type="pct"/>
            <w:vAlign w:val="center"/>
          </w:tcPr>
          <w:p w14:paraId="1870A5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822" w:type="pct"/>
            <w:vAlign w:val="center"/>
          </w:tcPr>
          <w:p w14:paraId="724169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0.01</w:t>
            </w:r>
          </w:p>
        </w:tc>
        <w:tc>
          <w:tcPr>
            <w:tcW w:w="853" w:type="pct"/>
            <w:vAlign w:val="center"/>
          </w:tcPr>
          <w:p w14:paraId="44D298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ND～0.002</w:t>
            </w:r>
          </w:p>
        </w:tc>
        <w:tc>
          <w:tcPr>
            <w:tcW w:w="703" w:type="pct"/>
            <w:vAlign w:val="center"/>
          </w:tcPr>
          <w:p w14:paraId="707EB6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20.0</w:t>
            </w:r>
          </w:p>
        </w:tc>
        <w:tc>
          <w:tcPr>
            <w:tcW w:w="616" w:type="pct"/>
            <w:vAlign w:val="center"/>
          </w:tcPr>
          <w:p w14:paraId="4431D8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w:t>
            </w:r>
          </w:p>
        </w:tc>
        <w:tc>
          <w:tcPr>
            <w:tcW w:w="453" w:type="pct"/>
            <w:vAlign w:val="center"/>
          </w:tcPr>
          <w:p w14:paraId="77F637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56A58CE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continue"/>
            <w:vAlign w:val="center"/>
          </w:tcPr>
          <w:p w14:paraId="4C641B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11" w:type="pct"/>
            <w:vAlign w:val="center"/>
          </w:tcPr>
          <w:p w14:paraId="69D684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822" w:type="pct"/>
            <w:vAlign w:val="center"/>
          </w:tcPr>
          <w:p w14:paraId="1B97D7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0.2</w:t>
            </w:r>
          </w:p>
        </w:tc>
        <w:tc>
          <w:tcPr>
            <w:tcW w:w="853" w:type="pct"/>
            <w:vAlign w:val="center"/>
          </w:tcPr>
          <w:p w14:paraId="75FF18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0.05～0.10</w:t>
            </w:r>
          </w:p>
        </w:tc>
        <w:tc>
          <w:tcPr>
            <w:tcW w:w="703" w:type="pct"/>
            <w:vAlign w:val="center"/>
          </w:tcPr>
          <w:p w14:paraId="5824CD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50.0</w:t>
            </w:r>
          </w:p>
        </w:tc>
        <w:tc>
          <w:tcPr>
            <w:tcW w:w="616" w:type="pct"/>
            <w:vAlign w:val="center"/>
          </w:tcPr>
          <w:p w14:paraId="1EDD288F">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w:t>
            </w:r>
          </w:p>
        </w:tc>
        <w:tc>
          <w:tcPr>
            <w:tcW w:w="453" w:type="pct"/>
            <w:vAlign w:val="center"/>
          </w:tcPr>
          <w:p w14:paraId="79D0E3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3BF83C00">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continue"/>
            <w:vAlign w:val="center"/>
          </w:tcPr>
          <w:p w14:paraId="2F3C10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11" w:type="pct"/>
            <w:vAlign w:val="center"/>
          </w:tcPr>
          <w:p w14:paraId="792F58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822" w:type="pct"/>
            <w:vAlign w:val="center"/>
          </w:tcPr>
          <w:p w14:paraId="26FEBF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w:t>
            </w:r>
          </w:p>
        </w:tc>
        <w:tc>
          <w:tcPr>
            <w:tcW w:w="853" w:type="pct"/>
            <w:vAlign w:val="center"/>
          </w:tcPr>
          <w:p w14:paraId="2C51C2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0.42～0.53</w:t>
            </w:r>
          </w:p>
        </w:tc>
        <w:tc>
          <w:tcPr>
            <w:tcW w:w="703" w:type="pct"/>
            <w:vAlign w:val="center"/>
          </w:tcPr>
          <w:p w14:paraId="1228D5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26.5</w:t>
            </w:r>
          </w:p>
        </w:tc>
        <w:tc>
          <w:tcPr>
            <w:tcW w:w="616" w:type="pct"/>
            <w:vAlign w:val="center"/>
          </w:tcPr>
          <w:p w14:paraId="004C62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w:t>
            </w:r>
          </w:p>
        </w:tc>
        <w:tc>
          <w:tcPr>
            <w:tcW w:w="453" w:type="pct"/>
            <w:vAlign w:val="center"/>
          </w:tcPr>
          <w:p w14:paraId="6DF0E9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达标</w:t>
            </w:r>
          </w:p>
        </w:tc>
      </w:tr>
      <w:tr w14:paraId="4F87F78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39" w:type="pct"/>
            <w:vMerge w:val="continue"/>
            <w:vAlign w:val="center"/>
          </w:tcPr>
          <w:p w14:paraId="5C39E6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11" w:type="pct"/>
            <w:vAlign w:val="center"/>
          </w:tcPr>
          <w:p w14:paraId="2AF2B4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822" w:type="pct"/>
            <w:vAlign w:val="center"/>
          </w:tcPr>
          <w:p w14:paraId="3C8791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853" w:type="pct"/>
            <w:vAlign w:val="center"/>
          </w:tcPr>
          <w:p w14:paraId="6AA768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＜10～16</w:t>
            </w:r>
          </w:p>
        </w:tc>
        <w:tc>
          <w:tcPr>
            <w:tcW w:w="703" w:type="pct"/>
            <w:vAlign w:val="center"/>
          </w:tcPr>
          <w:p w14:paraId="111382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c>
          <w:tcPr>
            <w:tcW w:w="616" w:type="pct"/>
            <w:vAlign w:val="center"/>
          </w:tcPr>
          <w:p w14:paraId="2D27D1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p>
        </w:tc>
        <w:tc>
          <w:tcPr>
            <w:tcW w:w="453" w:type="pct"/>
            <w:vAlign w:val="center"/>
          </w:tcPr>
          <w:p w14:paraId="71BF28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3587B4F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监测结果表明：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硫化氢、氨气</w:t>
      </w:r>
      <w:r>
        <w:rPr>
          <w:rFonts w:hint="default" w:ascii="Times New Roman" w:hAnsi="Times New Roman" w:eastAsia="宋体" w:cs="Times New Roman"/>
          <w:color w:val="000000" w:themeColor="text1"/>
          <w:u w:val="none" w:color="auto"/>
          <w14:textFill>
            <w14:solidFill>
              <w14:schemeClr w14:val="tx1"/>
            </w14:solidFill>
          </w14:textFill>
        </w:rPr>
        <w:t>符合《环境影响评价技术导则 大气环境》（HJ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表D.1标准限值</w:t>
      </w:r>
      <w:r>
        <w:rPr>
          <w:rFonts w:hint="default" w:ascii="Times New Roman" w:hAnsi="Times New Roman" w:eastAsia="宋体" w:cs="Times New Roman"/>
          <w:color w:val="000000" w:themeColor="text1"/>
          <w:u w:val="none" w:color="auto"/>
          <w14:textFill>
            <w14:solidFill>
              <w14:schemeClr w14:val="tx1"/>
            </w14:solidFill>
          </w14:textFill>
        </w:rPr>
        <w:t>；非甲烷总烃参照符合《大气污染物综合排放标准详解》中关于非甲烷总烃环境质量标准。</w:t>
      </w:r>
    </w:p>
    <w:p w14:paraId="68E8A986">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29" w:name="_Toc12817"/>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2 地表水环境质量现状评价</w:t>
      </w:r>
      <w:bookmarkEnd w:id="229"/>
    </w:p>
    <w:p w14:paraId="40BC7589">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30" w:name="_Toc18863"/>
      <w:bookmarkStart w:id="231" w:name="_Toc4395"/>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2.1 </w:t>
      </w:r>
      <w:bookmarkEnd w:id="230"/>
      <w:r>
        <w:rPr>
          <w:rFonts w:hint="default" w:ascii="Times New Roman" w:hAnsi="Times New Roman" w:eastAsia="宋体" w:cs="Times New Roman"/>
          <w:color w:val="000000" w:themeColor="text1"/>
          <w:u w:val="none" w:color="auto"/>
          <w14:textFill>
            <w14:solidFill>
              <w14:schemeClr w14:val="tx1"/>
            </w14:solidFill>
          </w14:textFill>
        </w:rPr>
        <w:t>区域地表水断面环境质量现状</w:t>
      </w:r>
      <w:bookmarkEnd w:id="231"/>
    </w:p>
    <w:p w14:paraId="2D761BAA">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本项目周边地表水体为汨罗江。根据《岳阳市2024年度生态环境质量公报》2024年，汨罗江水质总体为优，10个控制断面水质均达到Ⅱ类。区域地表水环境质量现状良好。</w:t>
      </w:r>
    </w:p>
    <w:p w14:paraId="2710014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32" w:name="_Toc23257"/>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2.2 地表水环境引用监测数据</w:t>
      </w:r>
      <w:bookmarkEnd w:id="232"/>
    </w:p>
    <w:p w14:paraId="2C0CF2CE">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本次环评引用《平江高新技术产业园区总体规划环境影响报告书》开展环境质量现状监测数据。园区规划环评在伍市片区设置了三个监测断面，具体情况如下。</w:t>
      </w:r>
    </w:p>
    <w:p w14:paraId="07CB9AA9">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（1）监测断面与因子设置</w:t>
      </w:r>
    </w:p>
    <w:p w14:paraId="28F9065C">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园区规划环评地表水监测现状监测断面与因子具体详见下表。</w:t>
      </w:r>
    </w:p>
    <w:p w14:paraId="7475BD6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33" w:name="_Toc69148672"/>
      <w:bookmarkStart w:id="234" w:name="_Toc68125659"/>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2-1  地表水质量现状监测断面与监测因子</w:t>
      </w:r>
      <w:bookmarkEnd w:id="233"/>
      <w:bookmarkEnd w:id="234"/>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3" w:type="dxa"/>
          <w:bottom w:w="0" w:type="dxa"/>
          <w:right w:w="23" w:type="dxa"/>
        </w:tblCellMar>
      </w:tblPr>
      <w:tblGrid>
        <w:gridCol w:w="699"/>
        <w:gridCol w:w="741"/>
        <w:gridCol w:w="1157"/>
        <w:gridCol w:w="2843"/>
        <w:gridCol w:w="2916"/>
      </w:tblGrid>
      <w:tr w14:paraId="7F4FD6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18" w:type="pct"/>
            <w:vAlign w:val="center"/>
          </w:tcPr>
          <w:p w14:paraId="63F00B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片区</w:t>
            </w:r>
          </w:p>
        </w:tc>
        <w:tc>
          <w:tcPr>
            <w:tcW w:w="443" w:type="pct"/>
            <w:vAlign w:val="center"/>
          </w:tcPr>
          <w:p w14:paraId="0AEDB4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编号</w:t>
            </w:r>
          </w:p>
        </w:tc>
        <w:tc>
          <w:tcPr>
            <w:tcW w:w="692" w:type="pct"/>
            <w:vAlign w:val="center"/>
          </w:tcPr>
          <w:p w14:paraId="5C3384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监测水体</w:t>
            </w:r>
          </w:p>
        </w:tc>
        <w:tc>
          <w:tcPr>
            <w:tcW w:w="1700" w:type="pct"/>
            <w:vAlign w:val="center"/>
          </w:tcPr>
          <w:p w14:paraId="3F5D94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监测断面</w:t>
            </w:r>
          </w:p>
        </w:tc>
        <w:tc>
          <w:tcPr>
            <w:tcW w:w="1744" w:type="pct"/>
            <w:vAlign w:val="center"/>
          </w:tcPr>
          <w:p w14:paraId="0416F2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监测因子</w:t>
            </w:r>
          </w:p>
        </w:tc>
      </w:tr>
      <w:tr w14:paraId="2E9133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18" w:type="pct"/>
            <w:vMerge w:val="restart"/>
            <w:vAlign w:val="center"/>
          </w:tcPr>
          <w:p w14:paraId="34DA47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w:t>
            </w:r>
          </w:p>
          <w:p w14:paraId="34E9C7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片区</w:t>
            </w:r>
          </w:p>
        </w:tc>
        <w:tc>
          <w:tcPr>
            <w:tcW w:w="443" w:type="pct"/>
            <w:vAlign w:val="center"/>
          </w:tcPr>
          <w:p w14:paraId="078F4D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W1</w:t>
            </w:r>
          </w:p>
        </w:tc>
        <w:tc>
          <w:tcPr>
            <w:tcW w:w="692" w:type="pct"/>
            <w:vAlign w:val="center"/>
          </w:tcPr>
          <w:p w14:paraId="1F967B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凌公桥河</w:t>
            </w:r>
          </w:p>
        </w:tc>
        <w:tc>
          <w:tcPr>
            <w:tcW w:w="1700" w:type="pct"/>
            <w:vAlign w:val="center"/>
          </w:tcPr>
          <w:p w14:paraId="6B0C3A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园</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排污口上游500m</w:t>
            </w:r>
          </w:p>
        </w:tc>
        <w:tc>
          <w:tcPr>
            <w:tcW w:w="1744" w:type="pct"/>
            <w:vMerge w:val="restart"/>
            <w:vAlign w:val="center"/>
          </w:tcPr>
          <w:p w14:paraId="4F2A8D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pH值、化学需氧量、五日生化需氧量、氨氦、总磷、挥发酚、石油类、阴离子表面活性剂、硫化物、粪大肠菌群、铜、锌、氯化物、氟化物、砷、汞、镉、六价铬、铅</w:t>
            </w:r>
          </w:p>
        </w:tc>
      </w:tr>
      <w:tr w14:paraId="1822D9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18" w:type="pct"/>
            <w:vMerge w:val="continue"/>
            <w:vAlign w:val="center"/>
          </w:tcPr>
          <w:p w14:paraId="137266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43" w:type="pct"/>
            <w:vAlign w:val="center"/>
          </w:tcPr>
          <w:p w14:paraId="26C5FB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W2</w:t>
            </w:r>
          </w:p>
        </w:tc>
        <w:tc>
          <w:tcPr>
            <w:tcW w:w="692" w:type="pct"/>
            <w:vAlign w:val="center"/>
          </w:tcPr>
          <w:p w14:paraId="144E37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汨罗江</w:t>
            </w:r>
          </w:p>
        </w:tc>
        <w:tc>
          <w:tcPr>
            <w:tcW w:w="1700" w:type="pct"/>
            <w:vAlign w:val="center"/>
          </w:tcPr>
          <w:p w14:paraId="17BC35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凌公桥河与汨罗江交汇口上游500m</w:t>
            </w:r>
          </w:p>
        </w:tc>
        <w:tc>
          <w:tcPr>
            <w:tcW w:w="1744" w:type="pct"/>
            <w:vMerge w:val="continue"/>
            <w:vAlign w:val="center"/>
          </w:tcPr>
          <w:p w14:paraId="2A624C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D7300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18" w:type="pct"/>
            <w:vMerge w:val="continue"/>
            <w:vAlign w:val="center"/>
          </w:tcPr>
          <w:p w14:paraId="0BF7B2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43" w:type="pct"/>
            <w:vAlign w:val="center"/>
          </w:tcPr>
          <w:p w14:paraId="388A63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W3</w:t>
            </w:r>
          </w:p>
        </w:tc>
        <w:tc>
          <w:tcPr>
            <w:tcW w:w="692" w:type="pct"/>
            <w:vAlign w:val="center"/>
          </w:tcPr>
          <w:p w14:paraId="3007E0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汨罗江</w:t>
            </w:r>
          </w:p>
        </w:tc>
        <w:tc>
          <w:tcPr>
            <w:tcW w:w="1700" w:type="pct"/>
            <w:vAlign w:val="center"/>
          </w:tcPr>
          <w:p w14:paraId="393CF1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凌公桥河与汨罗江交汇口下游2000m</w:t>
            </w:r>
          </w:p>
        </w:tc>
        <w:tc>
          <w:tcPr>
            <w:tcW w:w="1744" w:type="pct"/>
            <w:vMerge w:val="continue"/>
            <w:vAlign w:val="center"/>
          </w:tcPr>
          <w:p w14:paraId="71FC77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bl>
    <w:p w14:paraId="3FE84FA0">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（2）监测时间及频率</w:t>
      </w:r>
    </w:p>
    <w:p w14:paraId="4E438E75">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2024年3月18日至20日，监测3天，每天采样一次。</w:t>
      </w:r>
    </w:p>
    <w:p w14:paraId="10BCF679">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（3）评价标准</w:t>
      </w:r>
    </w:p>
    <w:p w14:paraId="3C483CE0">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执行《地表水环境质量标准》（GB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3838-2002）Ⅲ类水质标准。</w:t>
      </w:r>
    </w:p>
    <w:p w14:paraId="3A542AB4">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（4）现状监测结果统计与评价</w:t>
      </w:r>
    </w:p>
    <w:p w14:paraId="49F70040">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地表水现状监测结果统计与评价见下表。</w:t>
      </w:r>
    </w:p>
    <w:p w14:paraId="23D16E5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35" w:name="_Toc69148673"/>
      <w:bookmarkStart w:id="236" w:name="_Toc68125660"/>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2-2  地表水环境现状监测结果统计与评价单位：mg/L（水温、pH除外）</w:t>
      </w:r>
      <w:bookmarkEnd w:id="235"/>
      <w:bookmarkEnd w:id="236"/>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3" w:type="dxa"/>
          <w:bottom w:w="0" w:type="dxa"/>
          <w:right w:w="23" w:type="dxa"/>
        </w:tblCellMar>
      </w:tblPr>
      <w:tblGrid>
        <w:gridCol w:w="789"/>
        <w:gridCol w:w="1739"/>
        <w:gridCol w:w="1413"/>
        <w:gridCol w:w="953"/>
        <w:gridCol w:w="982"/>
        <w:gridCol w:w="1236"/>
        <w:gridCol w:w="1243"/>
      </w:tblGrid>
      <w:tr w14:paraId="368B67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tblHeader/>
          <w:jc w:val="center"/>
        </w:trPr>
        <w:tc>
          <w:tcPr>
            <w:tcW w:w="472" w:type="pct"/>
            <w:vAlign w:val="center"/>
          </w:tcPr>
          <w:p w14:paraId="3481F5D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断面</w:t>
            </w:r>
          </w:p>
        </w:tc>
        <w:tc>
          <w:tcPr>
            <w:tcW w:w="1040" w:type="pct"/>
            <w:vAlign w:val="center"/>
          </w:tcPr>
          <w:p w14:paraId="78C004F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项目</w:t>
            </w:r>
          </w:p>
        </w:tc>
        <w:tc>
          <w:tcPr>
            <w:tcW w:w="845" w:type="pct"/>
            <w:noWrap/>
            <w:vAlign w:val="center"/>
          </w:tcPr>
          <w:p w14:paraId="798BD18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浓度范围</w:t>
            </w:r>
          </w:p>
        </w:tc>
        <w:tc>
          <w:tcPr>
            <w:tcW w:w="570" w:type="pct"/>
            <w:noWrap/>
            <w:vAlign w:val="center"/>
          </w:tcPr>
          <w:p w14:paraId="03F2C2E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平均值</w:t>
            </w:r>
          </w:p>
        </w:tc>
        <w:tc>
          <w:tcPr>
            <w:tcW w:w="587" w:type="pct"/>
            <w:noWrap/>
            <w:vAlign w:val="center"/>
          </w:tcPr>
          <w:p w14:paraId="132BBFB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标准指数</w:t>
            </w:r>
          </w:p>
        </w:tc>
        <w:tc>
          <w:tcPr>
            <w:tcW w:w="739" w:type="pct"/>
            <w:vAlign w:val="center"/>
          </w:tcPr>
          <w:p w14:paraId="3ED3493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标准值</w:t>
            </w:r>
          </w:p>
        </w:tc>
        <w:tc>
          <w:tcPr>
            <w:tcW w:w="743" w:type="pct"/>
            <w:vAlign w:val="center"/>
          </w:tcPr>
          <w:p w14:paraId="24B1D3D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达标情况</w:t>
            </w:r>
          </w:p>
        </w:tc>
      </w:tr>
      <w:tr w14:paraId="155E7C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restart"/>
            <w:vAlign w:val="center"/>
          </w:tcPr>
          <w:p w14:paraId="7307C19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W1园</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sz w:val="21"/>
                <w:szCs w:val="21"/>
                <w:u w:val="none" w:color="auto"/>
                <w14:textFill>
                  <w14:solidFill>
                    <w14:schemeClr w14:val="tx1"/>
                  </w14:solidFill>
                </w14:textFill>
              </w:rPr>
              <w:t>排污口上游500</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p>
        </w:tc>
        <w:tc>
          <w:tcPr>
            <w:tcW w:w="1040" w:type="pct"/>
            <w:vAlign w:val="center"/>
          </w:tcPr>
          <w:p w14:paraId="0B9AA81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水温（℃）</w:t>
            </w:r>
          </w:p>
        </w:tc>
        <w:tc>
          <w:tcPr>
            <w:tcW w:w="845" w:type="pct"/>
            <w:noWrap/>
            <w:vAlign w:val="center"/>
          </w:tcPr>
          <w:p w14:paraId="472FDD2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9.8~10.4</w:t>
            </w:r>
          </w:p>
        </w:tc>
        <w:tc>
          <w:tcPr>
            <w:tcW w:w="570" w:type="pct"/>
            <w:noWrap/>
            <w:vAlign w:val="center"/>
          </w:tcPr>
          <w:p w14:paraId="1244676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6540B24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6C9A080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43" w:type="pct"/>
            <w:vAlign w:val="center"/>
          </w:tcPr>
          <w:p w14:paraId="637CF29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r>
      <w:tr w14:paraId="26A646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0A03DB6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510594C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pH值</w:t>
            </w:r>
          </w:p>
        </w:tc>
        <w:tc>
          <w:tcPr>
            <w:tcW w:w="845" w:type="pct"/>
            <w:noWrap/>
            <w:vAlign w:val="center"/>
          </w:tcPr>
          <w:p w14:paraId="5E29684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7.2~7.6</w:t>
            </w:r>
          </w:p>
        </w:tc>
        <w:tc>
          <w:tcPr>
            <w:tcW w:w="570" w:type="pct"/>
            <w:noWrap/>
            <w:vAlign w:val="center"/>
          </w:tcPr>
          <w:p w14:paraId="7591C79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74A3430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398E32C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6~9</w:t>
            </w:r>
          </w:p>
        </w:tc>
        <w:tc>
          <w:tcPr>
            <w:tcW w:w="743" w:type="pct"/>
            <w:vAlign w:val="center"/>
          </w:tcPr>
          <w:p w14:paraId="78919F1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47849D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5568353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19CF417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化学需氧量</w:t>
            </w:r>
          </w:p>
        </w:tc>
        <w:tc>
          <w:tcPr>
            <w:tcW w:w="845" w:type="pct"/>
            <w:noWrap/>
            <w:vAlign w:val="center"/>
          </w:tcPr>
          <w:p w14:paraId="3F0F906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8~11</w:t>
            </w:r>
          </w:p>
        </w:tc>
        <w:tc>
          <w:tcPr>
            <w:tcW w:w="570" w:type="pct"/>
            <w:noWrap/>
            <w:vAlign w:val="center"/>
          </w:tcPr>
          <w:p w14:paraId="5323AA4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9.3</w:t>
            </w:r>
          </w:p>
        </w:tc>
        <w:tc>
          <w:tcPr>
            <w:tcW w:w="587" w:type="pct"/>
            <w:noWrap/>
            <w:vAlign w:val="center"/>
          </w:tcPr>
          <w:p w14:paraId="1A47CD4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0.467</w:t>
            </w:r>
          </w:p>
        </w:tc>
        <w:tc>
          <w:tcPr>
            <w:tcW w:w="739" w:type="pct"/>
            <w:vAlign w:val="center"/>
          </w:tcPr>
          <w:p w14:paraId="1BABE7E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20</w:t>
            </w:r>
          </w:p>
        </w:tc>
        <w:tc>
          <w:tcPr>
            <w:tcW w:w="743" w:type="pct"/>
            <w:vAlign w:val="center"/>
          </w:tcPr>
          <w:p w14:paraId="413026C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AD766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966A2D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118302C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总磷</w:t>
            </w:r>
          </w:p>
        </w:tc>
        <w:tc>
          <w:tcPr>
            <w:tcW w:w="845" w:type="pct"/>
            <w:noWrap/>
            <w:vAlign w:val="center"/>
          </w:tcPr>
          <w:p w14:paraId="6A0D735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0.03~0.04</w:t>
            </w:r>
          </w:p>
        </w:tc>
        <w:tc>
          <w:tcPr>
            <w:tcW w:w="570" w:type="pct"/>
            <w:noWrap/>
            <w:vAlign w:val="center"/>
          </w:tcPr>
          <w:p w14:paraId="210F9B0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0.037</w:t>
            </w:r>
          </w:p>
        </w:tc>
        <w:tc>
          <w:tcPr>
            <w:tcW w:w="587" w:type="pct"/>
            <w:noWrap/>
            <w:vAlign w:val="center"/>
          </w:tcPr>
          <w:p w14:paraId="6EBBA9D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0.183</w:t>
            </w:r>
          </w:p>
        </w:tc>
        <w:tc>
          <w:tcPr>
            <w:tcW w:w="739" w:type="pct"/>
            <w:vAlign w:val="center"/>
          </w:tcPr>
          <w:p w14:paraId="22C79AE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vAlign w:val="center"/>
          </w:tcPr>
          <w:p w14:paraId="17D636B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5D8AB1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2340AD2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033E7D5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五日生化需氧量</w:t>
            </w:r>
          </w:p>
        </w:tc>
        <w:tc>
          <w:tcPr>
            <w:tcW w:w="845" w:type="pct"/>
            <w:noWrap/>
            <w:vAlign w:val="center"/>
          </w:tcPr>
          <w:p w14:paraId="0F5B4ED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1.7~2.8</w:t>
            </w:r>
          </w:p>
        </w:tc>
        <w:tc>
          <w:tcPr>
            <w:tcW w:w="570" w:type="pct"/>
            <w:noWrap/>
            <w:vAlign w:val="center"/>
          </w:tcPr>
          <w:p w14:paraId="3CEC7EF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2.2</w:t>
            </w:r>
          </w:p>
        </w:tc>
        <w:tc>
          <w:tcPr>
            <w:tcW w:w="587" w:type="pct"/>
            <w:noWrap/>
            <w:vAlign w:val="center"/>
          </w:tcPr>
          <w:p w14:paraId="57CF0FE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0.55</w:t>
            </w:r>
          </w:p>
        </w:tc>
        <w:tc>
          <w:tcPr>
            <w:tcW w:w="739" w:type="pct"/>
            <w:vAlign w:val="center"/>
          </w:tcPr>
          <w:p w14:paraId="6F6B7E0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4</w:t>
            </w:r>
          </w:p>
        </w:tc>
        <w:tc>
          <w:tcPr>
            <w:tcW w:w="743" w:type="pct"/>
            <w:vAlign w:val="center"/>
          </w:tcPr>
          <w:p w14:paraId="7250127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3FF9F7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E8E6AA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789F5A7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845" w:type="pct"/>
            <w:vAlign w:val="center"/>
          </w:tcPr>
          <w:p w14:paraId="145D9AF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0.1~0.12</w:t>
            </w:r>
          </w:p>
        </w:tc>
        <w:tc>
          <w:tcPr>
            <w:tcW w:w="570" w:type="pct"/>
            <w:vAlign w:val="center"/>
          </w:tcPr>
          <w:p w14:paraId="660E973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0.11</w:t>
            </w:r>
          </w:p>
        </w:tc>
        <w:tc>
          <w:tcPr>
            <w:tcW w:w="587" w:type="pct"/>
            <w:noWrap/>
            <w:vAlign w:val="center"/>
          </w:tcPr>
          <w:p w14:paraId="58CC46F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0.11</w:t>
            </w:r>
          </w:p>
        </w:tc>
        <w:tc>
          <w:tcPr>
            <w:tcW w:w="739" w:type="pct"/>
            <w:vAlign w:val="center"/>
          </w:tcPr>
          <w:p w14:paraId="23CBC0F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vAlign w:val="center"/>
          </w:tcPr>
          <w:p w14:paraId="446BFA4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67F04B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458CD8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4DD1795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挥发酚</w:t>
            </w:r>
          </w:p>
        </w:tc>
        <w:tc>
          <w:tcPr>
            <w:tcW w:w="845" w:type="pct"/>
            <w:vAlign w:val="center"/>
          </w:tcPr>
          <w:p w14:paraId="78294C3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635D774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13B5B98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0EFD14C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0.005</w:t>
            </w:r>
          </w:p>
        </w:tc>
        <w:tc>
          <w:tcPr>
            <w:tcW w:w="743" w:type="pct"/>
            <w:vAlign w:val="center"/>
          </w:tcPr>
          <w:p w14:paraId="5B6D3D9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5E01B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9C3516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1515FDD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石油类</w:t>
            </w:r>
          </w:p>
        </w:tc>
        <w:tc>
          <w:tcPr>
            <w:tcW w:w="845" w:type="pct"/>
            <w:noWrap/>
            <w:vAlign w:val="center"/>
          </w:tcPr>
          <w:p w14:paraId="07B8B1E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538E6BC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19C957E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3505F75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vAlign w:val="center"/>
          </w:tcPr>
          <w:p w14:paraId="3D75F7A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357A7B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45A231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00FFF77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阴离子表面活性剂</w:t>
            </w:r>
          </w:p>
        </w:tc>
        <w:tc>
          <w:tcPr>
            <w:tcW w:w="845" w:type="pct"/>
            <w:vAlign w:val="center"/>
          </w:tcPr>
          <w:p w14:paraId="76C5D4E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1E860DC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17CC02A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42B884B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vAlign w:val="center"/>
          </w:tcPr>
          <w:p w14:paraId="0C5523D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3FF1F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4FAEF1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19B2EAD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硫化物</w:t>
            </w:r>
          </w:p>
        </w:tc>
        <w:tc>
          <w:tcPr>
            <w:tcW w:w="845" w:type="pct"/>
            <w:vAlign w:val="center"/>
          </w:tcPr>
          <w:p w14:paraId="7FE74D3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678AD38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53E2E9F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4668B27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vAlign w:val="center"/>
          </w:tcPr>
          <w:p w14:paraId="6E5AC4B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0F13D6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70B6AFF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2B8AA40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粪大肠菌群</w:t>
            </w:r>
          </w:p>
        </w:tc>
        <w:tc>
          <w:tcPr>
            <w:tcW w:w="845" w:type="pct"/>
            <w:vAlign w:val="center"/>
          </w:tcPr>
          <w:p w14:paraId="00C2703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150~170</w:t>
            </w:r>
          </w:p>
        </w:tc>
        <w:tc>
          <w:tcPr>
            <w:tcW w:w="570" w:type="pct"/>
            <w:vAlign w:val="center"/>
          </w:tcPr>
          <w:p w14:paraId="3E589EA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160</w:t>
            </w:r>
          </w:p>
        </w:tc>
        <w:tc>
          <w:tcPr>
            <w:tcW w:w="587" w:type="pct"/>
            <w:noWrap/>
            <w:vAlign w:val="center"/>
          </w:tcPr>
          <w:p w14:paraId="68CAC22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0.016</w:t>
            </w:r>
          </w:p>
        </w:tc>
        <w:tc>
          <w:tcPr>
            <w:tcW w:w="739" w:type="pct"/>
            <w:vAlign w:val="center"/>
          </w:tcPr>
          <w:p w14:paraId="1D74344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10000</w:t>
            </w:r>
          </w:p>
        </w:tc>
        <w:tc>
          <w:tcPr>
            <w:tcW w:w="743" w:type="pct"/>
            <w:vAlign w:val="center"/>
          </w:tcPr>
          <w:p w14:paraId="4688885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33C291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77F5663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1C5EDE0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铜</w:t>
            </w:r>
          </w:p>
        </w:tc>
        <w:tc>
          <w:tcPr>
            <w:tcW w:w="845" w:type="pct"/>
            <w:vAlign w:val="center"/>
          </w:tcPr>
          <w:p w14:paraId="7E78F6E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01A5E56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545D505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1FE6B2E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vAlign w:val="center"/>
          </w:tcPr>
          <w:p w14:paraId="4B5C946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2B387F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3EB02B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39D4671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锌</w:t>
            </w:r>
          </w:p>
        </w:tc>
        <w:tc>
          <w:tcPr>
            <w:tcW w:w="845" w:type="pct"/>
            <w:vAlign w:val="center"/>
          </w:tcPr>
          <w:p w14:paraId="2484EA0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1A12D94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6025236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24A70C8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vAlign w:val="center"/>
          </w:tcPr>
          <w:p w14:paraId="1DBFC82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B259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77044A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4905BA9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铅</w:t>
            </w:r>
          </w:p>
        </w:tc>
        <w:tc>
          <w:tcPr>
            <w:tcW w:w="845" w:type="pct"/>
            <w:noWrap/>
            <w:vAlign w:val="center"/>
          </w:tcPr>
          <w:p w14:paraId="7BD508F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36C646E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6F9AA49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44854F5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vAlign w:val="center"/>
          </w:tcPr>
          <w:p w14:paraId="14C88FD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4EB7A2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52DF050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50D1C10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氯化物</w:t>
            </w:r>
          </w:p>
        </w:tc>
        <w:tc>
          <w:tcPr>
            <w:tcW w:w="845" w:type="pct"/>
            <w:noWrap/>
            <w:vAlign w:val="center"/>
          </w:tcPr>
          <w:p w14:paraId="19E611D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2A46393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630DFF5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0BF2321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250</w:t>
            </w:r>
          </w:p>
        </w:tc>
        <w:tc>
          <w:tcPr>
            <w:tcW w:w="743" w:type="pct"/>
            <w:vAlign w:val="center"/>
          </w:tcPr>
          <w:p w14:paraId="2E1D89C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57C896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2B80AD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5984F25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氟化物</w:t>
            </w:r>
          </w:p>
        </w:tc>
        <w:tc>
          <w:tcPr>
            <w:tcW w:w="845" w:type="pct"/>
            <w:noWrap/>
            <w:vAlign w:val="center"/>
          </w:tcPr>
          <w:p w14:paraId="5C5290D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668C0EC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2620C83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0697F91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vAlign w:val="center"/>
          </w:tcPr>
          <w:p w14:paraId="4FBFF7D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15E84B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E5C4B3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55BDDD3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砷</w:t>
            </w:r>
          </w:p>
        </w:tc>
        <w:tc>
          <w:tcPr>
            <w:tcW w:w="845" w:type="pct"/>
            <w:noWrap/>
            <w:vAlign w:val="center"/>
          </w:tcPr>
          <w:p w14:paraId="6FDC39D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ND~0.0006</w:t>
            </w:r>
          </w:p>
        </w:tc>
        <w:tc>
          <w:tcPr>
            <w:tcW w:w="570" w:type="pct"/>
            <w:noWrap/>
            <w:vAlign w:val="center"/>
          </w:tcPr>
          <w:p w14:paraId="6EA46D3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34FE84C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374E13E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vAlign w:val="center"/>
          </w:tcPr>
          <w:p w14:paraId="6C600E0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3F66DC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5A84CB6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337B09C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汞</w:t>
            </w:r>
          </w:p>
        </w:tc>
        <w:tc>
          <w:tcPr>
            <w:tcW w:w="845" w:type="pct"/>
            <w:noWrap/>
            <w:vAlign w:val="center"/>
          </w:tcPr>
          <w:p w14:paraId="1233D4D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69790E0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641B044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0F8C83D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0.0001</w:t>
            </w:r>
          </w:p>
        </w:tc>
        <w:tc>
          <w:tcPr>
            <w:tcW w:w="743" w:type="pct"/>
            <w:vAlign w:val="center"/>
          </w:tcPr>
          <w:p w14:paraId="05F6050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1B2A63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50BD09B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7F2A104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六价铬</w:t>
            </w:r>
          </w:p>
        </w:tc>
        <w:tc>
          <w:tcPr>
            <w:tcW w:w="845" w:type="pct"/>
            <w:noWrap/>
            <w:vAlign w:val="center"/>
          </w:tcPr>
          <w:p w14:paraId="0BBFAED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53A249C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13F5974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39" w:type="pct"/>
            <w:vAlign w:val="center"/>
          </w:tcPr>
          <w:p w14:paraId="79E2038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vAlign w:val="center"/>
          </w:tcPr>
          <w:p w14:paraId="4CA1737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0AB02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restart"/>
            <w:vAlign w:val="center"/>
          </w:tcPr>
          <w:p w14:paraId="41E0C57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W2</w:t>
            </w:r>
          </w:p>
          <w:p w14:paraId="670482E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凌公桥河与汨罗江交汇口上游500</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p>
        </w:tc>
        <w:tc>
          <w:tcPr>
            <w:tcW w:w="1040" w:type="pct"/>
            <w:vAlign w:val="center"/>
          </w:tcPr>
          <w:p w14:paraId="331ED0D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水温</w:t>
            </w:r>
          </w:p>
        </w:tc>
        <w:tc>
          <w:tcPr>
            <w:tcW w:w="845" w:type="pct"/>
            <w:noWrap/>
            <w:vAlign w:val="center"/>
          </w:tcPr>
          <w:p w14:paraId="403F1B7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9.7~10.2</w:t>
            </w:r>
          </w:p>
        </w:tc>
        <w:tc>
          <w:tcPr>
            <w:tcW w:w="570" w:type="pct"/>
            <w:noWrap/>
            <w:vAlign w:val="center"/>
          </w:tcPr>
          <w:p w14:paraId="500E00D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4442488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2CF373C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43" w:type="pct"/>
            <w:vAlign w:val="center"/>
          </w:tcPr>
          <w:p w14:paraId="5916997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r>
      <w:tr w14:paraId="37B5BA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25B8F36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435EC58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pH值</w:t>
            </w:r>
          </w:p>
        </w:tc>
        <w:tc>
          <w:tcPr>
            <w:tcW w:w="845" w:type="pct"/>
            <w:noWrap/>
            <w:vAlign w:val="center"/>
          </w:tcPr>
          <w:p w14:paraId="25CCC9B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7.2~7.5</w:t>
            </w:r>
          </w:p>
        </w:tc>
        <w:tc>
          <w:tcPr>
            <w:tcW w:w="570" w:type="pct"/>
            <w:noWrap/>
            <w:vAlign w:val="center"/>
          </w:tcPr>
          <w:p w14:paraId="3C62A2F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2F125D0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10B7CC9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6~9</w:t>
            </w:r>
          </w:p>
        </w:tc>
        <w:tc>
          <w:tcPr>
            <w:tcW w:w="743" w:type="pct"/>
            <w:vAlign w:val="center"/>
          </w:tcPr>
          <w:p w14:paraId="1C453E4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0AE29A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AC2850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5375D21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化学需氧量</w:t>
            </w:r>
          </w:p>
        </w:tc>
        <w:tc>
          <w:tcPr>
            <w:tcW w:w="845" w:type="pct"/>
            <w:noWrap/>
            <w:vAlign w:val="center"/>
          </w:tcPr>
          <w:p w14:paraId="6A092B1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10~11</w:t>
            </w:r>
          </w:p>
        </w:tc>
        <w:tc>
          <w:tcPr>
            <w:tcW w:w="570" w:type="pct"/>
            <w:noWrap/>
            <w:vAlign w:val="center"/>
          </w:tcPr>
          <w:p w14:paraId="7CC826A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10.33</w:t>
            </w:r>
          </w:p>
        </w:tc>
        <w:tc>
          <w:tcPr>
            <w:tcW w:w="587" w:type="pct"/>
            <w:noWrap/>
            <w:vAlign w:val="center"/>
          </w:tcPr>
          <w:p w14:paraId="257F4E6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0.517</w:t>
            </w:r>
          </w:p>
        </w:tc>
        <w:tc>
          <w:tcPr>
            <w:tcW w:w="739" w:type="pct"/>
            <w:vAlign w:val="center"/>
          </w:tcPr>
          <w:p w14:paraId="1D03D93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20</w:t>
            </w:r>
          </w:p>
        </w:tc>
        <w:tc>
          <w:tcPr>
            <w:tcW w:w="743" w:type="pct"/>
            <w:vAlign w:val="center"/>
          </w:tcPr>
          <w:p w14:paraId="01EA0B2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25A459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25F0B66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1E92AA6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总磷</w:t>
            </w:r>
          </w:p>
        </w:tc>
        <w:tc>
          <w:tcPr>
            <w:tcW w:w="845" w:type="pct"/>
            <w:noWrap/>
            <w:vAlign w:val="center"/>
          </w:tcPr>
          <w:p w14:paraId="7B9FACC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0.01~0.02</w:t>
            </w:r>
          </w:p>
        </w:tc>
        <w:tc>
          <w:tcPr>
            <w:tcW w:w="570" w:type="pct"/>
            <w:noWrap/>
            <w:vAlign w:val="center"/>
          </w:tcPr>
          <w:p w14:paraId="37B3F7B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0.017</w:t>
            </w:r>
          </w:p>
        </w:tc>
        <w:tc>
          <w:tcPr>
            <w:tcW w:w="587" w:type="pct"/>
            <w:noWrap/>
            <w:vAlign w:val="center"/>
          </w:tcPr>
          <w:p w14:paraId="0E3385A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0.083</w:t>
            </w:r>
          </w:p>
        </w:tc>
        <w:tc>
          <w:tcPr>
            <w:tcW w:w="739" w:type="pct"/>
            <w:vAlign w:val="center"/>
          </w:tcPr>
          <w:p w14:paraId="73C69B2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vAlign w:val="center"/>
          </w:tcPr>
          <w:p w14:paraId="2625646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557A7E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7A4E167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20BFB27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五日生化需氧量</w:t>
            </w:r>
          </w:p>
        </w:tc>
        <w:tc>
          <w:tcPr>
            <w:tcW w:w="845" w:type="pct"/>
            <w:noWrap/>
            <w:vAlign w:val="center"/>
          </w:tcPr>
          <w:p w14:paraId="752D2DF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2.4~2.7</w:t>
            </w:r>
          </w:p>
        </w:tc>
        <w:tc>
          <w:tcPr>
            <w:tcW w:w="570" w:type="pct"/>
            <w:noWrap/>
            <w:vAlign w:val="center"/>
          </w:tcPr>
          <w:p w14:paraId="6148DD7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2.53</w:t>
            </w:r>
          </w:p>
        </w:tc>
        <w:tc>
          <w:tcPr>
            <w:tcW w:w="587" w:type="pct"/>
            <w:noWrap/>
            <w:vAlign w:val="center"/>
          </w:tcPr>
          <w:p w14:paraId="43658AA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0.633</w:t>
            </w:r>
          </w:p>
        </w:tc>
        <w:tc>
          <w:tcPr>
            <w:tcW w:w="739" w:type="pct"/>
            <w:vAlign w:val="center"/>
          </w:tcPr>
          <w:p w14:paraId="4CAFAF2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4</w:t>
            </w:r>
          </w:p>
        </w:tc>
        <w:tc>
          <w:tcPr>
            <w:tcW w:w="743" w:type="pct"/>
            <w:vAlign w:val="center"/>
          </w:tcPr>
          <w:p w14:paraId="47E3875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9AA7A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25BFA12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43960AA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845" w:type="pct"/>
            <w:vAlign w:val="center"/>
          </w:tcPr>
          <w:p w14:paraId="6E24101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0.03</w:t>
            </w:r>
          </w:p>
        </w:tc>
        <w:tc>
          <w:tcPr>
            <w:tcW w:w="570" w:type="pct"/>
            <w:vAlign w:val="center"/>
          </w:tcPr>
          <w:p w14:paraId="788B527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0.03</w:t>
            </w:r>
          </w:p>
        </w:tc>
        <w:tc>
          <w:tcPr>
            <w:tcW w:w="587" w:type="pct"/>
            <w:noWrap/>
            <w:vAlign w:val="center"/>
          </w:tcPr>
          <w:p w14:paraId="13E7C44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0.03</w:t>
            </w:r>
          </w:p>
        </w:tc>
        <w:tc>
          <w:tcPr>
            <w:tcW w:w="739" w:type="pct"/>
            <w:vAlign w:val="center"/>
          </w:tcPr>
          <w:p w14:paraId="058D101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vAlign w:val="center"/>
          </w:tcPr>
          <w:p w14:paraId="0990201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34E68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5F5D5B1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1B7B801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挥发酚</w:t>
            </w:r>
          </w:p>
        </w:tc>
        <w:tc>
          <w:tcPr>
            <w:tcW w:w="845" w:type="pct"/>
            <w:vAlign w:val="center"/>
          </w:tcPr>
          <w:p w14:paraId="6BEE58F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31D898D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5D6C02C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4EB351C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0.005</w:t>
            </w:r>
          </w:p>
        </w:tc>
        <w:tc>
          <w:tcPr>
            <w:tcW w:w="743" w:type="pct"/>
            <w:vAlign w:val="center"/>
          </w:tcPr>
          <w:p w14:paraId="5506511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75CCE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45DDD2B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69E9D8E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石油类</w:t>
            </w:r>
          </w:p>
        </w:tc>
        <w:tc>
          <w:tcPr>
            <w:tcW w:w="845" w:type="pct"/>
            <w:noWrap/>
            <w:vAlign w:val="center"/>
          </w:tcPr>
          <w:p w14:paraId="4B33CE2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1D78375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27EEB1A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6562094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vAlign w:val="center"/>
          </w:tcPr>
          <w:p w14:paraId="7EC4219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25BCFA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06F7DCA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6DD78A2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阴离子表面活性剂</w:t>
            </w:r>
          </w:p>
        </w:tc>
        <w:tc>
          <w:tcPr>
            <w:tcW w:w="845" w:type="pct"/>
            <w:vAlign w:val="center"/>
          </w:tcPr>
          <w:p w14:paraId="00DC554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1FBFA35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15E901D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22DDA60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vAlign w:val="center"/>
          </w:tcPr>
          <w:p w14:paraId="73973F2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EFD14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2FAB3E0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5776871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硫化物</w:t>
            </w:r>
          </w:p>
        </w:tc>
        <w:tc>
          <w:tcPr>
            <w:tcW w:w="845" w:type="pct"/>
            <w:vAlign w:val="center"/>
          </w:tcPr>
          <w:p w14:paraId="7928591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1BEE116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171EA50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4AEE3C7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vAlign w:val="center"/>
          </w:tcPr>
          <w:p w14:paraId="477D4A6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00A00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03145ED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3F86FDB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粪大肠菌群</w:t>
            </w:r>
          </w:p>
        </w:tc>
        <w:tc>
          <w:tcPr>
            <w:tcW w:w="845" w:type="pct"/>
            <w:vAlign w:val="center"/>
          </w:tcPr>
          <w:p w14:paraId="38C0951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210~240</w:t>
            </w:r>
          </w:p>
        </w:tc>
        <w:tc>
          <w:tcPr>
            <w:tcW w:w="570" w:type="pct"/>
            <w:vAlign w:val="center"/>
          </w:tcPr>
          <w:p w14:paraId="4F23D5D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223.3</w:t>
            </w:r>
          </w:p>
        </w:tc>
        <w:tc>
          <w:tcPr>
            <w:tcW w:w="587" w:type="pct"/>
            <w:noWrap/>
            <w:vAlign w:val="center"/>
          </w:tcPr>
          <w:p w14:paraId="2CCF6E1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0.022</w:t>
            </w:r>
          </w:p>
        </w:tc>
        <w:tc>
          <w:tcPr>
            <w:tcW w:w="739" w:type="pct"/>
            <w:vAlign w:val="center"/>
          </w:tcPr>
          <w:p w14:paraId="293F93F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10000</w:t>
            </w:r>
          </w:p>
        </w:tc>
        <w:tc>
          <w:tcPr>
            <w:tcW w:w="743" w:type="pct"/>
            <w:vAlign w:val="center"/>
          </w:tcPr>
          <w:p w14:paraId="13EBD07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5F5C89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0559D54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62581A2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铜</w:t>
            </w:r>
          </w:p>
        </w:tc>
        <w:tc>
          <w:tcPr>
            <w:tcW w:w="845" w:type="pct"/>
            <w:vAlign w:val="center"/>
          </w:tcPr>
          <w:p w14:paraId="68EF17D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3772614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3A09E5C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717B8CB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vAlign w:val="center"/>
          </w:tcPr>
          <w:p w14:paraId="6B5B84A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649838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A77C3B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7F9C13A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锌</w:t>
            </w:r>
          </w:p>
        </w:tc>
        <w:tc>
          <w:tcPr>
            <w:tcW w:w="845" w:type="pct"/>
            <w:vAlign w:val="center"/>
          </w:tcPr>
          <w:p w14:paraId="21AAD52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vAlign w:val="center"/>
          </w:tcPr>
          <w:p w14:paraId="31BFC07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244653E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6DEBEB3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vAlign w:val="center"/>
          </w:tcPr>
          <w:p w14:paraId="0A0480B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471D93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F4B030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3BC0391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铅</w:t>
            </w:r>
          </w:p>
        </w:tc>
        <w:tc>
          <w:tcPr>
            <w:tcW w:w="845" w:type="pct"/>
            <w:noWrap/>
            <w:vAlign w:val="center"/>
          </w:tcPr>
          <w:p w14:paraId="585B633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44F983A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333D701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2D27CD2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vAlign w:val="center"/>
          </w:tcPr>
          <w:p w14:paraId="3BD0653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18CF64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2AE902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4DDD3C0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氯化物</w:t>
            </w:r>
          </w:p>
        </w:tc>
        <w:tc>
          <w:tcPr>
            <w:tcW w:w="845" w:type="pct"/>
            <w:noWrap/>
            <w:vAlign w:val="center"/>
          </w:tcPr>
          <w:p w14:paraId="3B53B44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15~18</w:t>
            </w:r>
          </w:p>
        </w:tc>
        <w:tc>
          <w:tcPr>
            <w:tcW w:w="570" w:type="pct"/>
            <w:noWrap/>
            <w:vAlign w:val="center"/>
          </w:tcPr>
          <w:p w14:paraId="1538C1D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16.33</w:t>
            </w:r>
          </w:p>
        </w:tc>
        <w:tc>
          <w:tcPr>
            <w:tcW w:w="587" w:type="pct"/>
            <w:noWrap/>
            <w:vAlign w:val="center"/>
          </w:tcPr>
          <w:p w14:paraId="3D70529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0.065</w:t>
            </w:r>
          </w:p>
        </w:tc>
        <w:tc>
          <w:tcPr>
            <w:tcW w:w="739" w:type="pct"/>
            <w:vAlign w:val="center"/>
          </w:tcPr>
          <w:p w14:paraId="04FA927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250</w:t>
            </w:r>
          </w:p>
        </w:tc>
        <w:tc>
          <w:tcPr>
            <w:tcW w:w="743" w:type="pct"/>
            <w:vAlign w:val="center"/>
          </w:tcPr>
          <w:p w14:paraId="080779C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4C18D4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514C80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794B7F3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氟化物</w:t>
            </w:r>
          </w:p>
        </w:tc>
        <w:tc>
          <w:tcPr>
            <w:tcW w:w="845" w:type="pct"/>
            <w:noWrap/>
            <w:vAlign w:val="center"/>
          </w:tcPr>
          <w:p w14:paraId="605BB79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39A01E6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4EBB7F3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0469BB0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vAlign w:val="center"/>
          </w:tcPr>
          <w:p w14:paraId="050954C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6F647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0CB184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5A700A4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砷</w:t>
            </w:r>
          </w:p>
        </w:tc>
        <w:tc>
          <w:tcPr>
            <w:tcW w:w="845" w:type="pct"/>
            <w:vAlign w:val="center"/>
          </w:tcPr>
          <w:p w14:paraId="17472A8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ND~0.0003</w:t>
            </w:r>
          </w:p>
        </w:tc>
        <w:tc>
          <w:tcPr>
            <w:tcW w:w="570" w:type="pct"/>
            <w:noWrap/>
            <w:vAlign w:val="center"/>
          </w:tcPr>
          <w:p w14:paraId="203628C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58C6F73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75794C7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vAlign w:val="center"/>
          </w:tcPr>
          <w:p w14:paraId="1AD1D37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27E691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7963958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7C6C956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汞</w:t>
            </w:r>
          </w:p>
        </w:tc>
        <w:tc>
          <w:tcPr>
            <w:tcW w:w="845" w:type="pct"/>
            <w:noWrap/>
            <w:vAlign w:val="center"/>
          </w:tcPr>
          <w:p w14:paraId="6CACEC0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40E7D7B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194BFF4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1ADB71C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0.0001</w:t>
            </w:r>
          </w:p>
        </w:tc>
        <w:tc>
          <w:tcPr>
            <w:tcW w:w="743" w:type="pct"/>
            <w:vAlign w:val="center"/>
          </w:tcPr>
          <w:p w14:paraId="38A5480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191DF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2B42E7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456834C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六价铬</w:t>
            </w:r>
          </w:p>
        </w:tc>
        <w:tc>
          <w:tcPr>
            <w:tcW w:w="845" w:type="pct"/>
            <w:noWrap/>
            <w:vAlign w:val="center"/>
          </w:tcPr>
          <w:p w14:paraId="49BD4EB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7E81CAE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noWrap/>
            <w:vAlign w:val="center"/>
          </w:tcPr>
          <w:p w14:paraId="5452B70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vAlign w:val="center"/>
          </w:tcPr>
          <w:p w14:paraId="43D6375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vAlign w:val="center"/>
          </w:tcPr>
          <w:p w14:paraId="71B2517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013A37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restart"/>
            <w:vAlign w:val="center"/>
          </w:tcPr>
          <w:p w14:paraId="1107A6A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W3凌公桥河与汨罗江交汇口下游2000</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p>
        </w:tc>
        <w:tc>
          <w:tcPr>
            <w:tcW w:w="1040" w:type="pct"/>
            <w:shd w:val="clear" w:color="auto" w:fill="auto"/>
            <w:vAlign w:val="center"/>
          </w:tcPr>
          <w:p w14:paraId="52D8DF3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水温</w:t>
            </w:r>
          </w:p>
        </w:tc>
        <w:tc>
          <w:tcPr>
            <w:tcW w:w="845" w:type="pct"/>
            <w:shd w:val="clear" w:color="auto" w:fill="auto"/>
            <w:noWrap/>
            <w:vAlign w:val="center"/>
          </w:tcPr>
          <w:p w14:paraId="2129FBC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9.8~9.9</w:t>
            </w:r>
          </w:p>
        </w:tc>
        <w:tc>
          <w:tcPr>
            <w:tcW w:w="570" w:type="pct"/>
            <w:shd w:val="clear" w:color="auto" w:fill="auto"/>
            <w:noWrap/>
            <w:vAlign w:val="center"/>
          </w:tcPr>
          <w:p w14:paraId="20F4EF4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center"/>
          </w:tcPr>
          <w:p w14:paraId="5CAE898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4ADC5C3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43" w:type="pct"/>
            <w:shd w:val="clear" w:color="auto" w:fill="auto"/>
            <w:vAlign w:val="center"/>
          </w:tcPr>
          <w:p w14:paraId="6361790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r>
      <w:tr w14:paraId="4ECFEF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0E10B93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56F5C14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pH值</w:t>
            </w:r>
          </w:p>
        </w:tc>
        <w:tc>
          <w:tcPr>
            <w:tcW w:w="845" w:type="pct"/>
            <w:shd w:val="clear" w:color="auto" w:fill="auto"/>
            <w:noWrap/>
            <w:vAlign w:val="center"/>
          </w:tcPr>
          <w:p w14:paraId="53C6F49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7.3~7.6</w:t>
            </w:r>
          </w:p>
        </w:tc>
        <w:tc>
          <w:tcPr>
            <w:tcW w:w="570" w:type="pct"/>
            <w:shd w:val="clear" w:color="auto" w:fill="auto"/>
            <w:noWrap/>
            <w:vAlign w:val="center"/>
          </w:tcPr>
          <w:p w14:paraId="6ACD4DD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center"/>
          </w:tcPr>
          <w:p w14:paraId="4CEA0AD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1C99CE4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6~9</w:t>
            </w:r>
          </w:p>
        </w:tc>
        <w:tc>
          <w:tcPr>
            <w:tcW w:w="743" w:type="pct"/>
            <w:shd w:val="clear" w:color="auto" w:fill="auto"/>
            <w:vAlign w:val="center"/>
          </w:tcPr>
          <w:p w14:paraId="7D146A8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0479AD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6D47A88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5B40ED6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化学需氧量</w:t>
            </w:r>
          </w:p>
        </w:tc>
        <w:tc>
          <w:tcPr>
            <w:tcW w:w="845" w:type="pct"/>
            <w:shd w:val="clear" w:color="auto" w:fill="auto"/>
            <w:noWrap/>
            <w:vAlign w:val="center"/>
          </w:tcPr>
          <w:p w14:paraId="16827BC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13~14</w:t>
            </w:r>
          </w:p>
        </w:tc>
        <w:tc>
          <w:tcPr>
            <w:tcW w:w="570" w:type="pct"/>
            <w:shd w:val="clear" w:color="auto" w:fill="auto"/>
            <w:noWrap/>
            <w:vAlign w:val="center"/>
          </w:tcPr>
          <w:p w14:paraId="15FA6AB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13.67</w:t>
            </w:r>
          </w:p>
        </w:tc>
        <w:tc>
          <w:tcPr>
            <w:tcW w:w="587" w:type="pct"/>
            <w:shd w:val="clear" w:color="auto" w:fill="auto"/>
            <w:noWrap/>
            <w:vAlign w:val="center"/>
          </w:tcPr>
          <w:p w14:paraId="2803DBF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0.683</w:t>
            </w:r>
          </w:p>
        </w:tc>
        <w:tc>
          <w:tcPr>
            <w:tcW w:w="739" w:type="pct"/>
            <w:shd w:val="clear" w:color="auto" w:fill="auto"/>
            <w:vAlign w:val="center"/>
          </w:tcPr>
          <w:p w14:paraId="76113CD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20</w:t>
            </w:r>
          </w:p>
        </w:tc>
        <w:tc>
          <w:tcPr>
            <w:tcW w:w="743" w:type="pct"/>
            <w:shd w:val="clear" w:color="auto" w:fill="auto"/>
            <w:vAlign w:val="center"/>
          </w:tcPr>
          <w:p w14:paraId="737D829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13A16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4413D76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1B019DE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总磷</w:t>
            </w:r>
          </w:p>
        </w:tc>
        <w:tc>
          <w:tcPr>
            <w:tcW w:w="845" w:type="pct"/>
            <w:shd w:val="clear" w:color="auto" w:fill="auto"/>
            <w:noWrap/>
            <w:vAlign w:val="center"/>
          </w:tcPr>
          <w:p w14:paraId="6543B68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0.09~0.11</w:t>
            </w:r>
          </w:p>
        </w:tc>
        <w:tc>
          <w:tcPr>
            <w:tcW w:w="570" w:type="pct"/>
            <w:shd w:val="clear" w:color="auto" w:fill="auto"/>
            <w:noWrap/>
            <w:vAlign w:val="center"/>
          </w:tcPr>
          <w:p w14:paraId="010F97B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0.1</w:t>
            </w:r>
          </w:p>
        </w:tc>
        <w:tc>
          <w:tcPr>
            <w:tcW w:w="587" w:type="pct"/>
            <w:shd w:val="clear" w:color="auto" w:fill="auto"/>
            <w:noWrap/>
            <w:vAlign w:val="center"/>
          </w:tcPr>
          <w:p w14:paraId="10C8B2E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0.5</w:t>
            </w:r>
          </w:p>
        </w:tc>
        <w:tc>
          <w:tcPr>
            <w:tcW w:w="739" w:type="pct"/>
            <w:shd w:val="clear" w:color="auto" w:fill="auto"/>
            <w:vAlign w:val="center"/>
          </w:tcPr>
          <w:p w14:paraId="1286F45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shd w:val="clear" w:color="auto" w:fill="auto"/>
            <w:vAlign w:val="center"/>
          </w:tcPr>
          <w:p w14:paraId="649F28B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243AB1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7756B50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119EE43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五日生化需氧量</w:t>
            </w:r>
          </w:p>
        </w:tc>
        <w:tc>
          <w:tcPr>
            <w:tcW w:w="845" w:type="pct"/>
            <w:shd w:val="clear" w:color="auto" w:fill="auto"/>
            <w:noWrap/>
            <w:vAlign w:val="center"/>
          </w:tcPr>
          <w:p w14:paraId="35D9DC7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3.2~3.5</w:t>
            </w:r>
          </w:p>
        </w:tc>
        <w:tc>
          <w:tcPr>
            <w:tcW w:w="570" w:type="pct"/>
            <w:shd w:val="clear" w:color="auto" w:fill="auto"/>
            <w:noWrap/>
            <w:vAlign w:val="center"/>
          </w:tcPr>
          <w:p w14:paraId="7F87342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3.33</w:t>
            </w:r>
          </w:p>
        </w:tc>
        <w:tc>
          <w:tcPr>
            <w:tcW w:w="587" w:type="pct"/>
            <w:shd w:val="clear" w:color="auto" w:fill="auto"/>
            <w:noWrap/>
            <w:vAlign w:val="center"/>
          </w:tcPr>
          <w:p w14:paraId="356AC4F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0.83</w:t>
            </w:r>
          </w:p>
        </w:tc>
        <w:tc>
          <w:tcPr>
            <w:tcW w:w="739" w:type="pct"/>
            <w:shd w:val="clear" w:color="auto" w:fill="auto"/>
            <w:vAlign w:val="center"/>
          </w:tcPr>
          <w:p w14:paraId="2B14543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4</w:t>
            </w:r>
          </w:p>
        </w:tc>
        <w:tc>
          <w:tcPr>
            <w:tcW w:w="743" w:type="pct"/>
            <w:shd w:val="clear" w:color="auto" w:fill="auto"/>
            <w:vAlign w:val="center"/>
          </w:tcPr>
          <w:p w14:paraId="7EF7024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2564D5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65A57B8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4A13484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845" w:type="pct"/>
            <w:shd w:val="clear" w:color="auto" w:fill="auto"/>
            <w:noWrap/>
            <w:vAlign w:val="center"/>
          </w:tcPr>
          <w:p w14:paraId="5A26153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0.04~0.05</w:t>
            </w:r>
          </w:p>
        </w:tc>
        <w:tc>
          <w:tcPr>
            <w:tcW w:w="570" w:type="pct"/>
            <w:shd w:val="clear" w:color="auto" w:fill="auto"/>
            <w:noWrap/>
            <w:vAlign w:val="center"/>
          </w:tcPr>
          <w:p w14:paraId="1FA0058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0.043</w:t>
            </w:r>
          </w:p>
        </w:tc>
        <w:tc>
          <w:tcPr>
            <w:tcW w:w="587" w:type="pct"/>
            <w:shd w:val="clear" w:color="auto" w:fill="auto"/>
            <w:noWrap/>
            <w:vAlign w:val="center"/>
          </w:tcPr>
          <w:p w14:paraId="702B851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0.43</w:t>
            </w:r>
          </w:p>
        </w:tc>
        <w:tc>
          <w:tcPr>
            <w:tcW w:w="739" w:type="pct"/>
            <w:shd w:val="clear" w:color="auto" w:fill="auto"/>
            <w:vAlign w:val="center"/>
          </w:tcPr>
          <w:p w14:paraId="74C7F10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shd w:val="clear" w:color="auto" w:fill="auto"/>
            <w:vAlign w:val="center"/>
          </w:tcPr>
          <w:p w14:paraId="447E66F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5AEBE2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CCE12C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1CEAEEB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挥发酚</w:t>
            </w:r>
          </w:p>
        </w:tc>
        <w:tc>
          <w:tcPr>
            <w:tcW w:w="845" w:type="pct"/>
            <w:shd w:val="clear" w:color="auto" w:fill="auto"/>
            <w:noWrap/>
            <w:vAlign w:val="center"/>
          </w:tcPr>
          <w:p w14:paraId="1E500B2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noWrap/>
            <w:vAlign w:val="center"/>
          </w:tcPr>
          <w:p w14:paraId="4BFD265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587" w:type="pct"/>
            <w:noWrap/>
            <w:vAlign w:val="center"/>
          </w:tcPr>
          <w:p w14:paraId="43CFE4C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739" w:type="pct"/>
            <w:shd w:val="clear" w:color="auto" w:fill="auto"/>
            <w:vAlign w:val="center"/>
          </w:tcPr>
          <w:p w14:paraId="5DF8900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0.005</w:t>
            </w:r>
          </w:p>
        </w:tc>
        <w:tc>
          <w:tcPr>
            <w:tcW w:w="743" w:type="pct"/>
            <w:shd w:val="clear" w:color="auto" w:fill="auto"/>
            <w:vAlign w:val="center"/>
          </w:tcPr>
          <w:p w14:paraId="43C08E6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7399A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04C2E6F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4BAC756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石油类</w:t>
            </w:r>
          </w:p>
        </w:tc>
        <w:tc>
          <w:tcPr>
            <w:tcW w:w="845" w:type="pct"/>
            <w:noWrap/>
            <w:vAlign w:val="center"/>
          </w:tcPr>
          <w:p w14:paraId="664F131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ND</w:t>
            </w:r>
          </w:p>
        </w:tc>
        <w:tc>
          <w:tcPr>
            <w:tcW w:w="570" w:type="pct"/>
            <w:noWrap/>
            <w:vAlign w:val="center"/>
          </w:tcPr>
          <w:p w14:paraId="687C513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587" w:type="pct"/>
            <w:noWrap/>
            <w:vAlign w:val="center"/>
          </w:tcPr>
          <w:p w14:paraId="49D7199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739" w:type="pct"/>
            <w:shd w:val="clear" w:color="auto" w:fill="auto"/>
            <w:vAlign w:val="center"/>
          </w:tcPr>
          <w:p w14:paraId="1174A76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shd w:val="clear" w:color="auto" w:fill="auto"/>
            <w:vAlign w:val="center"/>
          </w:tcPr>
          <w:p w14:paraId="464FF3A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0BE36E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60748B8">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5431C73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阴离子表面活性剂</w:t>
            </w:r>
          </w:p>
        </w:tc>
        <w:tc>
          <w:tcPr>
            <w:tcW w:w="845" w:type="pct"/>
            <w:noWrap/>
            <w:vAlign w:val="center"/>
          </w:tcPr>
          <w:p w14:paraId="0584D8A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ND</w:t>
            </w:r>
          </w:p>
        </w:tc>
        <w:tc>
          <w:tcPr>
            <w:tcW w:w="570" w:type="pct"/>
            <w:noWrap/>
            <w:vAlign w:val="center"/>
          </w:tcPr>
          <w:p w14:paraId="445A8FF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587" w:type="pct"/>
            <w:noWrap/>
            <w:vAlign w:val="center"/>
          </w:tcPr>
          <w:p w14:paraId="7D7A8C2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739" w:type="pct"/>
            <w:shd w:val="clear" w:color="auto" w:fill="auto"/>
            <w:vAlign w:val="center"/>
          </w:tcPr>
          <w:p w14:paraId="5E669B1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shd w:val="clear" w:color="auto" w:fill="auto"/>
            <w:vAlign w:val="center"/>
          </w:tcPr>
          <w:p w14:paraId="70D1A41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64DFE5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86BF29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00CF760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硫化物</w:t>
            </w:r>
          </w:p>
        </w:tc>
        <w:tc>
          <w:tcPr>
            <w:tcW w:w="845" w:type="pct"/>
            <w:noWrap/>
            <w:vAlign w:val="center"/>
          </w:tcPr>
          <w:p w14:paraId="37E4C2D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ND</w:t>
            </w:r>
          </w:p>
        </w:tc>
        <w:tc>
          <w:tcPr>
            <w:tcW w:w="570" w:type="pct"/>
            <w:noWrap/>
            <w:vAlign w:val="center"/>
          </w:tcPr>
          <w:p w14:paraId="3D57AC1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587" w:type="pct"/>
            <w:noWrap/>
            <w:vAlign w:val="center"/>
          </w:tcPr>
          <w:p w14:paraId="6CCE447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739" w:type="pct"/>
            <w:shd w:val="clear" w:color="auto" w:fill="auto"/>
            <w:vAlign w:val="center"/>
          </w:tcPr>
          <w:p w14:paraId="770A1CF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w:t>
            </w:r>
          </w:p>
        </w:tc>
        <w:tc>
          <w:tcPr>
            <w:tcW w:w="743" w:type="pct"/>
            <w:shd w:val="clear" w:color="auto" w:fill="auto"/>
            <w:vAlign w:val="center"/>
          </w:tcPr>
          <w:p w14:paraId="0DCF1BE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663968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60CE979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0C5A640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粪大肠菌群</w:t>
            </w:r>
          </w:p>
        </w:tc>
        <w:tc>
          <w:tcPr>
            <w:tcW w:w="845" w:type="pct"/>
            <w:shd w:val="clear" w:color="auto" w:fill="auto"/>
            <w:noWrap/>
            <w:vAlign w:val="center"/>
          </w:tcPr>
          <w:p w14:paraId="4501288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110~140</w:t>
            </w:r>
          </w:p>
        </w:tc>
        <w:tc>
          <w:tcPr>
            <w:tcW w:w="570" w:type="pct"/>
            <w:shd w:val="clear" w:color="auto" w:fill="auto"/>
            <w:noWrap/>
            <w:vAlign w:val="center"/>
          </w:tcPr>
          <w:p w14:paraId="5091342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126.67</w:t>
            </w:r>
          </w:p>
        </w:tc>
        <w:tc>
          <w:tcPr>
            <w:tcW w:w="587" w:type="pct"/>
            <w:shd w:val="clear" w:color="auto" w:fill="auto"/>
            <w:noWrap/>
            <w:vAlign w:val="center"/>
          </w:tcPr>
          <w:p w14:paraId="7F40103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0.012</w:t>
            </w:r>
          </w:p>
        </w:tc>
        <w:tc>
          <w:tcPr>
            <w:tcW w:w="739" w:type="pct"/>
            <w:shd w:val="clear" w:color="auto" w:fill="auto"/>
            <w:vAlign w:val="center"/>
          </w:tcPr>
          <w:p w14:paraId="58CD848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10000</w:t>
            </w:r>
          </w:p>
        </w:tc>
        <w:tc>
          <w:tcPr>
            <w:tcW w:w="743" w:type="pct"/>
            <w:shd w:val="clear" w:color="auto" w:fill="auto"/>
            <w:vAlign w:val="center"/>
          </w:tcPr>
          <w:p w14:paraId="4BFF992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2036F6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22B67D8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4D63004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铜</w:t>
            </w:r>
          </w:p>
        </w:tc>
        <w:tc>
          <w:tcPr>
            <w:tcW w:w="845" w:type="pct"/>
            <w:shd w:val="clear" w:color="auto" w:fill="auto"/>
            <w:noWrap/>
            <w:vAlign w:val="center"/>
          </w:tcPr>
          <w:p w14:paraId="5DB1E0B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shd w:val="clear" w:color="auto" w:fill="auto"/>
            <w:noWrap/>
            <w:vAlign w:val="top"/>
          </w:tcPr>
          <w:p w14:paraId="3F14F8E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top"/>
          </w:tcPr>
          <w:p w14:paraId="15D40E9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64B15BC4">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shd w:val="clear" w:color="auto" w:fill="auto"/>
            <w:vAlign w:val="center"/>
          </w:tcPr>
          <w:p w14:paraId="30D7CB4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0FA56B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93C52F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49C12E7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锌</w:t>
            </w:r>
          </w:p>
        </w:tc>
        <w:tc>
          <w:tcPr>
            <w:tcW w:w="845" w:type="pct"/>
            <w:shd w:val="clear" w:color="auto" w:fill="auto"/>
            <w:noWrap/>
            <w:vAlign w:val="center"/>
          </w:tcPr>
          <w:p w14:paraId="5848E0D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shd w:val="clear" w:color="auto" w:fill="auto"/>
            <w:noWrap/>
            <w:vAlign w:val="top"/>
          </w:tcPr>
          <w:p w14:paraId="078EB13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top"/>
          </w:tcPr>
          <w:p w14:paraId="3AE9A4B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3A09B15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shd w:val="clear" w:color="auto" w:fill="auto"/>
            <w:vAlign w:val="center"/>
          </w:tcPr>
          <w:p w14:paraId="6EECD18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1DD501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4099DFB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53F599A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铅</w:t>
            </w:r>
          </w:p>
        </w:tc>
        <w:tc>
          <w:tcPr>
            <w:tcW w:w="845" w:type="pct"/>
            <w:shd w:val="clear" w:color="auto" w:fill="auto"/>
            <w:noWrap/>
            <w:vAlign w:val="center"/>
          </w:tcPr>
          <w:p w14:paraId="4A2C684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shd w:val="clear" w:color="auto" w:fill="auto"/>
            <w:noWrap/>
            <w:vAlign w:val="top"/>
          </w:tcPr>
          <w:p w14:paraId="76D015E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top"/>
          </w:tcPr>
          <w:p w14:paraId="02B5DB2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07C5A24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shd w:val="clear" w:color="auto" w:fill="auto"/>
            <w:vAlign w:val="center"/>
          </w:tcPr>
          <w:p w14:paraId="266238D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5CD4F8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1E795F6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2E1CEBF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氯化物</w:t>
            </w:r>
          </w:p>
        </w:tc>
        <w:tc>
          <w:tcPr>
            <w:tcW w:w="845" w:type="pct"/>
            <w:shd w:val="clear" w:color="auto" w:fill="auto"/>
            <w:noWrap/>
            <w:vAlign w:val="center"/>
          </w:tcPr>
          <w:p w14:paraId="4CCEF1C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shd w:val="clear" w:color="auto" w:fill="auto"/>
            <w:noWrap/>
            <w:vAlign w:val="top"/>
          </w:tcPr>
          <w:p w14:paraId="520F6E2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top"/>
          </w:tcPr>
          <w:p w14:paraId="455F81C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4E75441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250</w:t>
            </w:r>
          </w:p>
        </w:tc>
        <w:tc>
          <w:tcPr>
            <w:tcW w:w="743" w:type="pct"/>
            <w:shd w:val="clear" w:color="auto" w:fill="auto"/>
            <w:vAlign w:val="center"/>
          </w:tcPr>
          <w:p w14:paraId="79ED0AF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7A17F6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65EBDB2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16509F19">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氟化物</w:t>
            </w:r>
          </w:p>
        </w:tc>
        <w:tc>
          <w:tcPr>
            <w:tcW w:w="845" w:type="pct"/>
            <w:shd w:val="clear" w:color="auto" w:fill="auto"/>
            <w:noWrap/>
            <w:vAlign w:val="center"/>
          </w:tcPr>
          <w:p w14:paraId="78DA7881">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shd w:val="clear" w:color="auto" w:fill="auto"/>
            <w:noWrap/>
            <w:vAlign w:val="top"/>
          </w:tcPr>
          <w:p w14:paraId="1C0CB1A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top"/>
          </w:tcPr>
          <w:p w14:paraId="23258EEB">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6E4576C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1.0</w:t>
            </w:r>
          </w:p>
        </w:tc>
        <w:tc>
          <w:tcPr>
            <w:tcW w:w="743" w:type="pct"/>
            <w:shd w:val="clear" w:color="auto" w:fill="auto"/>
            <w:vAlign w:val="center"/>
          </w:tcPr>
          <w:p w14:paraId="385C6D63">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1533AA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41ADF93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vAlign w:val="center"/>
          </w:tcPr>
          <w:p w14:paraId="00AC55AD">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砷</w:t>
            </w:r>
          </w:p>
        </w:tc>
        <w:tc>
          <w:tcPr>
            <w:tcW w:w="845" w:type="pct"/>
            <w:noWrap/>
            <w:vAlign w:val="center"/>
          </w:tcPr>
          <w:p w14:paraId="6A418D4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ND</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0.0005</w:t>
            </w:r>
          </w:p>
        </w:tc>
        <w:tc>
          <w:tcPr>
            <w:tcW w:w="570" w:type="pct"/>
            <w:noWrap/>
            <w:vAlign w:val="center"/>
          </w:tcPr>
          <w:p w14:paraId="0CD12F6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587" w:type="pct"/>
            <w:noWrap/>
            <w:vAlign w:val="center"/>
          </w:tcPr>
          <w:p w14:paraId="5036056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739" w:type="pct"/>
            <w:shd w:val="clear" w:color="auto" w:fill="auto"/>
            <w:vAlign w:val="center"/>
          </w:tcPr>
          <w:p w14:paraId="1ABB1FC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shd w:val="clear" w:color="auto" w:fill="auto"/>
            <w:vAlign w:val="center"/>
          </w:tcPr>
          <w:p w14:paraId="07203A7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626D7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3E263267">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75130D62">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汞</w:t>
            </w:r>
          </w:p>
        </w:tc>
        <w:tc>
          <w:tcPr>
            <w:tcW w:w="845" w:type="pct"/>
            <w:shd w:val="clear" w:color="auto" w:fill="auto"/>
            <w:noWrap/>
            <w:vAlign w:val="center"/>
          </w:tcPr>
          <w:p w14:paraId="5DBEF19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shd w:val="clear" w:color="auto" w:fill="auto"/>
            <w:noWrap/>
            <w:vAlign w:val="bottom"/>
          </w:tcPr>
          <w:p w14:paraId="2C27817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bottom"/>
          </w:tcPr>
          <w:p w14:paraId="1458DB0C">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51324E90">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0.0001</w:t>
            </w:r>
          </w:p>
        </w:tc>
        <w:tc>
          <w:tcPr>
            <w:tcW w:w="743" w:type="pct"/>
            <w:shd w:val="clear" w:color="auto" w:fill="auto"/>
            <w:vAlign w:val="center"/>
          </w:tcPr>
          <w:p w14:paraId="4B75C4F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49BE6A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472" w:type="pct"/>
            <w:vMerge w:val="continue"/>
            <w:vAlign w:val="center"/>
          </w:tcPr>
          <w:p w14:paraId="2C8A274A">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40" w:type="pct"/>
            <w:shd w:val="clear" w:color="auto" w:fill="auto"/>
            <w:vAlign w:val="center"/>
          </w:tcPr>
          <w:p w14:paraId="1312F545">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六价铬</w:t>
            </w:r>
          </w:p>
        </w:tc>
        <w:tc>
          <w:tcPr>
            <w:tcW w:w="845" w:type="pct"/>
            <w:shd w:val="clear" w:color="auto" w:fill="auto"/>
            <w:noWrap/>
            <w:vAlign w:val="center"/>
          </w:tcPr>
          <w:p w14:paraId="42A02FA6">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ND</w:t>
            </w:r>
          </w:p>
        </w:tc>
        <w:tc>
          <w:tcPr>
            <w:tcW w:w="570" w:type="pct"/>
            <w:shd w:val="clear" w:color="auto" w:fill="auto"/>
            <w:noWrap/>
            <w:vAlign w:val="bottom"/>
          </w:tcPr>
          <w:p w14:paraId="0F1857CE">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587" w:type="pct"/>
            <w:shd w:val="clear" w:color="auto" w:fill="auto"/>
            <w:noWrap/>
            <w:vAlign w:val="bottom"/>
          </w:tcPr>
          <w:p w14:paraId="6BBBC982">
            <w:pPr>
              <w:pStyle w:val="6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39" w:type="pct"/>
            <w:shd w:val="clear" w:color="auto" w:fill="auto"/>
            <w:vAlign w:val="center"/>
          </w:tcPr>
          <w:p w14:paraId="4E917F3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0.05</w:t>
            </w:r>
          </w:p>
        </w:tc>
        <w:tc>
          <w:tcPr>
            <w:tcW w:w="743" w:type="pct"/>
            <w:shd w:val="clear" w:color="auto" w:fill="auto"/>
            <w:vAlign w:val="center"/>
          </w:tcPr>
          <w:p w14:paraId="770B023F">
            <w:pPr>
              <w:pStyle w:val="6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bl>
    <w:p w14:paraId="3378F37D">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b/>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根据上述监测结果可知，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项目周边</w:t>
      </w:r>
      <w:r>
        <w:rPr>
          <w:rFonts w:hint="default" w:ascii="Times New Roman" w:hAnsi="Times New Roman" w:eastAsia="宋体" w:cs="Times New Roman"/>
          <w:color w:val="000000" w:themeColor="text1"/>
          <w:u w:val="none" w:color="auto"/>
          <w14:textFill>
            <w14:solidFill>
              <w14:schemeClr w14:val="tx1"/>
            </w14:solidFill>
          </w14:textFill>
        </w:rPr>
        <w:t>凌公桥河、汨罗江各监测断面的监测因子均符合《地表水环境质量标准》（GB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3838-2002）Ⅲ类水质标准。</w:t>
      </w:r>
    </w:p>
    <w:p w14:paraId="4221CA0B">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37" w:name="_Toc144236791"/>
      <w:bookmarkStart w:id="238" w:name="_Toc164200810"/>
      <w:bookmarkStart w:id="239" w:name="_Toc23887"/>
      <w:bookmarkStart w:id="240" w:name="_Toc191240022"/>
      <w:bookmarkStart w:id="241" w:name="_Toc144276921"/>
      <w:bookmarkStart w:id="242" w:name="_Toc187011331"/>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3 地下水环境质量现状评价</w:t>
      </w:r>
      <w:bookmarkEnd w:id="237"/>
      <w:bookmarkEnd w:id="238"/>
      <w:bookmarkEnd w:id="239"/>
      <w:bookmarkEnd w:id="240"/>
      <w:bookmarkEnd w:id="241"/>
      <w:bookmarkEnd w:id="242"/>
    </w:p>
    <w:p w14:paraId="7BBA167C">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43" w:name="_Toc14874"/>
      <w:bookmarkStart w:id="244" w:name="_Toc191240024"/>
      <w:bookmarkStart w:id="245" w:name="_Toc191240023"/>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 xml:space="preserve"> 地下水环境引用数据</w:t>
      </w:r>
      <w:bookmarkEnd w:id="243"/>
    </w:p>
    <w:p w14:paraId="6E7824C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本项目引用《湖南平江高新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三期建设项目环境影响报告书》中相关监测数据，</w:t>
      </w:r>
    </w:p>
    <w:p w14:paraId="3347A66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（1）监测时间、频次</w:t>
      </w:r>
    </w:p>
    <w:p w14:paraId="30395CA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监测时间为2023年3月16日。</w:t>
      </w:r>
    </w:p>
    <w:p w14:paraId="27F65D5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（2）监测点位</w:t>
      </w:r>
    </w:p>
    <w:p w14:paraId="2C369A5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位于湖南平江高新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去周边，</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DW</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项目东南535 m处民井，位于本项目东侧600 m；DW</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项目西北415 m民井，位于本项目北侧260 m；DW</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项目北200 m民井，位于本项目北侧440 m；DW</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项目西南400 m民井，位于本项目西侧170 m；DW</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项目场地，位于本项目东北侧230 m</w:t>
      </w:r>
      <w:r>
        <w:rPr>
          <w:rFonts w:hint="default" w:ascii="Times New Roman" w:hAnsi="Times New Roman" w:eastAsia="宋体" w:cs="Times New Roman"/>
          <w:color w:val="000000" w:themeColor="text1"/>
          <w:u w:val="none" w:color="auto"/>
          <w14:textFill>
            <w14:solidFill>
              <w14:schemeClr w14:val="tx1"/>
            </w14:solidFill>
          </w14:textFill>
        </w:rPr>
        <w:t>。</w:t>
      </w:r>
    </w:p>
    <w:p w14:paraId="66E1F6E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（3）监测数据</w:t>
      </w:r>
    </w:p>
    <w:p w14:paraId="14BE8A0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地下水环境质量引用监测结果统计（mg/L）</w:t>
      </w:r>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1090"/>
        <w:gridCol w:w="1090"/>
        <w:gridCol w:w="1090"/>
        <w:gridCol w:w="1090"/>
        <w:gridCol w:w="1090"/>
        <w:gridCol w:w="1090"/>
        <w:gridCol w:w="897"/>
      </w:tblGrid>
      <w:tr w14:paraId="5B4279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vAlign w:val="center"/>
          </w:tcPr>
          <w:p w14:paraId="05493D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项目</w:t>
            </w:r>
          </w:p>
        </w:tc>
        <w:tc>
          <w:tcPr>
            <w:tcW w:w="639" w:type="pct"/>
            <w:vAlign w:val="center"/>
          </w:tcPr>
          <w:p w14:paraId="232447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（侧向，位于本项目东侧600 m）</w:t>
            </w:r>
          </w:p>
        </w:tc>
        <w:tc>
          <w:tcPr>
            <w:tcW w:w="639" w:type="pct"/>
            <w:vAlign w:val="center"/>
          </w:tcPr>
          <w:p w14:paraId="54D116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（下游，位于本项目北侧260 m）</w:t>
            </w:r>
          </w:p>
        </w:tc>
        <w:tc>
          <w:tcPr>
            <w:tcW w:w="639" w:type="pct"/>
            <w:vAlign w:val="center"/>
          </w:tcPr>
          <w:p w14:paraId="3109A9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（侧向，位于本项目北侧440 m）</w:t>
            </w:r>
          </w:p>
        </w:tc>
        <w:tc>
          <w:tcPr>
            <w:tcW w:w="639" w:type="pct"/>
            <w:vAlign w:val="center"/>
          </w:tcPr>
          <w:p w14:paraId="7DDAD9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（下游，位于本项目西侧170 m）</w:t>
            </w:r>
          </w:p>
        </w:tc>
        <w:tc>
          <w:tcPr>
            <w:tcW w:w="639" w:type="pct"/>
            <w:vAlign w:val="center"/>
          </w:tcPr>
          <w:p w14:paraId="519F5C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（侧向，位于本项目东北侧230 m）</w:t>
            </w:r>
          </w:p>
        </w:tc>
        <w:tc>
          <w:tcPr>
            <w:tcW w:w="639" w:type="pct"/>
            <w:vAlign w:val="center"/>
          </w:tcPr>
          <w:p w14:paraId="26E8E8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标准值</w:t>
            </w:r>
          </w:p>
        </w:tc>
        <w:tc>
          <w:tcPr>
            <w:tcW w:w="526" w:type="pct"/>
            <w:vAlign w:val="center"/>
          </w:tcPr>
          <w:p w14:paraId="7C898B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单位</w:t>
            </w:r>
          </w:p>
        </w:tc>
      </w:tr>
      <w:tr w14:paraId="65E771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0D9FDE5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eastAsia="zh-CN"/>
              </w:rPr>
              <w:t>水位</w:t>
            </w:r>
          </w:p>
        </w:tc>
        <w:tc>
          <w:tcPr>
            <w:tcW w:w="639" w:type="pct"/>
            <w:shd w:val="clear" w:color="auto" w:fill="auto"/>
            <w:vAlign w:val="center"/>
          </w:tcPr>
          <w:p w14:paraId="216D1E90">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7.3</w:t>
            </w:r>
          </w:p>
        </w:tc>
        <w:tc>
          <w:tcPr>
            <w:tcW w:w="639" w:type="pct"/>
            <w:shd w:val="clear" w:color="auto" w:fill="auto"/>
            <w:vAlign w:val="center"/>
          </w:tcPr>
          <w:p w14:paraId="6D7AC30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12.8</w:t>
            </w:r>
          </w:p>
        </w:tc>
        <w:tc>
          <w:tcPr>
            <w:tcW w:w="639" w:type="pct"/>
            <w:shd w:val="clear" w:color="auto" w:fill="auto"/>
            <w:vAlign w:val="center"/>
          </w:tcPr>
          <w:p w14:paraId="56019FB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8.7</w:t>
            </w:r>
          </w:p>
        </w:tc>
        <w:tc>
          <w:tcPr>
            <w:tcW w:w="639" w:type="pct"/>
            <w:shd w:val="clear" w:color="auto" w:fill="auto"/>
            <w:vAlign w:val="center"/>
          </w:tcPr>
          <w:p w14:paraId="5E10FB1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7.9</w:t>
            </w:r>
          </w:p>
        </w:tc>
        <w:tc>
          <w:tcPr>
            <w:tcW w:w="639" w:type="pct"/>
            <w:shd w:val="clear" w:color="auto" w:fill="auto"/>
            <w:vAlign w:val="center"/>
          </w:tcPr>
          <w:p w14:paraId="18A94F1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5.8</w:t>
            </w:r>
          </w:p>
        </w:tc>
        <w:tc>
          <w:tcPr>
            <w:tcW w:w="639" w:type="pct"/>
            <w:shd w:val="clear" w:color="auto" w:fill="auto"/>
            <w:vAlign w:val="center"/>
          </w:tcPr>
          <w:p w14:paraId="1F84291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c>
          <w:tcPr>
            <w:tcW w:w="526" w:type="pct"/>
            <w:shd w:val="clear" w:color="auto" w:fill="auto"/>
            <w:vAlign w:val="center"/>
          </w:tcPr>
          <w:p w14:paraId="204E35B8">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w:t>
            </w:r>
          </w:p>
        </w:tc>
      </w:tr>
      <w:tr w14:paraId="2CAEEA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0397647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eastAsia="zh-CN"/>
              </w:rPr>
              <w:t>埋深</w:t>
            </w:r>
          </w:p>
        </w:tc>
        <w:tc>
          <w:tcPr>
            <w:tcW w:w="639" w:type="pct"/>
            <w:shd w:val="clear" w:color="auto" w:fill="auto"/>
            <w:vAlign w:val="center"/>
          </w:tcPr>
          <w:p w14:paraId="5D8C9AF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47.7</w:t>
            </w:r>
          </w:p>
        </w:tc>
        <w:tc>
          <w:tcPr>
            <w:tcW w:w="639" w:type="pct"/>
            <w:shd w:val="clear" w:color="auto" w:fill="auto"/>
            <w:vAlign w:val="center"/>
          </w:tcPr>
          <w:p w14:paraId="606A6C5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32.2</w:t>
            </w:r>
          </w:p>
        </w:tc>
        <w:tc>
          <w:tcPr>
            <w:tcW w:w="639" w:type="pct"/>
            <w:shd w:val="clear" w:color="auto" w:fill="auto"/>
            <w:vAlign w:val="center"/>
          </w:tcPr>
          <w:p w14:paraId="49330C7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45.3</w:t>
            </w:r>
          </w:p>
        </w:tc>
        <w:tc>
          <w:tcPr>
            <w:tcW w:w="639" w:type="pct"/>
            <w:shd w:val="clear" w:color="auto" w:fill="auto"/>
            <w:vAlign w:val="center"/>
          </w:tcPr>
          <w:p w14:paraId="4D309DE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38.1</w:t>
            </w:r>
          </w:p>
        </w:tc>
        <w:tc>
          <w:tcPr>
            <w:tcW w:w="639" w:type="pct"/>
            <w:shd w:val="clear" w:color="auto" w:fill="auto"/>
            <w:vAlign w:val="center"/>
          </w:tcPr>
          <w:p w14:paraId="5537D4C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35.2</w:t>
            </w:r>
          </w:p>
        </w:tc>
        <w:tc>
          <w:tcPr>
            <w:tcW w:w="639" w:type="pct"/>
            <w:shd w:val="clear" w:color="auto" w:fill="auto"/>
            <w:vAlign w:val="center"/>
          </w:tcPr>
          <w:p w14:paraId="0F08CED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c>
          <w:tcPr>
            <w:tcW w:w="526" w:type="pct"/>
            <w:shd w:val="clear" w:color="auto" w:fill="auto"/>
            <w:vAlign w:val="center"/>
          </w:tcPr>
          <w:p w14:paraId="4C8C484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w:t>
            </w:r>
          </w:p>
        </w:tc>
      </w:tr>
      <w:tr w14:paraId="60B032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4CD4176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pH值</w:t>
            </w:r>
          </w:p>
        </w:tc>
        <w:tc>
          <w:tcPr>
            <w:tcW w:w="639" w:type="pct"/>
            <w:shd w:val="clear" w:color="auto" w:fill="auto"/>
            <w:vAlign w:val="center"/>
          </w:tcPr>
          <w:p w14:paraId="5765CE1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7.4</w:t>
            </w:r>
          </w:p>
        </w:tc>
        <w:tc>
          <w:tcPr>
            <w:tcW w:w="639" w:type="pct"/>
            <w:shd w:val="clear" w:color="auto" w:fill="auto"/>
            <w:vAlign w:val="center"/>
          </w:tcPr>
          <w:p w14:paraId="0A59C1A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7.5</w:t>
            </w:r>
          </w:p>
        </w:tc>
        <w:tc>
          <w:tcPr>
            <w:tcW w:w="639" w:type="pct"/>
            <w:shd w:val="clear" w:color="auto" w:fill="auto"/>
            <w:vAlign w:val="center"/>
          </w:tcPr>
          <w:p w14:paraId="7620B6E8">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7.3</w:t>
            </w:r>
          </w:p>
        </w:tc>
        <w:tc>
          <w:tcPr>
            <w:tcW w:w="639" w:type="pct"/>
            <w:shd w:val="clear" w:color="auto" w:fill="auto"/>
            <w:vAlign w:val="center"/>
          </w:tcPr>
          <w:p w14:paraId="251B84D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7.5</w:t>
            </w:r>
          </w:p>
        </w:tc>
        <w:tc>
          <w:tcPr>
            <w:tcW w:w="639" w:type="pct"/>
            <w:shd w:val="clear" w:color="auto" w:fill="auto"/>
            <w:vAlign w:val="center"/>
          </w:tcPr>
          <w:p w14:paraId="192E4EE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7.3</w:t>
            </w:r>
          </w:p>
        </w:tc>
        <w:tc>
          <w:tcPr>
            <w:tcW w:w="639" w:type="pct"/>
            <w:shd w:val="clear" w:color="auto" w:fill="auto"/>
            <w:vAlign w:val="center"/>
          </w:tcPr>
          <w:p w14:paraId="4945A03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6.5~8.5</w:t>
            </w:r>
          </w:p>
        </w:tc>
        <w:tc>
          <w:tcPr>
            <w:tcW w:w="526" w:type="pct"/>
            <w:shd w:val="clear" w:color="auto" w:fill="auto"/>
            <w:vAlign w:val="center"/>
          </w:tcPr>
          <w:p w14:paraId="02A3249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无量纲</w:t>
            </w:r>
          </w:p>
        </w:tc>
      </w:tr>
      <w:tr w14:paraId="74F20A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2654EC5B">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氨氮</w:t>
            </w:r>
          </w:p>
        </w:tc>
        <w:tc>
          <w:tcPr>
            <w:tcW w:w="639" w:type="pct"/>
            <w:shd w:val="clear" w:color="auto" w:fill="auto"/>
            <w:vAlign w:val="center"/>
          </w:tcPr>
          <w:p w14:paraId="4E8451D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0.257</w:t>
            </w:r>
          </w:p>
        </w:tc>
        <w:tc>
          <w:tcPr>
            <w:tcW w:w="639" w:type="pct"/>
            <w:shd w:val="clear" w:color="auto" w:fill="auto"/>
            <w:vAlign w:val="center"/>
          </w:tcPr>
          <w:p w14:paraId="27146925">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0.326</w:t>
            </w:r>
          </w:p>
        </w:tc>
        <w:tc>
          <w:tcPr>
            <w:tcW w:w="639" w:type="pct"/>
            <w:shd w:val="clear" w:color="auto" w:fill="auto"/>
            <w:vAlign w:val="center"/>
          </w:tcPr>
          <w:p w14:paraId="33D4498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0.281</w:t>
            </w:r>
          </w:p>
        </w:tc>
        <w:tc>
          <w:tcPr>
            <w:tcW w:w="639" w:type="pct"/>
            <w:shd w:val="clear" w:color="auto" w:fill="auto"/>
            <w:vAlign w:val="center"/>
          </w:tcPr>
          <w:p w14:paraId="44E173FB">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0.251</w:t>
            </w:r>
          </w:p>
        </w:tc>
        <w:tc>
          <w:tcPr>
            <w:tcW w:w="639" w:type="pct"/>
            <w:shd w:val="clear" w:color="auto" w:fill="auto"/>
            <w:vAlign w:val="center"/>
          </w:tcPr>
          <w:p w14:paraId="4182135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0.246</w:t>
            </w:r>
          </w:p>
        </w:tc>
        <w:tc>
          <w:tcPr>
            <w:tcW w:w="639" w:type="pct"/>
            <w:shd w:val="clear" w:color="auto" w:fill="auto"/>
            <w:vAlign w:val="center"/>
          </w:tcPr>
          <w:p w14:paraId="19E14D5B">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0.50</w:t>
            </w:r>
          </w:p>
        </w:tc>
        <w:tc>
          <w:tcPr>
            <w:tcW w:w="526" w:type="pct"/>
            <w:shd w:val="clear" w:color="auto" w:fill="auto"/>
            <w:vAlign w:val="center"/>
          </w:tcPr>
          <w:p w14:paraId="6698908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635662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2DE150B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砷</w:t>
            </w:r>
          </w:p>
        </w:tc>
        <w:tc>
          <w:tcPr>
            <w:tcW w:w="639" w:type="pct"/>
            <w:shd w:val="clear" w:color="auto" w:fill="auto"/>
            <w:vAlign w:val="center"/>
          </w:tcPr>
          <w:p w14:paraId="2DC148B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 xml:space="preserve">0.0003L </w:t>
            </w:r>
          </w:p>
        </w:tc>
        <w:tc>
          <w:tcPr>
            <w:tcW w:w="639" w:type="pct"/>
            <w:shd w:val="clear" w:color="auto" w:fill="auto"/>
            <w:vAlign w:val="center"/>
          </w:tcPr>
          <w:p w14:paraId="2399FDB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0.0003L</w:t>
            </w:r>
          </w:p>
        </w:tc>
        <w:tc>
          <w:tcPr>
            <w:tcW w:w="639" w:type="pct"/>
            <w:shd w:val="clear" w:color="auto" w:fill="auto"/>
            <w:vAlign w:val="center"/>
          </w:tcPr>
          <w:p w14:paraId="5319DE5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0.0003L</w:t>
            </w:r>
          </w:p>
        </w:tc>
        <w:tc>
          <w:tcPr>
            <w:tcW w:w="639" w:type="pct"/>
            <w:shd w:val="clear" w:color="auto" w:fill="auto"/>
            <w:vAlign w:val="center"/>
          </w:tcPr>
          <w:p w14:paraId="2167EE8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0.0003L</w:t>
            </w:r>
          </w:p>
        </w:tc>
        <w:tc>
          <w:tcPr>
            <w:tcW w:w="639" w:type="pct"/>
            <w:shd w:val="clear" w:color="auto" w:fill="auto"/>
            <w:vAlign w:val="center"/>
          </w:tcPr>
          <w:p w14:paraId="7E603C10">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0.0003L</w:t>
            </w:r>
          </w:p>
        </w:tc>
        <w:tc>
          <w:tcPr>
            <w:tcW w:w="639" w:type="pct"/>
            <w:shd w:val="clear" w:color="auto" w:fill="auto"/>
            <w:vAlign w:val="center"/>
          </w:tcPr>
          <w:p w14:paraId="79AFC73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0.01</w:t>
            </w:r>
          </w:p>
        </w:tc>
        <w:tc>
          <w:tcPr>
            <w:tcW w:w="526" w:type="pct"/>
            <w:shd w:val="clear" w:color="auto" w:fill="auto"/>
            <w:vAlign w:val="center"/>
          </w:tcPr>
          <w:p w14:paraId="4085744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468BDD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6081963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汞</w:t>
            </w:r>
          </w:p>
        </w:tc>
        <w:tc>
          <w:tcPr>
            <w:tcW w:w="639" w:type="pct"/>
            <w:shd w:val="clear" w:color="auto" w:fill="auto"/>
            <w:vAlign w:val="center"/>
          </w:tcPr>
          <w:p w14:paraId="6558CD9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0.00004L</w:t>
            </w:r>
          </w:p>
        </w:tc>
        <w:tc>
          <w:tcPr>
            <w:tcW w:w="639" w:type="pct"/>
            <w:shd w:val="clear" w:color="auto" w:fill="auto"/>
            <w:vAlign w:val="center"/>
          </w:tcPr>
          <w:p w14:paraId="259D6D2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0.00004L</w:t>
            </w:r>
          </w:p>
        </w:tc>
        <w:tc>
          <w:tcPr>
            <w:tcW w:w="639" w:type="pct"/>
            <w:shd w:val="clear" w:color="auto" w:fill="auto"/>
            <w:vAlign w:val="center"/>
          </w:tcPr>
          <w:p w14:paraId="650F6E9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0.00004L</w:t>
            </w:r>
          </w:p>
        </w:tc>
        <w:tc>
          <w:tcPr>
            <w:tcW w:w="639" w:type="pct"/>
            <w:shd w:val="clear" w:color="auto" w:fill="auto"/>
            <w:vAlign w:val="center"/>
          </w:tcPr>
          <w:p w14:paraId="7715670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0.00004L</w:t>
            </w:r>
          </w:p>
        </w:tc>
        <w:tc>
          <w:tcPr>
            <w:tcW w:w="639" w:type="pct"/>
            <w:shd w:val="clear" w:color="auto" w:fill="auto"/>
            <w:vAlign w:val="center"/>
          </w:tcPr>
          <w:p w14:paraId="79ED23B0">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0.00004L</w:t>
            </w:r>
          </w:p>
        </w:tc>
        <w:tc>
          <w:tcPr>
            <w:tcW w:w="639" w:type="pct"/>
            <w:shd w:val="clear" w:color="auto" w:fill="auto"/>
            <w:vAlign w:val="center"/>
          </w:tcPr>
          <w:p w14:paraId="55E4EEC0">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0.001</w:t>
            </w:r>
          </w:p>
        </w:tc>
        <w:tc>
          <w:tcPr>
            <w:tcW w:w="526" w:type="pct"/>
            <w:shd w:val="clear" w:color="auto" w:fill="auto"/>
            <w:vAlign w:val="center"/>
          </w:tcPr>
          <w:p w14:paraId="2782D19B">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20ACA7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11F5479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铬（六价）</w:t>
            </w:r>
          </w:p>
        </w:tc>
        <w:tc>
          <w:tcPr>
            <w:tcW w:w="639" w:type="pct"/>
            <w:shd w:val="clear" w:color="auto" w:fill="auto"/>
            <w:vAlign w:val="center"/>
          </w:tcPr>
          <w:p w14:paraId="5A46B7E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0.004L</w:t>
            </w:r>
          </w:p>
        </w:tc>
        <w:tc>
          <w:tcPr>
            <w:tcW w:w="639" w:type="pct"/>
            <w:shd w:val="clear" w:color="auto" w:fill="auto"/>
            <w:vAlign w:val="center"/>
          </w:tcPr>
          <w:p w14:paraId="1CF6834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0.004L</w:t>
            </w:r>
          </w:p>
        </w:tc>
        <w:tc>
          <w:tcPr>
            <w:tcW w:w="639" w:type="pct"/>
            <w:shd w:val="clear" w:color="auto" w:fill="auto"/>
            <w:vAlign w:val="center"/>
          </w:tcPr>
          <w:p w14:paraId="793117E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0.004L</w:t>
            </w:r>
          </w:p>
        </w:tc>
        <w:tc>
          <w:tcPr>
            <w:tcW w:w="639" w:type="pct"/>
            <w:shd w:val="clear" w:color="auto" w:fill="auto"/>
            <w:vAlign w:val="center"/>
          </w:tcPr>
          <w:p w14:paraId="7AE5A6C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0.004L</w:t>
            </w:r>
          </w:p>
        </w:tc>
        <w:tc>
          <w:tcPr>
            <w:tcW w:w="639" w:type="pct"/>
            <w:shd w:val="clear" w:color="auto" w:fill="auto"/>
            <w:vAlign w:val="center"/>
          </w:tcPr>
          <w:p w14:paraId="1DE5AD6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0.004L</w:t>
            </w:r>
          </w:p>
        </w:tc>
        <w:tc>
          <w:tcPr>
            <w:tcW w:w="639" w:type="pct"/>
            <w:shd w:val="clear" w:color="auto" w:fill="auto"/>
            <w:vAlign w:val="center"/>
          </w:tcPr>
          <w:p w14:paraId="330CA32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w:t>
            </w:r>
          </w:p>
        </w:tc>
        <w:tc>
          <w:tcPr>
            <w:tcW w:w="526" w:type="pct"/>
            <w:shd w:val="clear" w:color="auto" w:fill="auto"/>
            <w:vAlign w:val="center"/>
          </w:tcPr>
          <w:p w14:paraId="0C1B2D3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53B5D3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6F6FC598">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氟</w:t>
            </w:r>
            <w:r>
              <w:rPr>
                <w:rFonts w:hint="default" w:ascii="Times New Roman" w:hAnsi="Times New Roman" w:eastAsia="宋体" w:cs="Times New Roman"/>
                <w:color w:val="auto"/>
                <w:sz w:val="21"/>
                <w:szCs w:val="21"/>
                <w:u w:val="none" w:color="auto"/>
                <w:lang w:eastAsia="zh-CN"/>
              </w:rPr>
              <w:t>化物</w:t>
            </w:r>
          </w:p>
        </w:tc>
        <w:tc>
          <w:tcPr>
            <w:tcW w:w="639" w:type="pct"/>
            <w:shd w:val="clear" w:color="auto" w:fill="auto"/>
            <w:vAlign w:val="center"/>
          </w:tcPr>
          <w:p w14:paraId="76295DA8">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0.006L</w:t>
            </w:r>
          </w:p>
        </w:tc>
        <w:tc>
          <w:tcPr>
            <w:tcW w:w="639" w:type="pct"/>
            <w:shd w:val="clear" w:color="auto" w:fill="auto"/>
            <w:vAlign w:val="center"/>
          </w:tcPr>
          <w:p w14:paraId="2243C7D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0.006L</w:t>
            </w:r>
          </w:p>
        </w:tc>
        <w:tc>
          <w:tcPr>
            <w:tcW w:w="639" w:type="pct"/>
            <w:shd w:val="clear" w:color="auto" w:fill="auto"/>
            <w:vAlign w:val="center"/>
          </w:tcPr>
          <w:p w14:paraId="5097062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0.376</w:t>
            </w:r>
          </w:p>
        </w:tc>
        <w:tc>
          <w:tcPr>
            <w:tcW w:w="639" w:type="pct"/>
            <w:shd w:val="clear" w:color="auto" w:fill="auto"/>
            <w:vAlign w:val="center"/>
          </w:tcPr>
          <w:p w14:paraId="2F8FE14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0.006L</w:t>
            </w:r>
          </w:p>
        </w:tc>
        <w:tc>
          <w:tcPr>
            <w:tcW w:w="639" w:type="pct"/>
            <w:shd w:val="clear" w:color="auto" w:fill="auto"/>
            <w:vAlign w:val="center"/>
          </w:tcPr>
          <w:p w14:paraId="617856C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0.006L</w:t>
            </w:r>
          </w:p>
        </w:tc>
        <w:tc>
          <w:tcPr>
            <w:tcW w:w="639" w:type="pct"/>
            <w:shd w:val="clear" w:color="auto" w:fill="auto"/>
            <w:vAlign w:val="center"/>
          </w:tcPr>
          <w:p w14:paraId="14F2C39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w:t>
            </w:r>
          </w:p>
        </w:tc>
        <w:tc>
          <w:tcPr>
            <w:tcW w:w="526" w:type="pct"/>
            <w:shd w:val="clear" w:color="auto" w:fill="auto"/>
            <w:vAlign w:val="center"/>
          </w:tcPr>
          <w:p w14:paraId="167F609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49EA09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50812FF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耗氧量</w:t>
            </w:r>
          </w:p>
        </w:tc>
        <w:tc>
          <w:tcPr>
            <w:tcW w:w="639" w:type="pct"/>
            <w:shd w:val="clear" w:color="auto" w:fill="auto"/>
            <w:vAlign w:val="center"/>
          </w:tcPr>
          <w:p w14:paraId="3257862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1.3</w:t>
            </w:r>
          </w:p>
        </w:tc>
        <w:tc>
          <w:tcPr>
            <w:tcW w:w="639" w:type="pct"/>
            <w:shd w:val="clear" w:color="auto" w:fill="auto"/>
            <w:vAlign w:val="center"/>
          </w:tcPr>
          <w:p w14:paraId="6554986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1.4</w:t>
            </w:r>
          </w:p>
        </w:tc>
        <w:tc>
          <w:tcPr>
            <w:tcW w:w="639" w:type="pct"/>
            <w:shd w:val="clear" w:color="auto" w:fill="auto"/>
            <w:vAlign w:val="center"/>
          </w:tcPr>
          <w:p w14:paraId="2992006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1.4</w:t>
            </w:r>
          </w:p>
        </w:tc>
        <w:tc>
          <w:tcPr>
            <w:tcW w:w="639" w:type="pct"/>
            <w:shd w:val="clear" w:color="auto" w:fill="auto"/>
            <w:vAlign w:val="center"/>
          </w:tcPr>
          <w:p w14:paraId="28B848A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1.5</w:t>
            </w:r>
          </w:p>
        </w:tc>
        <w:tc>
          <w:tcPr>
            <w:tcW w:w="639" w:type="pct"/>
            <w:shd w:val="clear" w:color="auto" w:fill="auto"/>
            <w:vAlign w:val="center"/>
          </w:tcPr>
          <w:p w14:paraId="4C75B29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1.4</w:t>
            </w:r>
          </w:p>
        </w:tc>
        <w:tc>
          <w:tcPr>
            <w:tcW w:w="639" w:type="pct"/>
            <w:shd w:val="clear" w:color="auto" w:fill="auto"/>
            <w:vAlign w:val="center"/>
          </w:tcPr>
          <w:p w14:paraId="1FC5A85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3.0</w:t>
            </w:r>
          </w:p>
        </w:tc>
        <w:tc>
          <w:tcPr>
            <w:tcW w:w="526" w:type="pct"/>
            <w:shd w:val="clear" w:color="auto" w:fill="auto"/>
            <w:vAlign w:val="center"/>
          </w:tcPr>
          <w:p w14:paraId="4AC8500B">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30AB1E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46FA83F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铜</w:t>
            </w:r>
          </w:p>
        </w:tc>
        <w:tc>
          <w:tcPr>
            <w:tcW w:w="639" w:type="pct"/>
            <w:shd w:val="clear" w:color="auto" w:fill="auto"/>
            <w:vAlign w:val="center"/>
          </w:tcPr>
          <w:p w14:paraId="6415964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59FDF26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0802DC6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4D8185A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76A5CE2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69889BC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w:t>
            </w:r>
          </w:p>
        </w:tc>
        <w:tc>
          <w:tcPr>
            <w:tcW w:w="526" w:type="pct"/>
            <w:shd w:val="clear" w:color="auto" w:fill="auto"/>
            <w:vAlign w:val="center"/>
          </w:tcPr>
          <w:p w14:paraId="6164DE9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4F53C4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438978A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锌</w:t>
            </w:r>
          </w:p>
        </w:tc>
        <w:tc>
          <w:tcPr>
            <w:tcW w:w="639" w:type="pct"/>
            <w:shd w:val="clear" w:color="auto" w:fill="auto"/>
            <w:vAlign w:val="center"/>
          </w:tcPr>
          <w:p w14:paraId="4EA054F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7824EDB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05C9E158">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4C9748B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65B67ED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0.05L</w:t>
            </w:r>
          </w:p>
        </w:tc>
        <w:tc>
          <w:tcPr>
            <w:tcW w:w="639" w:type="pct"/>
            <w:shd w:val="clear" w:color="auto" w:fill="auto"/>
            <w:vAlign w:val="center"/>
          </w:tcPr>
          <w:p w14:paraId="73ED15B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w:t>
            </w:r>
          </w:p>
        </w:tc>
        <w:tc>
          <w:tcPr>
            <w:tcW w:w="526" w:type="pct"/>
            <w:shd w:val="clear" w:color="auto" w:fill="auto"/>
            <w:vAlign w:val="center"/>
          </w:tcPr>
          <w:p w14:paraId="187F6E8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20F588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277EEC7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石油类</w:t>
            </w:r>
          </w:p>
        </w:tc>
        <w:tc>
          <w:tcPr>
            <w:tcW w:w="639" w:type="pct"/>
            <w:shd w:val="clear" w:color="auto" w:fill="auto"/>
            <w:vAlign w:val="center"/>
          </w:tcPr>
          <w:p w14:paraId="0571DF4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0.03</w:t>
            </w:r>
          </w:p>
        </w:tc>
        <w:tc>
          <w:tcPr>
            <w:tcW w:w="639" w:type="pct"/>
            <w:shd w:val="clear" w:color="auto" w:fill="auto"/>
            <w:vAlign w:val="center"/>
          </w:tcPr>
          <w:p w14:paraId="633EB49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0.03</w:t>
            </w:r>
          </w:p>
        </w:tc>
        <w:tc>
          <w:tcPr>
            <w:tcW w:w="639" w:type="pct"/>
            <w:shd w:val="clear" w:color="auto" w:fill="auto"/>
            <w:vAlign w:val="center"/>
          </w:tcPr>
          <w:p w14:paraId="0F385E8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0.04</w:t>
            </w:r>
          </w:p>
        </w:tc>
        <w:tc>
          <w:tcPr>
            <w:tcW w:w="639" w:type="pct"/>
            <w:shd w:val="clear" w:color="auto" w:fill="auto"/>
            <w:vAlign w:val="center"/>
          </w:tcPr>
          <w:p w14:paraId="4A74AD0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0.04</w:t>
            </w:r>
          </w:p>
        </w:tc>
        <w:tc>
          <w:tcPr>
            <w:tcW w:w="639" w:type="pct"/>
            <w:shd w:val="clear" w:color="auto" w:fill="auto"/>
            <w:vAlign w:val="center"/>
          </w:tcPr>
          <w:p w14:paraId="722AE45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0.05</w:t>
            </w:r>
          </w:p>
        </w:tc>
        <w:tc>
          <w:tcPr>
            <w:tcW w:w="639" w:type="pct"/>
            <w:shd w:val="clear" w:color="auto" w:fill="auto"/>
            <w:vAlign w:val="center"/>
          </w:tcPr>
          <w:p w14:paraId="3BE22E2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c>
          <w:tcPr>
            <w:tcW w:w="526" w:type="pct"/>
            <w:shd w:val="clear" w:color="auto" w:fill="auto"/>
            <w:vAlign w:val="center"/>
          </w:tcPr>
          <w:p w14:paraId="7C8AD370">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1CEF83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2C150DF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总大肠菌群</w:t>
            </w:r>
          </w:p>
        </w:tc>
        <w:tc>
          <w:tcPr>
            <w:tcW w:w="639" w:type="pct"/>
            <w:shd w:val="clear" w:color="auto" w:fill="auto"/>
            <w:vAlign w:val="center"/>
          </w:tcPr>
          <w:p w14:paraId="454085B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&lt;20</w:t>
            </w:r>
          </w:p>
        </w:tc>
        <w:tc>
          <w:tcPr>
            <w:tcW w:w="639" w:type="pct"/>
            <w:shd w:val="clear" w:color="auto" w:fill="auto"/>
            <w:vAlign w:val="center"/>
          </w:tcPr>
          <w:p w14:paraId="3F11E36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&lt;20</w:t>
            </w:r>
          </w:p>
        </w:tc>
        <w:tc>
          <w:tcPr>
            <w:tcW w:w="639" w:type="pct"/>
            <w:shd w:val="clear" w:color="auto" w:fill="auto"/>
            <w:vAlign w:val="center"/>
          </w:tcPr>
          <w:p w14:paraId="1782879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&lt;20</w:t>
            </w:r>
          </w:p>
        </w:tc>
        <w:tc>
          <w:tcPr>
            <w:tcW w:w="639" w:type="pct"/>
            <w:shd w:val="clear" w:color="auto" w:fill="auto"/>
            <w:vAlign w:val="center"/>
          </w:tcPr>
          <w:p w14:paraId="1378B4E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&lt;20</w:t>
            </w:r>
          </w:p>
        </w:tc>
        <w:tc>
          <w:tcPr>
            <w:tcW w:w="639" w:type="pct"/>
            <w:shd w:val="clear" w:color="auto" w:fill="auto"/>
            <w:vAlign w:val="center"/>
          </w:tcPr>
          <w:p w14:paraId="1247193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&lt;20</w:t>
            </w:r>
          </w:p>
        </w:tc>
        <w:tc>
          <w:tcPr>
            <w:tcW w:w="639" w:type="pct"/>
            <w:shd w:val="clear" w:color="auto" w:fill="auto"/>
            <w:vAlign w:val="center"/>
          </w:tcPr>
          <w:p w14:paraId="1A0FF9F5">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30</w:t>
            </w:r>
          </w:p>
        </w:tc>
        <w:tc>
          <w:tcPr>
            <w:tcW w:w="526" w:type="pct"/>
            <w:shd w:val="clear" w:color="auto" w:fill="auto"/>
            <w:vAlign w:val="center"/>
          </w:tcPr>
          <w:p w14:paraId="6D69C0C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MPN/L</w:t>
            </w:r>
          </w:p>
        </w:tc>
      </w:tr>
      <w:tr w14:paraId="172F11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7DE816D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K</w:t>
            </w:r>
            <w:r>
              <w:rPr>
                <w:rFonts w:hint="default" w:ascii="Times New Roman" w:hAnsi="Times New Roman" w:eastAsia="宋体" w:cs="Times New Roman"/>
                <w:color w:val="auto"/>
                <w:sz w:val="21"/>
                <w:szCs w:val="21"/>
                <w:u w:val="none" w:color="auto"/>
                <w:vertAlign w:val="superscript"/>
                <w:lang w:val="en-US" w:eastAsia="zh-CN"/>
              </w:rPr>
              <w:t>+</w:t>
            </w:r>
          </w:p>
        </w:tc>
        <w:tc>
          <w:tcPr>
            <w:tcW w:w="639" w:type="pct"/>
            <w:shd w:val="clear" w:color="auto" w:fill="auto"/>
            <w:vAlign w:val="center"/>
          </w:tcPr>
          <w:p w14:paraId="05F4251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1.19</w:t>
            </w:r>
          </w:p>
        </w:tc>
        <w:tc>
          <w:tcPr>
            <w:tcW w:w="639" w:type="pct"/>
            <w:shd w:val="clear" w:color="auto" w:fill="auto"/>
            <w:vAlign w:val="center"/>
          </w:tcPr>
          <w:p w14:paraId="155EE0C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1.56</w:t>
            </w:r>
          </w:p>
        </w:tc>
        <w:tc>
          <w:tcPr>
            <w:tcW w:w="639" w:type="pct"/>
            <w:shd w:val="clear" w:color="auto" w:fill="auto"/>
            <w:vAlign w:val="center"/>
          </w:tcPr>
          <w:p w14:paraId="2F9D396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1.76</w:t>
            </w:r>
          </w:p>
        </w:tc>
        <w:tc>
          <w:tcPr>
            <w:tcW w:w="639" w:type="pct"/>
            <w:shd w:val="clear" w:color="auto" w:fill="auto"/>
            <w:vAlign w:val="center"/>
          </w:tcPr>
          <w:p w14:paraId="2E4928B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1.39</w:t>
            </w:r>
          </w:p>
        </w:tc>
        <w:tc>
          <w:tcPr>
            <w:tcW w:w="639" w:type="pct"/>
            <w:shd w:val="clear" w:color="auto" w:fill="auto"/>
            <w:vAlign w:val="center"/>
          </w:tcPr>
          <w:p w14:paraId="3442AB0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1.48</w:t>
            </w:r>
          </w:p>
        </w:tc>
        <w:tc>
          <w:tcPr>
            <w:tcW w:w="639" w:type="pct"/>
            <w:shd w:val="clear" w:color="auto" w:fill="auto"/>
            <w:vAlign w:val="center"/>
          </w:tcPr>
          <w:p w14:paraId="275EABE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c>
          <w:tcPr>
            <w:tcW w:w="526" w:type="pct"/>
            <w:shd w:val="clear" w:color="auto" w:fill="auto"/>
            <w:vAlign w:val="center"/>
          </w:tcPr>
          <w:p w14:paraId="0CA504E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4828DF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738058A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Na</w:t>
            </w:r>
            <w:r>
              <w:rPr>
                <w:rFonts w:hint="default" w:ascii="Times New Roman" w:hAnsi="Times New Roman" w:eastAsia="宋体" w:cs="Times New Roman"/>
                <w:color w:val="auto"/>
                <w:sz w:val="21"/>
                <w:szCs w:val="21"/>
                <w:u w:val="none" w:color="auto"/>
                <w:vertAlign w:val="superscript"/>
                <w:lang w:val="en-US" w:eastAsia="zh-CN"/>
              </w:rPr>
              <w:t>+</w:t>
            </w:r>
          </w:p>
        </w:tc>
        <w:tc>
          <w:tcPr>
            <w:tcW w:w="639" w:type="pct"/>
            <w:shd w:val="clear" w:color="auto" w:fill="auto"/>
            <w:vAlign w:val="center"/>
          </w:tcPr>
          <w:p w14:paraId="520C213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1.12</w:t>
            </w:r>
          </w:p>
        </w:tc>
        <w:tc>
          <w:tcPr>
            <w:tcW w:w="639" w:type="pct"/>
            <w:shd w:val="clear" w:color="auto" w:fill="auto"/>
            <w:vAlign w:val="center"/>
          </w:tcPr>
          <w:p w14:paraId="6856ADAB">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1.60</w:t>
            </w:r>
          </w:p>
        </w:tc>
        <w:tc>
          <w:tcPr>
            <w:tcW w:w="639" w:type="pct"/>
            <w:shd w:val="clear" w:color="auto" w:fill="auto"/>
            <w:vAlign w:val="center"/>
          </w:tcPr>
          <w:p w14:paraId="13EE884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1.44</w:t>
            </w:r>
          </w:p>
        </w:tc>
        <w:tc>
          <w:tcPr>
            <w:tcW w:w="639" w:type="pct"/>
            <w:shd w:val="clear" w:color="auto" w:fill="auto"/>
            <w:vAlign w:val="center"/>
          </w:tcPr>
          <w:p w14:paraId="1BD9EA64">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2.61</w:t>
            </w:r>
          </w:p>
        </w:tc>
        <w:tc>
          <w:tcPr>
            <w:tcW w:w="639" w:type="pct"/>
            <w:shd w:val="clear" w:color="auto" w:fill="auto"/>
            <w:vAlign w:val="center"/>
          </w:tcPr>
          <w:p w14:paraId="3CFBCB3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2.55</w:t>
            </w:r>
          </w:p>
        </w:tc>
        <w:tc>
          <w:tcPr>
            <w:tcW w:w="639" w:type="pct"/>
            <w:shd w:val="clear" w:color="auto" w:fill="auto"/>
            <w:vAlign w:val="center"/>
          </w:tcPr>
          <w:p w14:paraId="75BA00EB">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200</w:t>
            </w:r>
          </w:p>
        </w:tc>
        <w:tc>
          <w:tcPr>
            <w:tcW w:w="526" w:type="pct"/>
            <w:shd w:val="clear" w:color="auto" w:fill="auto"/>
            <w:vAlign w:val="center"/>
          </w:tcPr>
          <w:p w14:paraId="3F14331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73063E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1743B5C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CA</w:t>
            </w:r>
            <w:r>
              <w:rPr>
                <w:rFonts w:hint="default" w:ascii="Times New Roman" w:hAnsi="Times New Roman" w:eastAsia="宋体" w:cs="Times New Roman"/>
                <w:color w:val="auto"/>
                <w:sz w:val="21"/>
                <w:szCs w:val="21"/>
                <w:u w:val="none" w:color="auto"/>
                <w:vertAlign w:val="superscript"/>
                <w:lang w:val="en-US" w:eastAsia="zh-CN"/>
              </w:rPr>
              <w:t>2+</w:t>
            </w:r>
          </w:p>
        </w:tc>
        <w:tc>
          <w:tcPr>
            <w:tcW w:w="639" w:type="pct"/>
            <w:shd w:val="clear" w:color="auto" w:fill="auto"/>
            <w:vAlign w:val="center"/>
          </w:tcPr>
          <w:p w14:paraId="401348B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24.7</w:t>
            </w:r>
          </w:p>
        </w:tc>
        <w:tc>
          <w:tcPr>
            <w:tcW w:w="639" w:type="pct"/>
            <w:shd w:val="clear" w:color="auto" w:fill="auto"/>
            <w:vAlign w:val="center"/>
          </w:tcPr>
          <w:p w14:paraId="188E2E5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26.2</w:t>
            </w:r>
          </w:p>
        </w:tc>
        <w:tc>
          <w:tcPr>
            <w:tcW w:w="639" w:type="pct"/>
            <w:shd w:val="clear" w:color="auto" w:fill="auto"/>
            <w:vAlign w:val="center"/>
          </w:tcPr>
          <w:p w14:paraId="4694B8B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40.7</w:t>
            </w:r>
          </w:p>
        </w:tc>
        <w:tc>
          <w:tcPr>
            <w:tcW w:w="639" w:type="pct"/>
            <w:shd w:val="clear" w:color="auto" w:fill="auto"/>
            <w:vAlign w:val="center"/>
          </w:tcPr>
          <w:p w14:paraId="0C901F30">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37.4</w:t>
            </w:r>
          </w:p>
        </w:tc>
        <w:tc>
          <w:tcPr>
            <w:tcW w:w="639" w:type="pct"/>
            <w:shd w:val="clear" w:color="auto" w:fill="auto"/>
            <w:vAlign w:val="center"/>
          </w:tcPr>
          <w:p w14:paraId="0D70F23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40.2</w:t>
            </w:r>
          </w:p>
        </w:tc>
        <w:tc>
          <w:tcPr>
            <w:tcW w:w="639" w:type="pct"/>
            <w:shd w:val="clear" w:color="auto" w:fill="auto"/>
            <w:vAlign w:val="center"/>
          </w:tcPr>
          <w:p w14:paraId="3C87E2D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c>
          <w:tcPr>
            <w:tcW w:w="526" w:type="pct"/>
            <w:shd w:val="clear" w:color="auto" w:fill="auto"/>
            <w:vAlign w:val="center"/>
          </w:tcPr>
          <w:p w14:paraId="0C67232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6B2C66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2E4D5A9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w:t>
            </w:r>
            <w:r>
              <w:rPr>
                <w:rFonts w:hint="default" w:ascii="Times New Roman" w:hAnsi="Times New Roman" w:eastAsia="宋体" w:cs="Times New Roman"/>
                <w:color w:val="auto"/>
                <w:sz w:val="21"/>
                <w:szCs w:val="21"/>
                <w:u w:val="none" w:color="auto"/>
                <w:vertAlign w:val="superscript"/>
                <w:lang w:val="en-US" w:eastAsia="zh-CN"/>
              </w:rPr>
              <w:t>2+</w:t>
            </w:r>
          </w:p>
        </w:tc>
        <w:tc>
          <w:tcPr>
            <w:tcW w:w="639" w:type="pct"/>
            <w:shd w:val="clear" w:color="auto" w:fill="auto"/>
            <w:vAlign w:val="center"/>
          </w:tcPr>
          <w:p w14:paraId="6315E585">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4.05</w:t>
            </w:r>
          </w:p>
        </w:tc>
        <w:tc>
          <w:tcPr>
            <w:tcW w:w="639" w:type="pct"/>
            <w:shd w:val="clear" w:color="auto" w:fill="auto"/>
            <w:vAlign w:val="center"/>
          </w:tcPr>
          <w:p w14:paraId="33D83B37">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4.26</w:t>
            </w:r>
          </w:p>
        </w:tc>
        <w:tc>
          <w:tcPr>
            <w:tcW w:w="639" w:type="pct"/>
            <w:shd w:val="clear" w:color="auto" w:fill="auto"/>
            <w:vAlign w:val="center"/>
          </w:tcPr>
          <w:p w14:paraId="1AFF053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4.84</w:t>
            </w:r>
          </w:p>
        </w:tc>
        <w:tc>
          <w:tcPr>
            <w:tcW w:w="639" w:type="pct"/>
            <w:shd w:val="clear" w:color="auto" w:fill="auto"/>
            <w:vAlign w:val="center"/>
          </w:tcPr>
          <w:p w14:paraId="1C27AB61">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3.89</w:t>
            </w:r>
          </w:p>
        </w:tc>
        <w:tc>
          <w:tcPr>
            <w:tcW w:w="639" w:type="pct"/>
            <w:shd w:val="clear" w:color="auto" w:fill="auto"/>
            <w:vAlign w:val="center"/>
          </w:tcPr>
          <w:p w14:paraId="1B094AE0">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4.06</w:t>
            </w:r>
          </w:p>
        </w:tc>
        <w:tc>
          <w:tcPr>
            <w:tcW w:w="639" w:type="pct"/>
            <w:shd w:val="clear" w:color="auto" w:fill="auto"/>
            <w:vAlign w:val="center"/>
          </w:tcPr>
          <w:p w14:paraId="6D03BD3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c>
          <w:tcPr>
            <w:tcW w:w="526" w:type="pct"/>
            <w:shd w:val="clear" w:color="auto" w:fill="auto"/>
            <w:vAlign w:val="center"/>
          </w:tcPr>
          <w:p w14:paraId="49E156A8">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6C7510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039DA4C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CO</w:t>
            </w:r>
            <w:r>
              <w:rPr>
                <w:rFonts w:hint="default" w:ascii="Times New Roman" w:hAnsi="Times New Roman" w:eastAsia="宋体" w:cs="Times New Roman"/>
                <w:color w:val="auto"/>
                <w:sz w:val="21"/>
                <w:szCs w:val="21"/>
                <w:u w:val="none" w:color="auto"/>
                <w:vertAlign w:val="subscript"/>
                <w:lang w:val="en-US" w:eastAsia="zh-CN"/>
              </w:rPr>
              <w:t>3</w:t>
            </w:r>
            <w:r>
              <w:rPr>
                <w:rFonts w:hint="default" w:ascii="Times New Roman" w:hAnsi="Times New Roman" w:eastAsia="宋体" w:cs="Times New Roman"/>
                <w:color w:val="auto"/>
                <w:sz w:val="21"/>
                <w:szCs w:val="21"/>
                <w:u w:val="none" w:color="auto"/>
                <w:vertAlign w:val="superscript"/>
                <w:lang w:val="en-US" w:eastAsia="zh-CN"/>
              </w:rPr>
              <w:t>2-</w:t>
            </w:r>
          </w:p>
        </w:tc>
        <w:tc>
          <w:tcPr>
            <w:tcW w:w="639" w:type="pct"/>
            <w:shd w:val="clear" w:color="auto" w:fill="auto"/>
            <w:vAlign w:val="center"/>
          </w:tcPr>
          <w:p w14:paraId="3A0E0605">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ND</w:t>
            </w:r>
          </w:p>
        </w:tc>
        <w:tc>
          <w:tcPr>
            <w:tcW w:w="639" w:type="pct"/>
            <w:shd w:val="clear" w:color="auto" w:fill="auto"/>
            <w:vAlign w:val="center"/>
          </w:tcPr>
          <w:p w14:paraId="4BC6C48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ND</w:t>
            </w:r>
          </w:p>
        </w:tc>
        <w:tc>
          <w:tcPr>
            <w:tcW w:w="639" w:type="pct"/>
            <w:shd w:val="clear" w:color="auto" w:fill="auto"/>
            <w:vAlign w:val="center"/>
          </w:tcPr>
          <w:p w14:paraId="7EB34A7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ND</w:t>
            </w:r>
          </w:p>
        </w:tc>
        <w:tc>
          <w:tcPr>
            <w:tcW w:w="639" w:type="pct"/>
            <w:shd w:val="clear" w:color="auto" w:fill="auto"/>
            <w:vAlign w:val="center"/>
          </w:tcPr>
          <w:p w14:paraId="5054FD8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ND</w:t>
            </w:r>
          </w:p>
        </w:tc>
        <w:tc>
          <w:tcPr>
            <w:tcW w:w="639" w:type="pct"/>
            <w:shd w:val="clear" w:color="auto" w:fill="auto"/>
            <w:vAlign w:val="center"/>
          </w:tcPr>
          <w:p w14:paraId="647427F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ND</w:t>
            </w:r>
          </w:p>
        </w:tc>
        <w:tc>
          <w:tcPr>
            <w:tcW w:w="639" w:type="pct"/>
            <w:shd w:val="clear" w:color="auto" w:fill="auto"/>
            <w:vAlign w:val="center"/>
          </w:tcPr>
          <w:p w14:paraId="0E656A6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c>
          <w:tcPr>
            <w:tcW w:w="526" w:type="pct"/>
            <w:shd w:val="clear" w:color="auto" w:fill="auto"/>
            <w:vAlign w:val="center"/>
          </w:tcPr>
          <w:p w14:paraId="7BE9077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58B63C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31CADB9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HCO</w:t>
            </w:r>
            <w:r>
              <w:rPr>
                <w:rFonts w:hint="default" w:ascii="Times New Roman" w:hAnsi="Times New Roman" w:eastAsia="宋体" w:cs="Times New Roman"/>
                <w:color w:val="auto"/>
                <w:sz w:val="21"/>
                <w:szCs w:val="21"/>
                <w:u w:val="none" w:color="auto"/>
                <w:vertAlign w:val="subscript"/>
                <w:lang w:val="en-US" w:eastAsia="zh-CN"/>
              </w:rPr>
              <w:t>3</w:t>
            </w:r>
            <w:r>
              <w:rPr>
                <w:rFonts w:hint="default" w:ascii="Times New Roman" w:hAnsi="Times New Roman" w:eastAsia="宋体" w:cs="Times New Roman"/>
                <w:color w:val="auto"/>
                <w:sz w:val="21"/>
                <w:szCs w:val="21"/>
                <w:u w:val="none" w:color="auto"/>
                <w:vertAlign w:val="superscript"/>
                <w:lang w:val="en-US" w:eastAsia="zh-CN"/>
              </w:rPr>
              <w:t>-</w:t>
            </w:r>
          </w:p>
        </w:tc>
        <w:tc>
          <w:tcPr>
            <w:tcW w:w="639" w:type="pct"/>
            <w:shd w:val="clear" w:color="auto" w:fill="auto"/>
            <w:vAlign w:val="center"/>
          </w:tcPr>
          <w:p w14:paraId="098F26AB">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8.90</w:t>
            </w:r>
          </w:p>
        </w:tc>
        <w:tc>
          <w:tcPr>
            <w:tcW w:w="639" w:type="pct"/>
            <w:shd w:val="clear" w:color="auto" w:fill="auto"/>
            <w:vAlign w:val="center"/>
          </w:tcPr>
          <w:p w14:paraId="09E0DB6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9.05</w:t>
            </w:r>
          </w:p>
        </w:tc>
        <w:tc>
          <w:tcPr>
            <w:tcW w:w="639" w:type="pct"/>
            <w:shd w:val="clear" w:color="auto" w:fill="auto"/>
            <w:vAlign w:val="center"/>
          </w:tcPr>
          <w:p w14:paraId="2707220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9.0</w:t>
            </w:r>
          </w:p>
        </w:tc>
        <w:tc>
          <w:tcPr>
            <w:tcW w:w="639" w:type="pct"/>
            <w:shd w:val="clear" w:color="auto" w:fill="auto"/>
            <w:vAlign w:val="center"/>
          </w:tcPr>
          <w:p w14:paraId="4C8DA0D0">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18.2</w:t>
            </w:r>
          </w:p>
        </w:tc>
        <w:tc>
          <w:tcPr>
            <w:tcW w:w="639" w:type="pct"/>
            <w:shd w:val="clear" w:color="auto" w:fill="auto"/>
            <w:vAlign w:val="center"/>
          </w:tcPr>
          <w:p w14:paraId="763AA42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18.3</w:t>
            </w:r>
          </w:p>
        </w:tc>
        <w:tc>
          <w:tcPr>
            <w:tcW w:w="639" w:type="pct"/>
            <w:shd w:val="clear" w:color="auto" w:fill="auto"/>
            <w:vAlign w:val="center"/>
          </w:tcPr>
          <w:p w14:paraId="343DF2A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p>
        </w:tc>
        <w:tc>
          <w:tcPr>
            <w:tcW w:w="526" w:type="pct"/>
            <w:shd w:val="clear" w:color="auto" w:fill="auto"/>
            <w:vAlign w:val="center"/>
          </w:tcPr>
          <w:p w14:paraId="616FB54C">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473EB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1F6B16A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Cl</w:t>
            </w:r>
            <w:r>
              <w:rPr>
                <w:rFonts w:hint="default" w:ascii="Times New Roman" w:hAnsi="Times New Roman" w:eastAsia="宋体" w:cs="Times New Roman"/>
                <w:color w:val="auto"/>
                <w:sz w:val="21"/>
                <w:szCs w:val="21"/>
                <w:u w:val="none" w:color="auto"/>
                <w:vertAlign w:val="superscript"/>
                <w:lang w:val="en-US" w:eastAsia="zh-CN"/>
              </w:rPr>
              <w:t>-</w:t>
            </w:r>
          </w:p>
        </w:tc>
        <w:tc>
          <w:tcPr>
            <w:tcW w:w="639" w:type="pct"/>
            <w:shd w:val="clear" w:color="auto" w:fill="auto"/>
            <w:vAlign w:val="center"/>
          </w:tcPr>
          <w:p w14:paraId="092AA00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37.2</w:t>
            </w:r>
          </w:p>
        </w:tc>
        <w:tc>
          <w:tcPr>
            <w:tcW w:w="639" w:type="pct"/>
            <w:shd w:val="clear" w:color="auto" w:fill="auto"/>
            <w:vAlign w:val="center"/>
          </w:tcPr>
          <w:p w14:paraId="10E606C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26.0</w:t>
            </w:r>
          </w:p>
        </w:tc>
        <w:tc>
          <w:tcPr>
            <w:tcW w:w="639" w:type="pct"/>
            <w:shd w:val="clear" w:color="auto" w:fill="auto"/>
            <w:vAlign w:val="center"/>
          </w:tcPr>
          <w:p w14:paraId="477DC12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41.6</w:t>
            </w:r>
          </w:p>
        </w:tc>
        <w:tc>
          <w:tcPr>
            <w:tcW w:w="639" w:type="pct"/>
            <w:shd w:val="clear" w:color="auto" w:fill="auto"/>
            <w:vAlign w:val="center"/>
          </w:tcPr>
          <w:p w14:paraId="7930782A">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34.8</w:t>
            </w:r>
          </w:p>
        </w:tc>
        <w:tc>
          <w:tcPr>
            <w:tcW w:w="639" w:type="pct"/>
            <w:shd w:val="clear" w:color="auto" w:fill="auto"/>
            <w:vAlign w:val="center"/>
          </w:tcPr>
          <w:p w14:paraId="3391454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33.6</w:t>
            </w:r>
          </w:p>
        </w:tc>
        <w:tc>
          <w:tcPr>
            <w:tcW w:w="639" w:type="pct"/>
            <w:shd w:val="clear" w:color="auto" w:fill="auto"/>
            <w:vAlign w:val="center"/>
          </w:tcPr>
          <w:p w14:paraId="6DF722F3">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250</w:t>
            </w:r>
          </w:p>
        </w:tc>
        <w:tc>
          <w:tcPr>
            <w:tcW w:w="526" w:type="pct"/>
            <w:shd w:val="clear" w:color="auto" w:fill="auto"/>
            <w:vAlign w:val="center"/>
          </w:tcPr>
          <w:p w14:paraId="10D6E5AE">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mg/L</w:t>
            </w:r>
          </w:p>
        </w:tc>
      </w:tr>
      <w:tr w14:paraId="78F13E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shd w:val="clear" w:color="auto" w:fill="auto"/>
            <w:vAlign w:val="center"/>
          </w:tcPr>
          <w:p w14:paraId="1ABD61C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SO</w:t>
            </w:r>
            <w:r>
              <w:rPr>
                <w:rFonts w:hint="default" w:ascii="Times New Roman" w:hAnsi="Times New Roman" w:eastAsia="宋体" w:cs="Times New Roman"/>
                <w:color w:val="auto"/>
                <w:sz w:val="21"/>
                <w:szCs w:val="21"/>
                <w:u w:val="none" w:color="auto"/>
                <w:vertAlign w:val="subscript"/>
                <w:lang w:val="en-US" w:eastAsia="zh-CN"/>
              </w:rPr>
              <w:t>4</w:t>
            </w:r>
            <w:r>
              <w:rPr>
                <w:rFonts w:hint="default" w:ascii="Times New Roman" w:hAnsi="Times New Roman" w:eastAsia="宋体" w:cs="Times New Roman"/>
                <w:color w:val="auto"/>
                <w:sz w:val="21"/>
                <w:szCs w:val="21"/>
                <w:u w:val="none" w:color="auto"/>
                <w:vertAlign w:val="superscript"/>
                <w:lang w:val="en-US" w:eastAsia="zh-CN"/>
              </w:rPr>
              <w:t>2-</w:t>
            </w:r>
          </w:p>
        </w:tc>
        <w:tc>
          <w:tcPr>
            <w:tcW w:w="639" w:type="pct"/>
            <w:shd w:val="clear" w:color="auto" w:fill="auto"/>
            <w:vAlign w:val="center"/>
          </w:tcPr>
          <w:p w14:paraId="2F6C96C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13.3</w:t>
            </w:r>
          </w:p>
        </w:tc>
        <w:tc>
          <w:tcPr>
            <w:tcW w:w="639" w:type="pct"/>
            <w:shd w:val="clear" w:color="auto" w:fill="auto"/>
            <w:vAlign w:val="center"/>
          </w:tcPr>
          <w:p w14:paraId="28305E1D">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31.4</w:t>
            </w:r>
          </w:p>
        </w:tc>
        <w:tc>
          <w:tcPr>
            <w:tcW w:w="639" w:type="pct"/>
            <w:shd w:val="clear" w:color="auto" w:fill="auto"/>
            <w:vAlign w:val="center"/>
          </w:tcPr>
          <w:p w14:paraId="76F392F2">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29.0</w:t>
            </w:r>
          </w:p>
        </w:tc>
        <w:tc>
          <w:tcPr>
            <w:tcW w:w="639" w:type="pct"/>
            <w:shd w:val="clear" w:color="auto" w:fill="auto"/>
            <w:vAlign w:val="center"/>
          </w:tcPr>
          <w:p w14:paraId="5ED9EF6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53.5</w:t>
            </w:r>
          </w:p>
        </w:tc>
        <w:tc>
          <w:tcPr>
            <w:tcW w:w="639" w:type="pct"/>
            <w:shd w:val="clear" w:color="auto" w:fill="auto"/>
            <w:vAlign w:val="center"/>
          </w:tcPr>
          <w:p w14:paraId="08584186">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38.1</w:t>
            </w:r>
          </w:p>
        </w:tc>
        <w:tc>
          <w:tcPr>
            <w:tcW w:w="639" w:type="pct"/>
            <w:shd w:val="clear" w:color="auto" w:fill="auto"/>
            <w:vAlign w:val="center"/>
          </w:tcPr>
          <w:p w14:paraId="32503629">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250</w:t>
            </w:r>
          </w:p>
        </w:tc>
        <w:tc>
          <w:tcPr>
            <w:tcW w:w="526" w:type="pct"/>
            <w:shd w:val="clear" w:color="auto" w:fill="auto"/>
            <w:vAlign w:val="center"/>
          </w:tcPr>
          <w:p w14:paraId="5E971A0F">
            <w:pPr>
              <w:pStyle w:val="79"/>
              <w:bidi w:val="0"/>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mg/L</w:t>
            </w:r>
          </w:p>
        </w:tc>
      </w:tr>
    </w:tbl>
    <w:p w14:paraId="68238CB7">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从上述表格监测数据可知，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引用周边</w:t>
      </w:r>
      <w:r>
        <w:rPr>
          <w:rFonts w:hint="default" w:ascii="Times New Roman" w:hAnsi="Times New Roman" w:eastAsia="宋体" w:cs="Times New Roman"/>
          <w:color w:val="000000" w:themeColor="text1"/>
          <w:u w:val="none" w:color="auto"/>
          <w14:textFill>
            <w14:solidFill>
              <w14:schemeClr w14:val="tx1"/>
            </w14:solidFill>
          </w14:textFill>
        </w:rPr>
        <w:t>地下水水质均能够达到《地下水质量标准》（GB/T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14848-2017）中Ⅲ类水质标准的限值，表明地下水水质状况良好。</w:t>
      </w:r>
    </w:p>
    <w:bookmarkEnd w:id="244"/>
    <w:p w14:paraId="2550D45A">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46" w:name="_Toc12067"/>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地下水环境</w:t>
      </w:r>
      <w:bookmarkEnd w:id="245"/>
      <w:r>
        <w:rPr>
          <w:rFonts w:hint="default" w:ascii="Times New Roman" w:hAnsi="Times New Roman" w:eastAsia="宋体" w:cs="Times New Roman"/>
          <w:color w:val="000000" w:themeColor="text1"/>
          <w:u w:val="none" w:color="auto"/>
          <w14:textFill>
            <w14:solidFill>
              <w14:schemeClr w14:val="tx1"/>
            </w14:solidFill>
          </w14:textFill>
        </w:rPr>
        <w:t>现状监测</w:t>
      </w:r>
      <w:bookmarkEnd w:id="246"/>
    </w:p>
    <w:p w14:paraId="28EF37B2">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（1）监测布点</w:t>
      </w:r>
    </w:p>
    <w:p w14:paraId="7C386793">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本项目地下水监测共布设1个监测点位，具体见下表所示。</w:t>
      </w:r>
    </w:p>
    <w:p w14:paraId="1AEA704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地下水监测点位及监测因子</w:t>
      </w:r>
    </w:p>
    <w:tbl>
      <w:tblPr>
        <w:tblStyle w:val="37"/>
        <w:tblW w:w="83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1"/>
        <w:gridCol w:w="2268"/>
        <w:gridCol w:w="5103"/>
      </w:tblGrid>
      <w:tr w14:paraId="493E27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1" w:type="dxa"/>
            <w:vAlign w:val="center"/>
          </w:tcPr>
          <w:p w14:paraId="2EE259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编号</w:t>
            </w:r>
          </w:p>
        </w:tc>
        <w:tc>
          <w:tcPr>
            <w:tcW w:w="2268" w:type="dxa"/>
            <w:vAlign w:val="center"/>
          </w:tcPr>
          <w:p w14:paraId="3CA324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监测点位</w:t>
            </w:r>
          </w:p>
        </w:tc>
        <w:tc>
          <w:tcPr>
            <w:tcW w:w="5103" w:type="dxa"/>
            <w:vAlign w:val="center"/>
          </w:tcPr>
          <w:p w14:paraId="59CDDA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监测因子</w:t>
            </w:r>
          </w:p>
        </w:tc>
      </w:tr>
      <w:tr w14:paraId="55D88B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1" w:type="dxa"/>
            <w:vAlign w:val="center"/>
          </w:tcPr>
          <w:p w14:paraId="7089C8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D1</w:t>
            </w:r>
          </w:p>
        </w:tc>
        <w:tc>
          <w:tcPr>
            <w:tcW w:w="2268" w:type="dxa"/>
            <w:vAlign w:val="center"/>
          </w:tcPr>
          <w:p w14:paraId="70D9E4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竹山里居民水井</w:t>
            </w:r>
          </w:p>
        </w:tc>
        <w:tc>
          <w:tcPr>
            <w:tcW w:w="5103" w:type="dxa"/>
            <w:vAlign w:val="center"/>
          </w:tcPr>
          <w:p w14:paraId="722378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K</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、Na</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、Ca</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、Mg</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、CO</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、HCO</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、Cl</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、SO</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、pH值、氨氮、硝酸盐、亚硝酸盐、挥发性酚类、砷、汞、铬</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六价</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、总硬度、铅、镉、溶解性总固体、高锰酸盐指数、总大肠菌群、细菌总数</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石油类</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同时记录水井的井深、水位。</w:t>
            </w:r>
          </w:p>
        </w:tc>
      </w:tr>
    </w:tbl>
    <w:p w14:paraId="72150D3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（2）监测时间、频次</w:t>
      </w:r>
    </w:p>
    <w:p w14:paraId="2CA88D8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监测时间为202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月</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日。</w:t>
      </w:r>
    </w:p>
    <w:p w14:paraId="594A8E2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（3）监测单位：</w:t>
      </w:r>
    </w:p>
    <w:p w14:paraId="1C3CF9D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湖南环景检测有限公司</w:t>
      </w:r>
    </w:p>
    <w:p w14:paraId="6A487382">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（4）监测时间及频次</w:t>
      </w:r>
    </w:p>
    <w:p w14:paraId="78841EFC">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监测1天，采样一次，同时记录水井的井深、水位。</w:t>
      </w:r>
    </w:p>
    <w:p w14:paraId="555527C9">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（5）评价标准</w:t>
      </w:r>
    </w:p>
    <w:p w14:paraId="3EE428BB">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执行《地下水质量标准》（GB/T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14848-2017）III类标准。</w:t>
      </w:r>
    </w:p>
    <w:p w14:paraId="51FB5830">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）监测结果及评价</w:t>
      </w:r>
    </w:p>
    <w:p w14:paraId="32730381">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根据现状监测结果，各监测点位均满足《地下水质量标准》（GB/T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14848-2017）III类标准。</w:t>
      </w:r>
    </w:p>
    <w:p w14:paraId="7B59C84A">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14:textFill>
            <w14:solidFill>
              <w14:schemeClr w14:val="tx1"/>
            </w14:solidFill>
          </w14:textFill>
        </w:rPr>
        <w:t xml:space="preserve">  地下水环境质量现状监测结果统计（mg/L）</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5"/>
        <w:gridCol w:w="2014"/>
        <w:gridCol w:w="1658"/>
        <w:gridCol w:w="1482"/>
        <w:gridCol w:w="1686"/>
      </w:tblGrid>
      <w:tr w14:paraId="43AC95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88" w:type="pct"/>
            <w:vAlign w:val="center"/>
          </w:tcPr>
          <w:p w14:paraId="3E65B4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p>
        </w:tc>
        <w:tc>
          <w:tcPr>
            <w:tcW w:w="1181" w:type="pct"/>
            <w:vAlign w:val="center"/>
          </w:tcPr>
          <w:p w14:paraId="5ECE1E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D1</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竹山里居民水井</w:t>
            </w:r>
          </w:p>
        </w:tc>
        <w:tc>
          <w:tcPr>
            <w:tcW w:w="972" w:type="pct"/>
            <w:vAlign w:val="center"/>
          </w:tcPr>
          <w:p w14:paraId="683E6A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标准值</w:t>
            </w:r>
          </w:p>
        </w:tc>
        <w:tc>
          <w:tcPr>
            <w:tcW w:w="869" w:type="pct"/>
            <w:shd w:val="clear" w:color="auto" w:fill="auto"/>
            <w:vAlign w:val="center"/>
          </w:tcPr>
          <w:p w14:paraId="32A50A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达标情况</w:t>
            </w:r>
          </w:p>
        </w:tc>
        <w:tc>
          <w:tcPr>
            <w:tcW w:w="988" w:type="pct"/>
            <w:shd w:val="clear" w:color="auto" w:fill="auto"/>
            <w:vAlign w:val="center"/>
          </w:tcPr>
          <w:p w14:paraId="7AC9FA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单位</w:t>
            </w:r>
          </w:p>
        </w:tc>
      </w:tr>
      <w:tr w14:paraId="4E519A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3910D1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埋深</w:t>
            </w:r>
          </w:p>
        </w:tc>
        <w:tc>
          <w:tcPr>
            <w:tcW w:w="1181" w:type="pct"/>
            <w:vAlign w:val="center"/>
          </w:tcPr>
          <w:p w14:paraId="7DF21A65">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3.6</w:t>
            </w:r>
          </w:p>
        </w:tc>
        <w:tc>
          <w:tcPr>
            <w:tcW w:w="972" w:type="pct"/>
            <w:shd w:val="clear" w:color="auto" w:fill="auto"/>
            <w:vAlign w:val="center"/>
          </w:tcPr>
          <w:p w14:paraId="4EE2C2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869" w:type="pct"/>
            <w:shd w:val="clear" w:color="auto" w:fill="auto"/>
            <w:vAlign w:val="center"/>
          </w:tcPr>
          <w:p w14:paraId="2DA685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665B97BC">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w:t>
            </w:r>
          </w:p>
        </w:tc>
      </w:tr>
      <w:tr w14:paraId="554E8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3DCBB0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pH值</w:t>
            </w:r>
          </w:p>
        </w:tc>
        <w:tc>
          <w:tcPr>
            <w:tcW w:w="1181" w:type="pct"/>
            <w:vAlign w:val="center"/>
          </w:tcPr>
          <w:p w14:paraId="4A3DF6A9">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7.11</w:t>
            </w:r>
          </w:p>
        </w:tc>
        <w:tc>
          <w:tcPr>
            <w:tcW w:w="972" w:type="pct"/>
            <w:shd w:val="clear" w:color="auto" w:fill="auto"/>
            <w:vAlign w:val="center"/>
          </w:tcPr>
          <w:p w14:paraId="07F997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6.5~8.5</w:t>
            </w:r>
          </w:p>
        </w:tc>
        <w:tc>
          <w:tcPr>
            <w:tcW w:w="869" w:type="pct"/>
            <w:shd w:val="clear" w:color="auto" w:fill="auto"/>
            <w:vAlign w:val="center"/>
          </w:tcPr>
          <w:p w14:paraId="6B5B4D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606657C3">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无量纲</w:t>
            </w:r>
          </w:p>
        </w:tc>
      </w:tr>
      <w:tr w14:paraId="231A9B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18A0E1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1181" w:type="pct"/>
            <w:vAlign w:val="center"/>
          </w:tcPr>
          <w:p w14:paraId="6F00FABB">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0.090</w:t>
            </w:r>
          </w:p>
        </w:tc>
        <w:tc>
          <w:tcPr>
            <w:tcW w:w="972" w:type="pct"/>
            <w:shd w:val="clear" w:color="auto" w:fill="auto"/>
            <w:vAlign w:val="center"/>
          </w:tcPr>
          <w:p w14:paraId="36C6F5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0.50</w:t>
            </w:r>
          </w:p>
        </w:tc>
        <w:tc>
          <w:tcPr>
            <w:tcW w:w="869" w:type="pct"/>
            <w:shd w:val="clear" w:color="auto" w:fill="auto"/>
            <w:vAlign w:val="center"/>
          </w:tcPr>
          <w:p w14:paraId="5D29F7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42B616F1">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mg/L</w:t>
            </w:r>
          </w:p>
        </w:tc>
      </w:tr>
      <w:tr w14:paraId="7095FE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2C932A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硝酸盐</w:t>
            </w:r>
          </w:p>
        </w:tc>
        <w:tc>
          <w:tcPr>
            <w:tcW w:w="1181" w:type="pct"/>
            <w:vAlign w:val="center"/>
          </w:tcPr>
          <w:p w14:paraId="24CF31D3">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0.21</w:t>
            </w:r>
          </w:p>
        </w:tc>
        <w:tc>
          <w:tcPr>
            <w:tcW w:w="972" w:type="pct"/>
            <w:shd w:val="clear" w:color="auto" w:fill="auto"/>
            <w:vAlign w:val="center"/>
          </w:tcPr>
          <w:p w14:paraId="0B0007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20.0</w:t>
            </w:r>
          </w:p>
        </w:tc>
        <w:tc>
          <w:tcPr>
            <w:tcW w:w="869" w:type="pct"/>
            <w:shd w:val="clear" w:color="auto" w:fill="auto"/>
            <w:vAlign w:val="center"/>
          </w:tcPr>
          <w:p w14:paraId="4385A7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110D126A">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mg/L</w:t>
            </w:r>
          </w:p>
        </w:tc>
      </w:tr>
      <w:tr w14:paraId="6A28D1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2F605D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亚硝酸盐</w:t>
            </w:r>
          </w:p>
        </w:tc>
        <w:tc>
          <w:tcPr>
            <w:tcW w:w="1181" w:type="pct"/>
            <w:vAlign w:val="center"/>
          </w:tcPr>
          <w:p w14:paraId="1EE199DA">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0.38</w:t>
            </w:r>
          </w:p>
        </w:tc>
        <w:tc>
          <w:tcPr>
            <w:tcW w:w="972" w:type="pct"/>
            <w:shd w:val="clear" w:color="auto" w:fill="auto"/>
            <w:vAlign w:val="center"/>
          </w:tcPr>
          <w:p w14:paraId="62FA82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1.00</w:t>
            </w:r>
          </w:p>
        </w:tc>
        <w:tc>
          <w:tcPr>
            <w:tcW w:w="869" w:type="pct"/>
            <w:shd w:val="clear" w:color="auto" w:fill="auto"/>
            <w:vAlign w:val="center"/>
          </w:tcPr>
          <w:p w14:paraId="75D597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6E783809">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mg/L</w:t>
            </w:r>
          </w:p>
        </w:tc>
      </w:tr>
      <w:tr w14:paraId="6C2FBF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0C4279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挥发性酚类</w:t>
            </w:r>
          </w:p>
        </w:tc>
        <w:tc>
          <w:tcPr>
            <w:tcW w:w="1181" w:type="pct"/>
            <w:vAlign w:val="center"/>
          </w:tcPr>
          <w:p w14:paraId="6D3B6156">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0.0009</w:t>
            </w:r>
          </w:p>
        </w:tc>
        <w:tc>
          <w:tcPr>
            <w:tcW w:w="972" w:type="pct"/>
            <w:shd w:val="clear" w:color="auto" w:fill="auto"/>
            <w:vAlign w:val="center"/>
          </w:tcPr>
          <w:p w14:paraId="79EB09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0.002</w:t>
            </w:r>
          </w:p>
        </w:tc>
        <w:tc>
          <w:tcPr>
            <w:tcW w:w="869" w:type="pct"/>
            <w:shd w:val="clear" w:color="auto" w:fill="auto"/>
            <w:vAlign w:val="center"/>
          </w:tcPr>
          <w:p w14:paraId="12A759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7E59C647">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mg/L</w:t>
            </w:r>
          </w:p>
        </w:tc>
      </w:tr>
      <w:tr w14:paraId="05E9A8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5006A9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砷</w:t>
            </w:r>
          </w:p>
        </w:tc>
        <w:tc>
          <w:tcPr>
            <w:tcW w:w="1181" w:type="pct"/>
            <w:vAlign w:val="center"/>
          </w:tcPr>
          <w:p w14:paraId="2A8FBE19">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ND</w:t>
            </w:r>
          </w:p>
        </w:tc>
        <w:tc>
          <w:tcPr>
            <w:tcW w:w="972" w:type="pct"/>
            <w:shd w:val="clear" w:color="auto" w:fill="auto"/>
            <w:vAlign w:val="center"/>
          </w:tcPr>
          <w:p w14:paraId="73B13228">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0.01</w:t>
            </w:r>
          </w:p>
        </w:tc>
        <w:tc>
          <w:tcPr>
            <w:tcW w:w="869" w:type="pct"/>
            <w:shd w:val="clear" w:color="auto" w:fill="auto"/>
            <w:vAlign w:val="center"/>
          </w:tcPr>
          <w:p w14:paraId="4E489D0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41D9EA3F">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mg/L</w:t>
            </w:r>
          </w:p>
        </w:tc>
      </w:tr>
      <w:tr w14:paraId="320BDC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372F98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汞</w:t>
            </w:r>
          </w:p>
        </w:tc>
        <w:tc>
          <w:tcPr>
            <w:tcW w:w="1181" w:type="pct"/>
            <w:vAlign w:val="center"/>
          </w:tcPr>
          <w:p w14:paraId="3800A42D">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ND</w:t>
            </w:r>
          </w:p>
        </w:tc>
        <w:tc>
          <w:tcPr>
            <w:tcW w:w="972" w:type="pct"/>
            <w:shd w:val="clear" w:color="auto" w:fill="auto"/>
            <w:vAlign w:val="center"/>
          </w:tcPr>
          <w:p w14:paraId="1B75FB88">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0.001</w:t>
            </w:r>
          </w:p>
        </w:tc>
        <w:tc>
          <w:tcPr>
            <w:tcW w:w="869" w:type="pct"/>
            <w:shd w:val="clear" w:color="auto" w:fill="auto"/>
            <w:vAlign w:val="center"/>
          </w:tcPr>
          <w:p w14:paraId="3F6FD2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47AEF1F5">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mg/L</w:t>
            </w:r>
          </w:p>
        </w:tc>
      </w:tr>
      <w:tr w14:paraId="3A4FE8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4F0D7B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铬</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六价</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p>
        </w:tc>
        <w:tc>
          <w:tcPr>
            <w:tcW w:w="1181" w:type="pct"/>
            <w:vAlign w:val="center"/>
          </w:tcPr>
          <w:p w14:paraId="53577222">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ND</w:t>
            </w:r>
          </w:p>
        </w:tc>
        <w:tc>
          <w:tcPr>
            <w:tcW w:w="972" w:type="pct"/>
            <w:shd w:val="clear" w:color="auto" w:fill="auto"/>
            <w:vAlign w:val="center"/>
          </w:tcPr>
          <w:p w14:paraId="2C632A74">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0.05</w:t>
            </w:r>
          </w:p>
        </w:tc>
        <w:tc>
          <w:tcPr>
            <w:tcW w:w="869" w:type="pct"/>
            <w:shd w:val="clear" w:color="auto" w:fill="auto"/>
            <w:vAlign w:val="center"/>
          </w:tcPr>
          <w:p w14:paraId="072D3A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3FBA1651">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mg/L</w:t>
            </w:r>
          </w:p>
        </w:tc>
      </w:tr>
      <w:tr w14:paraId="21BE08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56B71B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总硬度</w:t>
            </w:r>
          </w:p>
        </w:tc>
        <w:tc>
          <w:tcPr>
            <w:tcW w:w="1181" w:type="pct"/>
            <w:vAlign w:val="center"/>
          </w:tcPr>
          <w:p w14:paraId="49A31EDA">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277</w:t>
            </w:r>
          </w:p>
        </w:tc>
        <w:tc>
          <w:tcPr>
            <w:tcW w:w="972" w:type="pct"/>
            <w:shd w:val="clear" w:color="auto" w:fill="auto"/>
            <w:vAlign w:val="center"/>
          </w:tcPr>
          <w:p w14:paraId="3AD16B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450</w:t>
            </w:r>
          </w:p>
        </w:tc>
        <w:tc>
          <w:tcPr>
            <w:tcW w:w="869" w:type="pct"/>
            <w:shd w:val="clear" w:color="auto" w:fill="auto"/>
            <w:vAlign w:val="center"/>
          </w:tcPr>
          <w:p w14:paraId="701268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34088B99">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mg/L</w:t>
            </w:r>
          </w:p>
        </w:tc>
      </w:tr>
      <w:tr w14:paraId="4F6F73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2953BF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铅</w:t>
            </w:r>
          </w:p>
        </w:tc>
        <w:tc>
          <w:tcPr>
            <w:tcW w:w="1181" w:type="pct"/>
            <w:vAlign w:val="center"/>
          </w:tcPr>
          <w:p w14:paraId="0CDC9334">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ND</w:t>
            </w:r>
          </w:p>
        </w:tc>
        <w:tc>
          <w:tcPr>
            <w:tcW w:w="972" w:type="pct"/>
            <w:shd w:val="clear" w:color="auto" w:fill="auto"/>
            <w:vAlign w:val="center"/>
          </w:tcPr>
          <w:p w14:paraId="567254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0.01</w:t>
            </w:r>
          </w:p>
        </w:tc>
        <w:tc>
          <w:tcPr>
            <w:tcW w:w="869" w:type="pct"/>
            <w:shd w:val="clear" w:color="auto" w:fill="auto"/>
            <w:vAlign w:val="center"/>
          </w:tcPr>
          <w:p w14:paraId="649EDD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13E0A103">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mg/L</w:t>
            </w:r>
          </w:p>
        </w:tc>
      </w:tr>
      <w:tr w14:paraId="275CDC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26FFAD4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镉</w:t>
            </w:r>
          </w:p>
        </w:tc>
        <w:tc>
          <w:tcPr>
            <w:tcW w:w="1181" w:type="pct"/>
            <w:vAlign w:val="center"/>
          </w:tcPr>
          <w:p w14:paraId="39A71465">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ND</w:t>
            </w:r>
          </w:p>
        </w:tc>
        <w:tc>
          <w:tcPr>
            <w:tcW w:w="972" w:type="pct"/>
            <w:shd w:val="clear" w:color="auto" w:fill="auto"/>
            <w:vAlign w:val="center"/>
          </w:tcPr>
          <w:p w14:paraId="7704F8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0.005</w:t>
            </w:r>
          </w:p>
        </w:tc>
        <w:tc>
          <w:tcPr>
            <w:tcW w:w="869" w:type="pct"/>
            <w:shd w:val="clear" w:color="auto" w:fill="auto"/>
            <w:vAlign w:val="center"/>
          </w:tcPr>
          <w:p w14:paraId="263BD4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44B38932">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mg/L</w:t>
            </w:r>
          </w:p>
        </w:tc>
      </w:tr>
      <w:tr w14:paraId="463132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2271E5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溶解性总固体</w:t>
            </w:r>
          </w:p>
        </w:tc>
        <w:tc>
          <w:tcPr>
            <w:tcW w:w="1181" w:type="pct"/>
            <w:vAlign w:val="center"/>
          </w:tcPr>
          <w:p w14:paraId="068CE306">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260</w:t>
            </w:r>
          </w:p>
        </w:tc>
        <w:tc>
          <w:tcPr>
            <w:tcW w:w="972" w:type="pct"/>
            <w:shd w:val="clear" w:color="auto" w:fill="auto"/>
            <w:vAlign w:val="center"/>
          </w:tcPr>
          <w:p w14:paraId="38D526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1000</w:t>
            </w:r>
          </w:p>
        </w:tc>
        <w:tc>
          <w:tcPr>
            <w:tcW w:w="869" w:type="pct"/>
            <w:shd w:val="clear" w:color="auto" w:fill="auto"/>
            <w:vAlign w:val="center"/>
          </w:tcPr>
          <w:p w14:paraId="034BF0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224D974E">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mg/L</w:t>
            </w:r>
          </w:p>
        </w:tc>
      </w:tr>
      <w:tr w14:paraId="6E08A6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6AB433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高锰酸盐指数</w:t>
            </w:r>
          </w:p>
        </w:tc>
        <w:tc>
          <w:tcPr>
            <w:tcW w:w="1181" w:type="pct"/>
            <w:vAlign w:val="center"/>
          </w:tcPr>
          <w:p w14:paraId="1E26075D">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1.77</w:t>
            </w:r>
          </w:p>
        </w:tc>
        <w:tc>
          <w:tcPr>
            <w:tcW w:w="972" w:type="pct"/>
            <w:shd w:val="clear" w:color="auto" w:fill="auto"/>
            <w:vAlign w:val="center"/>
          </w:tcPr>
          <w:p w14:paraId="07C630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3.0</w:t>
            </w:r>
          </w:p>
        </w:tc>
        <w:tc>
          <w:tcPr>
            <w:tcW w:w="869" w:type="pct"/>
            <w:shd w:val="clear" w:color="auto" w:fill="auto"/>
            <w:vAlign w:val="center"/>
          </w:tcPr>
          <w:p w14:paraId="2F85C1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65D1AC6E">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mg/L</w:t>
            </w:r>
          </w:p>
        </w:tc>
      </w:tr>
      <w:tr w14:paraId="222484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4CCD31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总大肠菌群</w:t>
            </w:r>
          </w:p>
        </w:tc>
        <w:tc>
          <w:tcPr>
            <w:tcW w:w="1181" w:type="pct"/>
            <w:vAlign w:val="center"/>
          </w:tcPr>
          <w:p w14:paraId="76F76707">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ND</w:t>
            </w:r>
          </w:p>
        </w:tc>
        <w:tc>
          <w:tcPr>
            <w:tcW w:w="972" w:type="pct"/>
            <w:shd w:val="clear" w:color="auto" w:fill="auto"/>
            <w:vAlign w:val="center"/>
          </w:tcPr>
          <w:p w14:paraId="02D824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3.0</w:t>
            </w:r>
          </w:p>
        </w:tc>
        <w:tc>
          <w:tcPr>
            <w:tcW w:w="869" w:type="pct"/>
            <w:shd w:val="clear" w:color="auto" w:fill="auto"/>
            <w:vAlign w:val="center"/>
          </w:tcPr>
          <w:p w14:paraId="5529A1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2ABA9468">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MPN/L</w:t>
            </w:r>
          </w:p>
        </w:tc>
      </w:tr>
      <w:tr w14:paraId="0C8367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vAlign w:val="center"/>
          </w:tcPr>
          <w:p w14:paraId="36D63BF1">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细菌总数</w:t>
            </w:r>
          </w:p>
        </w:tc>
        <w:tc>
          <w:tcPr>
            <w:tcW w:w="1181" w:type="pct"/>
            <w:vAlign w:val="center"/>
          </w:tcPr>
          <w:p w14:paraId="10972B88">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54</w:t>
            </w:r>
          </w:p>
        </w:tc>
        <w:tc>
          <w:tcPr>
            <w:tcW w:w="972" w:type="pct"/>
            <w:shd w:val="clear" w:color="auto" w:fill="auto"/>
            <w:vAlign w:val="center"/>
          </w:tcPr>
          <w:p w14:paraId="125A20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100</w:t>
            </w:r>
          </w:p>
        </w:tc>
        <w:tc>
          <w:tcPr>
            <w:tcW w:w="869" w:type="pct"/>
            <w:shd w:val="clear" w:color="auto" w:fill="auto"/>
            <w:vAlign w:val="center"/>
          </w:tcPr>
          <w:p w14:paraId="6732BB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29A0FDEB">
            <w:pPr>
              <w:pStyle w:val="79"/>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CFU/mL</w:t>
            </w:r>
          </w:p>
        </w:tc>
      </w:tr>
      <w:tr w14:paraId="01DDA9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12236AFD">
            <w:pPr>
              <w:pStyle w:val="79"/>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石油类</w:t>
            </w:r>
          </w:p>
        </w:tc>
        <w:tc>
          <w:tcPr>
            <w:tcW w:w="1181" w:type="pct"/>
            <w:shd w:val="clear" w:color="auto" w:fill="auto"/>
            <w:vAlign w:val="center"/>
          </w:tcPr>
          <w:p w14:paraId="69A819C3">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ND</w:t>
            </w:r>
          </w:p>
        </w:tc>
        <w:tc>
          <w:tcPr>
            <w:tcW w:w="972" w:type="pct"/>
            <w:shd w:val="clear" w:color="auto" w:fill="auto"/>
            <w:vAlign w:val="center"/>
          </w:tcPr>
          <w:p w14:paraId="3BF676AF">
            <w:pPr>
              <w:pStyle w:val="79"/>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869" w:type="pct"/>
            <w:shd w:val="clear" w:color="auto" w:fill="auto"/>
            <w:vAlign w:val="center"/>
          </w:tcPr>
          <w:p w14:paraId="759DFF7E">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988" w:type="pct"/>
            <w:shd w:val="clear" w:color="auto" w:fill="auto"/>
            <w:vAlign w:val="center"/>
          </w:tcPr>
          <w:p w14:paraId="100DD989">
            <w:pPr>
              <w:pStyle w:val="79"/>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0F1E7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5C758366">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K</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w:t>
            </w:r>
          </w:p>
        </w:tc>
        <w:tc>
          <w:tcPr>
            <w:tcW w:w="1181" w:type="pct"/>
            <w:vAlign w:val="center"/>
          </w:tcPr>
          <w:p w14:paraId="233ED3AC">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3.78</w:t>
            </w:r>
          </w:p>
        </w:tc>
        <w:tc>
          <w:tcPr>
            <w:tcW w:w="972" w:type="pct"/>
            <w:shd w:val="clear" w:color="auto" w:fill="auto"/>
            <w:vAlign w:val="center"/>
          </w:tcPr>
          <w:p w14:paraId="1CAEA597">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869" w:type="pct"/>
            <w:shd w:val="clear" w:color="auto" w:fill="auto"/>
            <w:vAlign w:val="center"/>
          </w:tcPr>
          <w:p w14:paraId="4FA90E8E">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988" w:type="pct"/>
            <w:shd w:val="clear" w:color="auto" w:fill="auto"/>
            <w:vAlign w:val="center"/>
          </w:tcPr>
          <w:p w14:paraId="6FCC5D3D">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3837D9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4956F183">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Na</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w:t>
            </w:r>
          </w:p>
        </w:tc>
        <w:tc>
          <w:tcPr>
            <w:tcW w:w="1181" w:type="pct"/>
            <w:vAlign w:val="center"/>
          </w:tcPr>
          <w:p w14:paraId="277BFED7">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18.0</w:t>
            </w:r>
          </w:p>
        </w:tc>
        <w:tc>
          <w:tcPr>
            <w:tcW w:w="972" w:type="pct"/>
            <w:shd w:val="clear" w:color="auto" w:fill="auto"/>
            <w:vAlign w:val="center"/>
          </w:tcPr>
          <w:p w14:paraId="728DFB66">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200</w:t>
            </w:r>
          </w:p>
        </w:tc>
        <w:tc>
          <w:tcPr>
            <w:tcW w:w="869" w:type="pct"/>
            <w:shd w:val="clear" w:color="auto" w:fill="auto"/>
            <w:vAlign w:val="center"/>
          </w:tcPr>
          <w:p w14:paraId="5FF890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67E327A4">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mg/L</w:t>
            </w:r>
          </w:p>
        </w:tc>
      </w:tr>
      <w:tr w14:paraId="438F23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2F4FD57C">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CA</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2+</w:t>
            </w:r>
          </w:p>
        </w:tc>
        <w:tc>
          <w:tcPr>
            <w:tcW w:w="1181" w:type="pct"/>
            <w:vAlign w:val="center"/>
          </w:tcPr>
          <w:p w14:paraId="24BDC121">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30.1</w:t>
            </w:r>
          </w:p>
        </w:tc>
        <w:tc>
          <w:tcPr>
            <w:tcW w:w="972" w:type="pct"/>
            <w:shd w:val="clear" w:color="auto" w:fill="auto"/>
            <w:vAlign w:val="center"/>
          </w:tcPr>
          <w:p w14:paraId="615F38F3">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869" w:type="pct"/>
            <w:shd w:val="clear" w:color="auto" w:fill="auto"/>
            <w:vAlign w:val="center"/>
          </w:tcPr>
          <w:p w14:paraId="05879A56">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988" w:type="pct"/>
            <w:shd w:val="clear" w:color="auto" w:fill="auto"/>
            <w:vAlign w:val="center"/>
          </w:tcPr>
          <w:p w14:paraId="5E1F3259">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60C865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549457C9">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2+</w:t>
            </w:r>
          </w:p>
        </w:tc>
        <w:tc>
          <w:tcPr>
            <w:tcW w:w="1181" w:type="pct"/>
            <w:vAlign w:val="center"/>
          </w:tcPr>
          <w:p w14:paraId="59F89462">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7.50</w:t>
            </w:r>
          </w:p>
        </w:tc>
        <w:tc>
          <w:tcPr>
            <w:tcW w:w="972" w:type="pct"/>
            <w:shd w:val="clear" w:color="auto" w:fill="auto"/>
            <w:vAlign w:val="center"/>
          </w:tcPr>
          <w:p w14:paraId="6E7CCF4F">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869" w:type="pct"/>
            <w:shd w:val="clear" w:color="auto" w:fill="auto"/>
            <w:vAlign w:val="center"/>
          </w:tcPr>
          <w:p w14:paraId="36B9BCDF">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988" w:type="pct"/>
            <w:shd w:val="clear" w:color="auto" w:fill="auto"/>
            <w:vAlign w:val="center"/>
          </w:tcPr>
          <w:p w14:paraId="4BD20FE8">
            <w:pPr>
              <w:pStyle w:val="79"/>
              <w:bidi w:val="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54243E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78DBF3E3">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CO</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2-</w:t>
            </w:r>
          </w:p>
        </w:tc>
        <w:tc>
          <w:tcPr>
            <w:tcW w:w="1181" w:type="pct"/>
            <w:shd w:val="clear" w:color="auto" w:fill="auto"/>
            <w:vAlign w:val="center"/>
          </w:tcPr>
          <w:p w14:paraId="29283976">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ND</w:t>
            </w:r>
          </w:p>
        </w:tc>
        <w:tc>
          <w:tcPr>
            <w:tcW w:w="972" w:type="pct"/>
            <w:shd w:val="clear" w:color="auto" w:fill="auto"/>
            <w:vAlign w:val="center"/>
          </w:tcPr>
          <w:p w14:paraId="4C2C16E0">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869" w:type="pct"/>
            <w:shd w:val="clear" w:color="auto" w:fill="auto"/>
            <w:vAlign w:val="center"/>
          </w:tcPr>
          <w:p w14:paraId="26FB4C30">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988" w:type="pct"/>
            <w:shd w:val="clear" w:color="auto" w:fill="auto"/>
            <w:vAlign w:val="center"/>
          </w:tcPr>
          <w:p w14:paraId="5AF7EFBD">
            <w:pPr>
              <w:pStyle w:val="79"/>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63BD95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547C0018">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HCO</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w:t>
            </w:r>
          </w:p>
        </w:tc>
        <w:tc>
          <w:tcPr>
            <w:tcW w:w="1181" w:type="pct"/>
            <w:vAlign w:val="center"/>
          </w:tcPr>
          <w:p w14:paraId="5390D6FD">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76</w:t>
            </w:r>
          </w:p>
        </w:tc>
        <w:tc>
          <w:tcPr>
            <w:tcW w:w="972" w:type="pct"/>
            <w:shd w:val="clear" w:color="auto" w:fill="auto"/>
            <w:vAlign w:val="center"/>
          </w:tcPr>
          <w:p w14:paraId="7AC341C3">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869" w:type="pct"/>
            <w:shd w:val="clear" w:color="auto" w:fill="auto"/>
            <w:vAlign w:val="center"/>
          </w:tcPr>
          <w:p w14:paraId="76D60561">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w:t>
            </w:r>
          </w:p>
        </w:tc>
        <w:tc>
          <w:tcPr>
            <w:tcW w:w="988" w:type="pct"/>
            <w:shd w:val="clear" w:color="auto" w:fill="auto"/>
            <w:vAlign w:val="center"/>
          </w:tcPr>
          <w:p w14:paraId="548A3708">
            <w:pPr>
              <w:pStyle w:val="79"/>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r>
      <w:tr w14:paraId="51A0F3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4118B3F5">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Cl</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w:t>
            </w:r>
          </w:p>
        </w:tc>
        <w:tc>
          <w:tcPr>
            <w:tcW w:w="1181" w:type="pct"/>
            <w:vAlign w:val="center"/>
          </w:tcPr>
          <w:p w14:paraId="3D28C657">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38.7</w:t>
            </w:r>
          </w:p>
        </w:tc>
        <w:tc>
          <w:tcPr>
            <w:tcW w:w="972" w:type="pct"/>
            <w:shd w:val="clear" w:color="auto" w:fill="auto"/>
            <w:vAlign w:val="center"/>
          </w:tcPr>
          <w:p w14:paraId="478D1064">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250</w:t>
            </w:r>
          </w:p>
        </w:tc>
        <w:tc>
          <w:tcPr>
            <w:tcW w:w="1482" w:type="dxa"/>
            <w:shd w:val="clear" w:color="auto" w:fill="auto"/>
            <w:vAlign w:val="center"/>
          </w:tcPr>
          <w:p w14:paraId="5C12EC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09300D7F">
            <w:pPr>
              <w:pStyle w:val="79"/>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mg/L</w:t>
            </w:r>
          </w:p>
        </w:tc>
      </w:tr>
      <w:tr w14:paraId="78BC49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8" w:type="pct"/>
            <w:shd w:val="clear" w:color="auto" w:fill="auto"/>
            <w:vAlign w:val="center"/>
          </w:tcPr>
          <w:p w14:paraId="1A01F19E">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SO</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u w:val="none" w:color="auto"/>
                <w:vertAlign w:val="superscript"/>
                <w:lang w:val="en-US" w:eastAsia="zh-CN"/>
                <w14:textFill>
                  <w14:solidFill>
                    <w14:schemeClr w14:val="tx1"/>
                  </w14:solidFill>
                </w14:textFill>
              </w:rPr>
              <w:t>2-</w:t>
            </w:r>
          </w:p>
        </w:tc>
        <w:tc>
          <w:tcPr>
            <w:tcW w:w="1181" w:type="pct"/>
            <w:vAlign w:val="center"/>
          </w:tcPr>
          <w:p w14:paraId="39490ACE">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5.74</w:t>
            </w:r>
          </w:p>
        </w:tc>
        <w:tc>
          <w:tcPr>
            <w:tcW w:w="972" w:type="pct"/>
            <w:shd w:val="clear" w:color="auto" w:fill="auto"/>
            <w:vAlign w:val="center"/>
          </w:tcPr>
          <w:p w14:paraId="6751A8F3">
            <w:pPr>
              <w:pStyle w:val="79"/>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250</w:t>
            </w:r>
          </w:p>
        </w:tc>
        <w:tc>
          <w:tcPr>
            <w:tcW w:w="1482" w:type="dxa"/>
            <w:shd w:val="clear" w:color="auto" w:fill="auto"/>
            <w:vAlign w:val="center"/>
          </w:tcPr>
          <w:p w14:paraId="67F991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达标</w:t>
            </w:r>
          </w:p>
        </w:tc>
        <w:tc>
          <w:tcPr>
            <w:tcW w:w="988" w:type="pct"/>
            <w:shd w:val="clear" w:color="auto" w:fill="auto"/>
            <w:vAlign w:val="center"/>
          </w:tcPr>
          <w:p w14:paraId="3DEDF300">
            <w:pPr>
              <w:pStyle w:val="79"/>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mg/L</w:t>
            </w:r>
          </w:p>
        </w:tc>
      </w:tr>
    </w:tbl>
    <w:p w14:paraId="2705212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地下水水位现状监测结果统计（mg/L）</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54"/>
        <w:gridCol w:w="2169"/>
        <w:gridCol w:w="2169"/>
        <w:gridCol w:w="2136"/>
      </w:tblGrid>
      <w:tr w14:paraId="64BE54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204" w:type="pct"/>
            <w:vAlign w:val="center"/>
          </w:tcPr>
          <w:p w14:paraId="0AD495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编号</w:t>
            </w:r>
          </w:p>
        </w:tc>
        <w:tc>
          <w:tcPr>
            <w:tcW w:w="1271" w:type="pct"/>
            <w:vAlign w:val="center"/>
          </w:tcPr>
          <w:p w14:paraId="188976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地面标高（m）</w:t>
            </w:r>
          </w:p>
        </w:tc>
        <w:tc>
          <w:tcPr>
            <w:tcW w:w="1271" w:type="pct"/>
            <w:vAlign w:val="center"/>
          </w:tcPr>
          <w:p w14:paraId="6C93E3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水位埋深（m）</w:t>
            </w:r>
          </w:p>
        </w:tc>
        <w:tc>
          <w:tcPr>
            <w:tcW w:w="1252" w:type="pct"/>
            <w:vAlign w:val="center"/>
          </w:tcPr>
          <w:p w14:paraId="008E0E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地下水水位（m）</w:t>
            </w:r>
          </w:p>
        </w:tc>
      </w:tr>
      <w:tr w14:paraId="68651F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4" w:type="pct"/>
            <w:vAlign w:val="center"/>
          </w:tcPr>
          <w:p w14:paraId="74B4FB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DW1（侧向，位于本项目东侧600 m）</w:t>
            </w:r>
          </w:p>
        </w:tc>
        <w:tc>
          <w:tcPr>
            <w:tcW w:w="1271" w:type="pct"/>
            <w:vAlign w:val="center"/>
          </w:tcPr>
          <w:p w14:paraId="5E27B1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55</w:t>
            </w:r>
          </w:p>
        </w:tc>
        <w:tc>
          <w:tcPr>
            <w:tcW w:w="2169" w:type="dxa"/>
            <w:vAlign w:val="center"/>
          </w:tcPr>
          <w:p w14:paraId="33CE886D">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7.3</w:t>
            </w:r>
          </w:p>
        </w:tc>
        <w:tc>
          <w:tcPr>
            <w:tcW w:w="2136" w:type="dxa"/>
            <w:vAlign w:val="center"/>
          </w:tcPr>
          <w:p w14:paraId="155491AC">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47.7</w:t>
            </w:r>
          </w:p>
        </w:tc>
      </w:tr>
      <w:tr w14:paraId="641306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4" w:type="pct"/>
            <w:vAlign w:val="center"/>
          </w:tcPr>
          <w:p w14:paraId="0A6F4A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DW2（下游，位于本项目北侧260 m）</w:t>
            </w:r>
          </w:p>
        </w:tc>
        <w:tc>
          <w:tcPr>
            <w:tcW w:w="1271" w:type="pct"/>
            <w:vAlign w:val="center"/>
          </w:tcPr>
          <w:p w14:paraId="6A7F91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45</w:t>
            </w:r>
          </w:p>
        </w:tc>
        <w:tc>
          <w:tcPr>
            <w:tcW w:w="2169" w:type="dxa"/>
            <w:vAlign w:val="center"/>
          </w:tcPr>
          <w:p w14:paraId="3AF139B9">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12.8</w:t>
            </w:r>
          </w:p>
        </w:tc>
        <w:tc>
          <w:tcPr>
            <w:tcW w:w="2136" w:type="dxa"/>
            <w:vAlign w:val="center"/>
          </w:tcPr>
          <w:p w14:paraId="534047E5">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32.2</w:t>
            </w:r>
          </w:p>
        </w:tc>
      </w:tr>
      <w:tr w14:paraId="0FB651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4" w:type="pct"/>
            <w:vAlign w:val="center"/>
          </w:tcPr>
          <w:p w14:paraId="48E526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DW3（侧向，位于本项目北侧440 m）</w:t>
            </w:r>
          </w:p>
        </w:tc>
        <w:tc>
          <w:tcPr>
            <w:tcW w:w="1271" w:type="pct"/>
            <w:vAlign w:val="center"/>
          </w:tcPr>
          <w:p w14:paraId="1A0363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54</w:t>
            </w:r>
          </w:p>
        </w:tc>
        <w:tc>
          <w:tcPr>
            <w:tcW w:w="2169" w:type="dxa"/>
            <w:vAlign w:val="center"/>
          </w:tcPr>
          <w:p w14:paraId="0F0A45C3">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8.7</w:t>
            </w:r>
          </w:p>
        </w:tc>
        <w:tc>
          <w:tcPr>
            <w:tcW w:w="2136" w:type="dxa"/>
            <w:vAlign w:val="center"/>
          </w:tcPr>
          <w:p w14:paraId="1822F24E">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45.3</w:t>
            </w:r>
          </w:p>
        </w:tc>
      </w:tr>
      <w:tr w14:paraId="6F3A3E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4" w:type="pct"/>
            <w:vAlign w:val="center"/>
          </w:tcPr>
          <w:p w14:paraId="605270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DW4（下游，位于本项目西侧170 m）</w:t>
            </w:r>
          </w:p>
        </w:tc>
        <w:tc>
          <w:tcPr>
            <w:tcW w:w="1271" w:type="pct"/>
            <w:vAlign w:val="center"/>
          </w:tcPr>
          <w:p w14:paraId="55B468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46</w:t>
            </w:r>
          </w:p>
        </w:tc>
        <w:tc>
          <w:tcPr>
            <w:tcW w:w="2169" w:type="dxa"/>
            <w:vAlign w:val="center"/>
          </w:tcPr>
          <w:p w14:paraId="05150997">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7.9</w:t>
            </w:r>
          </w:p>
        </w:tc>
        <w:tc>
          <w:tcPr>
            <w:tcW w:w="2136" w:type="dxa"/>
            <w:vAlign w:val="center"/>
          </w:tcPr>
          <w:p w14:paraId="131D89C0">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38.1</w:t>
            </w:r>
          </w:p>
        </w:tc>
      </w:tr>
      <w:tr w14:paraId="7DE541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4" w:type="pct"/>
            <w:vAlign w:val="center"/>
          </w:tcPr>
          <w:p w14:paraId="287AA8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DW5（侧向，位于本项目东北侧230 m）</w:t>
            </w:r>
          </w:p>
        </w:tc>
        <w:tc>
          <w:tcPr>
            <w:tcW w:w="1271" w:type="pct"/>
            <w:vAlign w:val="center"/>
          </w:tcPr>
          <w:p w14:paraId="049978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41</w:t>
            </w:r>
          </w:p>
        </w:tc>
        <w:tc>
          <w:tcPr>
            <w:tcW w:w="2169" w:type="dxa"/>
            <w:vAlign w:val="center"/>
          </w:tcPr>
          <w:p w14:paraId="0EA39337">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5.8</w:t>
            </w:r>
          </w:p>
        </w:tc>
        <w:tc>
          <w:tcPr>
            <w:tcW w:w="2136" w:type="dxa"/>
            <w:vAlign w:val="center"/>
          </w:tcPr>
          <w:p w14:paraId="3453620C">
            <w:pPr>
              <w:keepNext w:val="0"/>
              <w:keepLines w:val="0"/>
              <w:widowControl/>
              <w:suppressLineNumbers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35.2</w:t>
            </w:r>
          </w:p>
        </w:tc>
      </w:tr>
      <w:tr w14:paraId="3E4B1F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4" w:type="pct"/>
            <w:vAlign w:val="center"/>
          </w:tcPr>
          <w:p w14:paraId="5F1353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D1</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竹山里居民水井</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eastAsia="宋体" w:cs="Times New Roman"/>
                <w:color w:val="000000" w:themeColor="text1"/>
                <w:u w:val="none" w:color="auto"/>
                <w:lang w:val="en-US" w:eastAsia="zh-CN"/>
                <w14:textFill>
                  <w14:solidFill>
                    <w14:schemeClr w14:val="tx1"/>
                  </w14:solidFill>
                </w14:textFill>
              </w:rPr>
              <w:t>上游，</w:t>
            </w:r>
            <w:r>
              <w:rPr>
                <w:rFonts w:hint="default" w:ascii="Times New Roman" w:hAnsi="Times New Roman" w:eastAsia="宋体" w:cs="Times New Roman"/>
                <w:color w:val="000000" w:themeColor="text1"/>
                <w:u w:val="none" w:color="auto"/>
                <w14:textFill>
                  <w14:solidFill>
                    <w14:schemeClr w14:val="tx1"/>
                  </w14:solidFill>
                </w14:textFill>
              </w:rPr>
              <w:t>位于本项目东</w:t>
            </w:r>
            <w:r>
              <w:rPr>
                <w:rFonts w:hint="eastAsia" w:eastAsia="宋体" w:cs="Times New Roman"/>
                <w:color w:val="000000" w:themeColor="text1"/>
                <w:u w:val="none" w:color="auto"/>
                <w:lang w:val="en-US" w:eastAsia="zh-CN"/>
                <w14:textFill>
                  <w14:solidFill>
                    <w14:schemeClr w14:val="tx1"/>
                  </w14:solidFill>
                </w14:textFill>
              </w:rPr>
              <w:t>南</w:t>
            </w:r>
            <w:r>
              <w:rPr>
                <w:rFonts w:hint="default" w:ascii="Times New Roman" w:hAnsi="Times New Roman" w:eastAsia="宋体" w:cs="Times New Roman"/>
                <w:color w:val="000000" w:themeColor="text1"/>
                <w:u w:val="none" w:color="auto"/>
                <w14:textFill>
                  <w14:solidFill>
                    <w14:schemeClr w14:val="tx1"/>
                  </w14:solidFill>
                </w14:textFill>
              </w:rPr>
              <w:t>侧</w:t>
            </w:r>
            <w:r>
              <w:rPr>
                <w:rFonts w:hint="eastAsia" w:eastAsia="宋体" w:cs="Times New Roman"/>
                <w:color w:val="000000" w:themeColor="text1"/>
                <w:u w:val="none" w:color="auto"/>
                <w:lang w:val="en-US" w:eastAsia="zh-CN"/>
                <w14:textFill>
                  <w14:solidFill>
                    <w14:schemeClr w14:val="tx1"/>
                  </w14:solidFill>
                </w14:textFill>
              </w:rPr>
              <w:t>130</w:t>
            </w:r>
            <w:r>
              <w:rPr>
                <w:rFonts w:hint="default" w:ascii="Times New Roman" w:hAnsi="Times New Roman" w:eastAsia="宋体" w:cs="Times New Roman"/>
                <w:color w:val="000000" w:themeColor="text1"/>
                <w:u w:val="none" w:color="auto"/>
                <w14:textFill>
                  <w14:solidFill>
                    <w14:schemeClr w14:val="tx1"/>
                  </w14:solidFill>
                </w14:textFill>
              </w:rPr>
              <w:t>0 m）</w:t>
            </w:r>
          </w:p>
        </w:tc>
        <w:tc>
          <w:tcPr>
            <w:tcW w:w="1271" w:type="pct"/>
            <w:vAlign w:val="center"/>
          </w:tcPr>
          <w:p w14:paraId="038077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67</w:t>
            </w:r>
          </w:p>
        </w:tc>
        <w:tc>
          <w:tcPr>
            <w:tcW w:w="1271" w:type="pct"/>
            <w:vAlign w:val="center"/>
          </w:tcPr>
          <w:p w14:paraId="728528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3.6</w:t>
            </w:r>
          </w:p>
        </w:tc>
        <w:tc>
          <w:tcPr>
            <w:tcW w:w="1252" w:type="pct"/>
            <w:vAlign w:val="center"/>
          </w:tcPr>
          <w:p w14:paraId="7968A3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63.4</w:t>
            </w:r>
          </w:p>
        </w:tc>
      </w:tr>
    </w:tbl>
    <w:p w14:paraId="6E6BA1DA">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47" w:name="_Toc17918"/>
      <w:bookmarkStart w:id="248" w:name="_Toc191240025"/>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4 声环境质量现状调查与评价</w:t>
      </w:r>
      <w:bookmarkEnd w:id="247"/>
      <w:bookmarkEnd w:id="248"/>
    </w:p>
    <w:p w14:paraId="322D142B">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为了解项目区域声环境质量现状，本次环评委托湖南环景检测有限公司对项目周边声环境质量进行监测。</w:t>
      </w:r>
    </w:p>
    <w:p w14:paraId="066B85B9">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（1）监测布点</w:t>
      </w:r>
    </w:p>
    <w:p w14:paraId="65F5C459">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根据本项目周边声环境敏感点分布现状特征，共设5个噪声监测点。</w:t>
      </w:r>
    </w:p>
    <w:p w14:paraId="207A88BD">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4-1  噪声监测点布设</w:t>
      </w:r>
    </w:p>
    <w:tbl>
      <w:tblPr>
        <w:tblStyle w:val="37"/>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56"/>
        <w:gridCol w:w="3295"/>
        <w:gridCol w:w="1997"/>
        <w:gridCol w:w="2092"/>
      </w:tblGrid>
      <w:tr w14:paraId="151297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73" w:type="pct"/>
            <w:tcBorders>
              <w:top w:val="single" w:color="auto" w:sz="12" w:space="0"/>
              <w:left w:val="single" w:color="auto" w:sz="12" w:space="0"/>
              <w:bottom w:val="single" w:color="000000" w:sz="4" w:space="0"/>
              <w:right w:val="single" w:color="000000" w:sz="4" w:space="0"/>
            </w:tcBorders>
            <w:vAlign w:val="center"/>
          </w:tcPr>
          <w:p w14:paraId="17DC7E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975" w:type="pct"/>
            <w:tcBorders>
              <w:top w:val="single" w:color="auto" w:sz="12" w:space="0"/>
              <w:left w:val="single" w:color="000000" w:sz="4" w:space="0"/>
              <w:bottom w:val="single" w:color="000000" w:sz="4" w:space="0"/>
              <w:right w:val="single" w:color="000000" w:sz="4" w:space="0"/>
            </w:tcBorders>
            <w:vAlign w:val="center"/>
          </w:tcPr>
          <w:p w14:paraId="00EF8A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监测点</w:t>
            </w: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1197" w:type="pct"/>
            <w:tcBorders>
              <w:top w:val="single" w:color="auto" w:sz="12" w:space="0"/>
              <w:left w:val="single" w:color="000000" w:sz="4" w:space="0"/>
              <w:bottom w:val="single" w:color="000000" w:sz="4" w:space="0"/>
              <w:right w:val="single" w:color="000000" w:sz="4" w:space="0"/>
            </w:tcBorders>
            <w:vAlign w:val="center"/>
          </w:tcPr>
          <w:p w14:paraId="009073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监测项目</w:t>
            </w:r>
          </w:p>
        </w:tc>
        <w:tc>
          <w:tcPr>
            <w:tcW w:w="1253" w:type="pct"/>
            <w:tcBorders>
              <w:top w:val="single" w:color="auto" w:sz="12" w:space="0"/>
              <w:left w:val="single" w:color="000000" w:sz="4" w:space="0"/>
              <w:bottom w:val="single" w:color="000000" w:sz="4" w:space="0"/>
              <w:right w:val="single" w:color="auto" w:sz="12" w:space="0"/>
            </w:tcBorders>
            <w:vAlign w:val="center"/>
          </w:tcPr>
          <w:p w14:paraId="40A856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测点位置</w:t>
            </w:r>
          </w:p>
        </w:tc>
      </w:tr>
      <w:tr w14:paraId="7DAD13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73" w:type="pct"/>
            <w:tcBorders>
              <w:top w:val="single" w:color="000000" w:sz="4" w:space="0"/>
              <w:left w:val="single" w:color="auto" w:sz="12" w:space="0"/>
              <w:bottom w:val="single" w:color="000000" w:sz="4" w:space="0"/>
              <w:right w:val="single" w:color="000000" w:sz="4" w:space="0"/>
            </w:tcBorders>
            <w:vAlign w:val="center"/>
          </w:tcPr>
          <w:p w14:paraId="054E01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975" w:type="pct"/>
            <w:tcBorders>
              <w:top w:val="single" w:color="000000" w:sz="4" w:space="0"/>
              <w:left w:val="single" w:color="000000" w:sz="4" w:space="0"/>
              <w:bottom w:val="single" w:color="000000" w:sz="4" w:space="0"/>
              <w:right w:val="single" w:color="000000" w:sz="4" w:space="0"/>
            </w:tcBorders>
            <w:vAlign w:val="center"/>
          </w:tcPr>
          <w:p w14:paraId="1C8D115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项目厂界东侧外1 m处</w:t>
            </w:r>
          </w:p>
        </w:tc>
        <w:tc>
          <w:tcPr>
            <w:tcW w:w="1197" w:type="pct"/>
            <w:vMerge w:val="restart"/>
            <w:tcBorders>
              <w:top w:val="single" w:color="000000" w:sz="4" w:space="0"/>
              <w:left w:val="single" w:color="000000" w:sz="4" w:space="0"/>
              <w:bottom w:val="single" w:color="000000" w:sz="12" w:space="0"/>
              <w:right w:val="single" w:color="000000" w:sz="4" w:space="0"/>
            </w:tcBorders>
            <w:vAlign w:val="center"/>
          </w:tcPr>
          <w:p w14:paraId="6ADF41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等效连续A声级</w:t>
            </w:r>
          </w:p>
        </w:tc>
        <w:tc>
          <w:tcPr>
            <w:tcW w:w="1253" w:type="pct"/>
            <w:vMerge w:val="restart"/>
            <w:tcBorders>
              <w:top w:val="single" w:color="000000" w:sz="4" w:space="0"/>
              <w:left w:val="single" w:color="000000" w:sz="4" w:space="0"/>
              <w:bottom w:val="single" w:color="000000" w:sz="4" w:space="0"/>
              <w:right w:val="single" w:color="auto" w:sz="12" w:space="0"/>
            </w:tcBorders>
            <w:vAlign w:val="center"/>
          </w:tcPr>
          <w:p w14:paraId="11D043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厂界外1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 xml:space="preserve">m处 </w:t>
            </w:r>
          </w:p>
        </w:tc>
      </w:tr>
      <w:tr w14:paraId="775265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73" w:type="pct"/>
            <w:tcBorders>
              <w:top w:val="single" w:color="000000" w:sz="4" w:space="0"/>
              <w:left w:val="single" w:color="auto" w:sz="12" w:space="0"/>
              <w:bottom w:val="single" w:color="000000" w:sz="4" w:space="0"/>
              <w:right w:val="single" w:color="000000" w:sz="4" w:space="0"/>
            </w:tcBorders>
            <w:vAlign w:val="center"/>
          </w:tcPr>
          <w:p w14:paraId="73D1D1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1975" w:type="pct"/>
            <w:tcBorders>
              <w:top w:val="single" w:color="000000" w:sz="4" w:space="0"/>
              <w:left w:val="single" w:color="000000" w:sz="4" w:space="0"/>
              <w:bottom w:val="single" w:color="000000" w:sz="4" w:space="0"/>
              <w:right w:val="single" w:color="000000" w:sz="4" w:space="0"/>
            </w:tcBorders>
            <w:vAlign w:val="center"/>
          </w:tcPr>
          <w:p w14:paraId="5357024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项目厂界东侧外1 m处</w:t>
            </w:r>
          </w:p>
        </w:tc>
        <w:tc>
          <w:tcPr>
            <w:tcW w:w="1197" w:type="pct"/>
            <w:vMerge w:val="continue"/>
            <w:tcBorders>
              <w:top w:val="single" w:color="000000" w:sz="4" w:space="0"/>
              <w:left w:val="single" w:color="000000" w:sz="4" w:space="0"/>
              <w:bottom w:val="single" w:color="000000" w:sz="12" w:space="0"/>
              <w:right w:val="single" w:color="000000" w:sz="4" w:space="0"/>
            </w:tcBorders>
            <w:vAlign w:val="center"/>
          </w:tcPr>
          <w:p w14:paraId="4BFF94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53" w:type="pct"/>
            <w:vMerge w:val="continue"/>
            <w:tcBorders>
              <w:top w:val="single" w:color="000000" w:sz="4" w:space="0"/>
              <w:left w:val="single" w:color="000000" w:sz="4" w:space="0"/>
              <w:bottom w:val="single" w:color="000000" w:sz="4" w:space="0"/>
              <w:right w:val="single" w:color="auto" w:sz="12" w:space="0"/>
            </w:tcBorders>
            <w:vAlign w:val="center"/>
          </w:tcPr>
          <w:p w14:paraId="26FDF2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B3708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73" w:type="pct"/>
            <w:tcBorders>
              <w:top w:val="single" w:color="000000" w:sz="4" w:space="0"/>
              <w:left w:val="single" w:color="auto" w:sz="12" w:space="0"/>
              <w:bottom w:val="single" w:color="000000" w:sz="4" w:space="0"/>
              <w:right w:val="single" w:color="000000" w:sz="4" w:space="0"/>
            </w:tcBorders>
            <w:vAlign w:val="center"/>
          </w:tcPr>
          <w:p w14:paraId="2EFB9E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1975" w:type="pct"/>
            <w:tcBorders>
              <w:top w:val="single" w:color="000000" w:sz="4" w:space="0"/>
              <w:left w:val="single" w:color="000000" w:sz="4" w:space="0"/>
              <w:bottom w:val="single" w:color="000000" w:sz="4" w:space="0"/>
              <w:right w:val="single" w:color="000000" w:sz="4" w:space="0"/>
            </w:tcBorders>
            <w:vAlign w:val="center"/>
          </w:tcPr>
          <w:p w14:paraId="05E976F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项目厂界东侧外1 m处</w:t>
            </w:r>
          </w:p>
        </w:tc>
        <w:tc>
          <w:tcPr>
            <w:tcW w:w="1197" w:type="pct"/>
            <w:vMerge w:val="continue"/>
            <w:tcBorders>
              <w:top w:val="single" w:color="000000" w:sz="4" w:space="0"/>
              <w:left w:val="single" w:color="000000" w:sz="4" w:space="0"/>
              <w:bottom w:val="single" w:color="000000" w:sz="12" w:space="0"/>
              <w:right w:val="single" w:color="000000" w:sz="4" w:space="0"/>
            </w:tcBorders>
            <w:vAlign w:val="center"/>
          </w:tcPr>
          <w:p w14:paraId="68868D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53" w:type="pct"/>
            <w:vMerge w:val="continue"/>
            <w:tcBorders>
              <w:top w:val="single" w:color="000000" w:sz="4" w:space="0"/>
              <w:left w:val="single" w:color="000000" w:sz="4" w:space="0"/>
              <w:bottom w:val="single" w:color="000000" w:sz="4" w:space="0"/>
              <w:right w:val="single" w:color="auto" w:sz="12" w:space="0"/>
            </w:tcBorders>
            <w:vAlign w:val="center"/>
          </w:tcPr>
          <w:p w14:paraId="0CF2D7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396CFD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73" w:type="pct"/>
            <w:tcBorders>
              <w:top w:val="single" w:color="000000" w:sz="4" w:space="0"/>
              <w:left w:val="single" w:color="auto" w:sz="12" w:space="0"/>
              <w:bottom w:val="single" w:color="000000" w:sz="4" w:space="0"/>
              <w:right w:val="single" w:color="000000" w:sz="4" w:space="0"/>
            </w:tcBorders>
            <w:vAlign w:val="center"/>
          </w:tcPr>
          <w:p w14:paraId="693C1D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1975" w:type="pct"/>
            <w:tcBorders>
              <w:top w:val="single" w:color="000000" w:sz="4" w:space="0"/>
              <w:left w:val="single" w:color="000000" w:sz="4" w:space="0"/>
              <w:bottom w:val="single" w:color="000000" w:sz="4" w:space="0"/>
              <w:right w:val="single" w:color="000000" w:sz="4" w:space="0"/>
            </w:tcBorders>
            <w:vAlign w:val="center"/>
          </w:tcPr>
          <w:p w14:paraId="42504E3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项目厂界东侧外1 m处</w:t>
            </w:r>
          </w:p>
        </w:tc>
        <w:tc>
          <w:tcPr>
            <w:tcW w:w="1197" w:type="pct"/>
            <w:vMerge w:val="continue"/>
            <w:tcBorders>
              <w:top w:val="single" w:color="000000" w:sz="4" w:space="0"/>
              <w:left w:val="single" w:color="000000" w:sz="4" w:space="0"/>
              <w:bottom w:val="single" w:color="000000" w:sz="12" w:space="0"/>
              <w:right w:val="single" w:color="000000" w:sz="4" w:space="0"/>
            </w:tcBorders>
            <w:vAlign w:val="center"/>
          </w:tcPr>
          <w:p w14:paraId="1DD465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53" w:type="pct"/>
            <w:vMerge w:val="continue"/>
            <w:tcBorders>
              <w:top w:val="single" w:color="000000" w:sz="4" w:space="0"/>
              <w:left w:val="single" w:color="000000" w:sz="4" w:space="0"/>
              <w:bottom w:val="single" w:color="000000" w:sz="4" w:space="0"/>
              <w:right w:val="single" w:color="auto" w:sz="12" w:space="0"/>
            </w:tcBorders>
            <w:vAlign w:val="center"/>
          </w:tcPr>
          <w:p w14:paraId="7856EA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0D50A9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73" w:type="pct"/>
            <w:tcBorders>
              <w:top w:val="single" w:color="000000" w:sz="4" w:space="0"/>
              <w:left w:val="single" w:color="auto" w:sz="12" w:space="0"/>
              <w:bottom w:val="single" w:color="auto" w:sz="12" w:space="0"/>
              <w:right w:val="single" w:color="000000" w:sz="4" w:space="0"/>
            </w:tcBorders>
            <w:vAlign w:val="center"/>
          </w:tcPr>
          <w:p w14:paraId="255306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w:t>
            </w:r>
          </w:p>
        </w:tc>
        <w:tc>
          <w:tcPr>
            <w:tcW w:w="1975" w:type="pct"/>
            <w:tcBorders>
              <w:top w:val="single" w:color="000000" w:sz="4" w:space="0"/>
              <w:left w:val="single" w:color="000000" w:sz="4" w:space="0"/>
              <w:bottom w:val="single" w:color="auto" w:sz="12" w:space="0"/>
              <w:right w:val="single" w:color="000000" w:sz="4" w:space="0"/>
            </w:tcBorders>
            <w:vAlign w:val="center"/>
          </w:tcPr>
          <w:p w14:paraId="7D32536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项目西北侧最近居民点</w:t>
            </w:r>
          </w:p>
        </w:tc>
        <w:tc>
          <w:tcPr>
            <w:tcW w:w="1197" w:type="pct"/>
            <w:vMerge w:val="continue"/>
            <w:tcBorders>
              <w:top w:val="single" w:color="000000" w:sz="4" w:space="0"/>
              <w:left w:val="single" w:color="000000" w:sz="4" w:space="0"/>
              <w:bottom w:val="single" w:color="auto" w:sz="12" w:space="0"/>
              <w:right w:val="single" w:color="000000" w:sz="4" w:space="0"/>
            </w:tcBorders>
            <w:vAlign w:val="center"/>
          </w:tcPr>
          <w:p w14:paraId="0EB6C5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53" w:type="pct"/>
            <w:tcBorders>
              <w:top w:val="single" w:color="000000" w:sz="4" w:space="0"/>
              <w:left w:val="single" w:color="000000" w:sz="4" w:space="0"/>
              <w:bottom w:val="single" w:color="auto" w:sz="12" w:space="0"/>
              <w:right w:val="single" w:color="auto" w:sz="12" w:space="0"/>
            </w:tcBorders>
            <w:vAlign w:val="center"/>
          </w:tcPr>
          <w:p w14:paraId="14D012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窗外1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p>
        </w:tc>
      </w:tr>
    </w:tbl>
    <w:p w14:paraId="6A8B2E56">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（2）监测时间及频次</w:t>
      </w:r>
    </w:p>
    <w:p w14:paraId="787D922C">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监测时间：202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月</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月1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日；频次：监测2天，每天昼间（6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00~22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00）、夜间（22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00~次日6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00）各一次，每次监测不小于10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min。</w:t>
      </w:r>
    </w:p>
    <w:p w14:paraId="6190C707">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（3）监测结果统计及评价</w:t>
      </w:r>
    </w:p>
    <w:p w14:paraId="0A3041DF">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监测结果统计及评价结果见下表所示。</w:t>
      </w:r>
    </w:p>
    <w:p w14:paraId="785BB1D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4-2  声环境敏感点及厂界四至环境噪声监测统计结果与评价</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54"/>
        <w:gridCol w:w="1423"/>
        <w:gridCol w:w="1138"/>
        <w:gridCol w:w="1141"/>
        <w:gridCol w:w="1931"/>
        <w:gridCol w:w="1138"/>
      </w:tblGrid>
      <w:tr w14:paraId="7D873B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028" w:type="pct"/>
            <w:vMerge w:val="restart"/>
            <w:tcBorders>
              <w:tl2br w:val="nil"/>
              <w:tr2bl w:val="nil"/>
            </w:tcBorders>
            <w:vAlign w:val="center"/>
          </w:tcPr>
          <w:p w14:paraId="70C1AC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采样点位</w:t>
            </w:r>
          </w:p>
        </w:tc>
        <w:tc>
          <w:tcPr>
            <w:tcW w:w="834" w:type="pct"/>
            <w:vMerge w:val="restart"/>
            <w:tcBorders>
              <w:tl2br w:val="nil"/>
              <w:tr2bl w:val="nil"/>
            </w:tcBorders>
            <w:vAlign w:val="center"/>
          </w:tcPr>
          <w:p w14:paraId="510DAF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采样日期</w:t>
            </w:r>
          </w:p>
        </w:tc>
        <w:tc>
          <w:tcPr>
            <w:tcW w:w="1336" w:type="pct"/>
            <w:gridSpan w:val="2"/>
            <w:tcBorders>
              <w:tl2br w:val="nil"/>
              <w:tr2bl w:val="nil"/>
            </w:tcBorders>
            <w:vAlign w:val="center"/>
          </w:tcPr>
          <w:p w14:paraId="150702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检测结果Leq[dB（A）]</w:t>
            </w:r>
          </w:p>
        </w:tc>
        <w:tc>
          <w:tcPr>
            <w:tcW w:w="1132" w:type="pct"/>
            <w:vMerge w:val="restart"/>
            <w:tcBorders>
              <w:tl2br w:val="nil"/>
              <w:tr2bl w:val="nil"/>
            </w:tcBorders>
            <w:vAlign w:val="center"/>
          </w:tcPr>
          <w:p w14:paraId="49046D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执行标准</w:t>
            </w:r>
          </w:p>
        </w:tc>
        <w:tc>
          <w:tcPr>
            <w:tcW w:w="667" w:type="pct"/>
            <w:vMerge w:val="restart"/>
            <w:tcBorders>
              <w:tl2br w:val="nil"/>
              <w:tr2bl w:val="nil"/>
            </w:tcBorders>
            <w:vAlign w:val="center"/>
          </w:tcPr>
          <w:p w14:paraId="49F956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评价结果</w:t>
            </w:r>
          </w:p>
        </w:tc>
      </w:tr>
      <w:tr w14:paraId="475274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028" w:type="pct"/>
            <w:vMerge w:val="continue"/>
            <w:tcBorders>
              <w:tl2br w:val="nil"/>
              <w:tr2bl w:val="nil"/>
            </w:tcBorders>
            <w:vAlign w:val="center"/>
          </w:tcPr>
          <w:p w14:paraId="47F318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834" w:type="pct"/>
            <w:vMerge w:val="continue"/>
            <w:tcBorders>
              <w:tl2br w:val="nil"/>
              <w:tr2bl w:val="nil"/>
            </w:tcBorders>
            <w:vAlign w:val="center"/>
          </w:tcPr>
          <w:p w14:paraId="540D5D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tcBorders>
              <w:tl2br w:val="nil"/>
              <w:tr2bl w:val="nil"/>
            </w:tcBorders>
            <w:vAlign w:val="center"/>
          </w:tcPr>
          <w:p w14:paraId="1FBF5C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昼间</w:t>
            </w:r>
          </w:p>
        </w:tc>
        <w:tc>
          <w:tcPr>
            <w:tcW w:w="669" w:type="pct"/>
            <w:tcBorders>
              <w:tl2br w:val="nil"/>
              <w:tr2bl w:val="nil"/>
            </w:tcBorders>
            <w:vAlign w:val="center"/>
          </w:tcPr>
          <w:p w14:paraId="0B45FA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夜间</w:t>
            </w:r>
          </w:p>
        </w:tc>
        <w:tc>
          <w:tcPr>
            <w:tcW w:w="1132" w:type="pct"/>
            <w:vMerge w:val="continue"/>
            <w:tcBorders>
              <w:tl2br w:val="nil"/>
              <w:tr2bl w:val="nil"/>
            </w:tcBorders>
            <w:vAlign w:val="center"/>
          </w:tcPr>
          <w:p w14:paraId="16B82B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327B82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2952E7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restart"/>
            <w:tcBorders>
              <w:tl2br w:val="nil"/>
              <w:tr2bl w:val="nil"/>
            </w:tcBorders>
            <w:vAlign w:val="center"/>
          </w:tcPr>
          <w:p w14:paraId="413D108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项目厂界东侧外1 m处</w:t>
            </w:r>
          </w:p>
        </w:tc>
        <w:tc>
          <w:tcPr>
            <w:tcW w:w="834" w:type="pct"/>
            <w:tcBorders>
              <w:tl2br w:val="nil"/>
              <w:tr2bl w:val="nil"/>
            </w:tcBorders>
            <w:vAlign w:val="center"/>
          </w:tcPr>
          <w:p w14:paraId="5EB06B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2026.3.9</w:t>
            </w:r>
          </w:p>
        </w:tc>
        <w:tc>
          <w:tcPr>
            <w:tcW w:w="1138" w:type="dxa"/>
            <w:tcBorders>
              <w:tl2br w:val="nil"/>
              <w:tr2bl w:val="nil"/>
            </w:tcBorders>
            <w:vAlign w:val="center"/>
          </w:tcPr>
          <w:p w14:paraId="3108BC27">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59</w:t>
            </w:r>
          </w:p>
        </w:tc>
        <w:tc>
          <w:tcPr>
            <w:tcW w:w="1141" w:type="dxa"/>
            <w:tcBorders>
              <w:tl2br w:val="nil"/>
              <w:tr2bl w:val="nil"/>
            </w:tcBorders>
            <w:vAlign w:val="center"/>
          </w:tcPr>
          <w:p w14:paraId="3726EE7F">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51</w:t>
            </w:r>
          </w:p>
        </w:tc>
        <w:tc>
          <w:tcPr>
            <w:tcW w:w="1132" w:type="pct"/>
            <w:vMerge w:val="restart"/>
            <w:tcBorders>
              <w:tl2br w:val="nil"/>
              <w:tr2bl w:val="nil"/>
            </w:tcBorders>
            <w:vAlign w:val="center"/>
          </w:tcPr>
          <w:p w14:paraId="73519E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昼间</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65</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dB（A）</w:t>
            </w:r>
          </w:p>
          <w:p w14:paraId="6B985F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夜间</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55</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dB（A）</w:t>
            </w:r>
          </w:p>
        </w:tc>
        <w:tc>
          <w:tcPr>
            <w:tcW w:w="667" w:type="pct"/>
            <w:vMerge w:val="restart"/>
            <w:tcBorders>
              <w:tl2br w:val="nil"/>
              <w:tr2bl w:val="nil"/>
            </w:tcBorders>
            <w:vAlign w:val="center"/>
          </w:tcPr>
          <w:p w14:paraId="4F87D7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w:t>
            </w:r>
          </w:p>
        </w:tc>
      </w:tr>
      <w:tr w14:paraId="282898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continue"/>
            <w:tcBorders>
              <w:tl2br w:val="nil"/>
              <w:tr2bl w:val="nil"/>
            </w:tcBorders>
            <w:vAlign w:val="center"/>
          </w:tcPr>
          <w:p w14:paraId="6C9416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834" w:type="pct"/>
            <w:tcBorders>
              <w:tl2br w:val="nil"/>
              <w:tr2bl w:val="nil"/>
            </w:tcBorders>
            <w:vAlign w:val="center"/>
          </w:tcPr>
          <w:p w14:paraId="08374F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2026.3.10</w:t>
            </w:r>
          </w:p>
        </w:tc>
        <w:tc>
          <w:tcPr>
            <w:tcW w:w="1138" w:type="dxa"/>
            <w:tcBorders>
              <w:tl2br w:val="nil"/>
              <w:tr2bl w:val="nil"/>
            </w:tcBorders>
            <w:vAlign w:val="center"/>
          </w:tcPr>
          <w:p w14:paraId="4CDEB6F3">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61</w:t>
            </w:r>
          </w:p>
        </w:tc>
        <w:tc>
          <w:tcPr>
            <w:tcW w:w="1141" w:type="dxa"/>
            <w:tcBorders>
              <w:tl2br w:val="nil"/>
              <w:tr2bl w:val="nil"/>
            </w:tcBorders>
            <w:vAlign w:val="center"/>
          </w:tcPr>
          <w:p w14:paraId="171D5D19">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53</w:t>
            </w:r>
          </w:p>
        </w:tc>
        <w:tc>
          <w:tcPr>
            <w:tcW w:w="1132" w:type="pct"/>
            <w:vMerge w:val="continue"/>
            <w:tcBorders>
              <w:tl2br w:val="nil"/>
              <w:tr2bl w:val="nil"/>
            </w:tcBorders>
            <w:vAlign w:val="center"/>
          </w:tcPr>
          <w:p w14:paraId="5C8953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1B4B05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1B7921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restart"/>
            <w:tcBorders>
              <w:tl2br w:val="nil"/>
              <w:tr2bl w:val="nil"/>
            </w:tcBorders>
            <w:vAlign w:val="center"/>
          </w:tcPr>
          <w:p w14:paraId="38731D7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项目厂界南侧外1 m处</w:t>
            </w:r>
          </w:p>
        </w:tc>
        <w:tc>
          <w:tcPr>
            <w:tcW w:w="1423" w:type="dxa"/>
            <w:tcBorders>
              <w:tl2br w:val="nil"/>
              <w:tr2bl w:val="nil"/>
            </w:tcBorders>
            <w:vAlign w:val="center"/>
          </w:tcPr>
          <w:p w14:paraId="333E50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2026.3.9</w:t>
            </w:r>
          </w:p>
        </w:tc>
        <w:tc>
          <w:tcPr>
            <w:tcW w:w="1138" w:type="dxa"/>
            <w:tcBorders>
              <w:tl2br w:val="nil"/>
              <w:tr2bl w:val="nil"/>
            </w:tcBorders>
            <w:vAlign w:val="center"/>
          </w:tcPr>
          <w:p w14:paraId="7891B2D3">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55</w:t>
            </w:r>
          </w:p>
        </w:tc>
        <w:tc>
          <w:tcPr>
            <w:tcW w:w="1141" w:type="dxa"/>
            <w:tcBorders>
              <w:tl2br w:val="nil"/>
              <w:tr2bl w:val="nil"/>
            </w:tcBorders>
            <w:vAlign w:val="center"/>
          </w:tcPr>
          <w:p w14:paraId="08863A06">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51</w:t>
            </w:r>
          </w:p>
        </w:tc>
        <w:tc>
          <w:tcPr>
            <w:tcW w:w="1132" w:type="pct"/>
            <w:vMerge w:val="continue"/>
            <w:tcBorders>
              <w:tl2br w:val="nil"/>
              <w:tr2bl w:val="nil"/>
            </w:tcBorders>
            <w:vAlign w:val="center"/>
          </w:tcPr>
          <w:p w14:paraId="206CA4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02FF69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46AE3F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continue"/>
            <w:tcBorders>
              <w:tl2br w:val="nil"/>
              <w:tr2bl w:val="nil"/>
            </w:tcBorders>
            <w:vAlign w:val="center"/>
          </w:tcPr>
          <w:p w14:paraId="110BA3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423" w:type="dxa"/>
            <w:tcBorders>
              <w:tl2br w:val="nil"/>
              <w:tr2bl w:val="nil"/>
            </w:tcBorders>
            <w:vAlign w:val="center"/>
          </w:tcPr>
          <w:p w14:paraId="06916A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2026.3.10</w:t>
            </w:r>
          </w:p>
        </w:tc>
        <w:tc>
          <w:tcPr>
            <w:tcW w:w="1138" w:type="dxa"/>
            <w:tcBorders>
              <w:tl2br w:val="nil"/>
              <w:tr2bl w:val="nil"/>
            </w:tcBorders>
            <w:vAlign w:val="center"/>
          </w:tcPr>
          <w:p w14:paraId="13B53242">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54</w:t>
            </w:r>
          </w:p>
        </w:tc>
        <w:tc>
          <w:tcPr>
            <w:tcW w:w="1141" w:type="dxa"/>
            <w:tcBorders>
              <w:tl2br w:val="nil"/>
              <w:tr2bl w:val="nil"/>
            </w:tcBorders>
            <w:vAlign w:val="center"/>
          </w:tcPr>
          <w:p w14:paraId="2955BA30">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54</w:t>
            </w:r>
          </w:p>
        </w:tc>
        <w:tc>
          <w:tcPr>
            <w:tcW w:w="1132" w:type="pct"/>
            <w:vMerge w:val="continue"/>
            <w:tcBorders>
              <w:tl2br w:val="nil"/>
              <w:tr2bl w:val="nil"/>
            </w:tcBorders>
            <w:vAlign w:val="center"/>
          </w:tcPr>
          <w:p w14:paraId="58D47D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6AD9F5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20F0C5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restart"/>
            <w:tcBorders>
              <w:tl2br w:val="nil"/>
              <w:tr2bl w:val="nil"/>
            </w:tcBorders>
            <w:vAlign w:val="center"/>
          </w:tcPr>
          <w:p w14:paraId="25BB4FA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项目厂界西侧外1 m处</w:t>
            </w:r>
          </w:p>
        </w:tc>
        <w:tc>
          <w:tcPr>
            <w:tcW w:w="1423" w:type="dxa"/>
            <w:tcBorders>
              <w:tl2br w:val="nil"/>
              <w:tr2bl w:val="nil"/>
            </w:tcBorders>
            <w:vAlign w:val="center"/>
          </w:tcPr>
          <w:p w14:paraId="1DECC3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2026.3.9</w:t>
            </w:r>
          </w:p>
        </w:tc>
        <w:tc>
          <w:tcPr>
            <w:tcW w:w="1138" w:type="dxa"/>
            <w:tcBorders>
              <w:tl2br w:val="nil"/>
              <w:tr2bl w:val="nil"/>
            </w:tcBorders>
            <w:vAlign w:val="center"/>
          </w:tcPr>
          <w:p w14:paraId="1F0EC77C">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54</w:t>
            </w:r>
          </w:p>
        </w:tc>
        <w:tc>
          <w:tcPr>
            <w:tcW w:w="1141" w:type="dxa"/>
            <w:tcBorders>
              <w:tl2br w:val="nil"/>
              <w:tr2bl w:val="nil"/>
            </w:tcBorders>
            <w:vAlign w:val="center"/>
          </w:tcPr>
          <w:p w14:paraId="1507A296">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49</w:t>
            </w:r>
          </w:p>
        </w:tc>
        <w:tc>
          <w:tcPr>
            <w:tcW w:w="1132" w:type="pct"/>
            <w:vMerge w:val="continue"/>
            <w:tcBorders>
              <w:tl2br w:val="nil"/>
              <w:tr2bl w:val="nil"/>
            </w:tcBorders>
            <w:vAlign w:val="center"/>
          </w:tcPr>
          <w:p w14:paraId="60F513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34F473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44EE4A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continue"/>
            <w:tcBorders>
              <w:tl2br w:val="nil"/>
              <w:tr2bl w:val="nil"/>
            </w:tcBorders>
            <w:vAlign w:val="center"/>
          </w:tcPr>
          <w:p w14:paraId="4FE7C2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423" w:type="dxa"/>
            <w:tcBorders>
              <w:tl2br w:val="nil"/>
              <w:tr2bl w:val="nil"/>
            </w:tcBorders>
            <w:vAlign w:val="center"/>
          </w:tcPr>
          <w:p w14:paraId="091478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2026.3.10</w:t>
            </w:r>
          </w:p>
        </w:tc>
        <w:tc>
          <w:tcPr>
            <w:tcW w:w="1138" w:type="dxa"/>
            <w:tcBorders>
              <w:tl2br w:val="nil"/>
              <w:tr2bl w:val="nil"/>
            </w:tcBorders>
            <w:vAlign w:val="center"/>
          </w:tcPr>
          <w:p w14:paraId="71562F60">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54</w:t>
            </w:r>
          </w:p>
        </w:tc>
        <w:tc>
          <w:tcPr>
            <w:tcW w:w="1141" w:type="dxa"/>
            <w:tcBorders>
              <w:tl2br w:val="nil"/>
              <w:tr2bl w:val="nil"/>
            </w:tcBorders>
            <w:vAlign w:val="center"/>
          </w:tcPr>
          <w:p w14:paraId="126466F2">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51</w:t>
            </w:r>
          </w:p>
        </w:tc>
        <w:tc>
          <w:tcPr>
            <w:tcW w:w="1132" w:type="pct"/>
            <w:vMerge w:val="continue"/>
            <w:tcBorders>
              <w:tl2br w:val="nil"/>
              <w:tr2bl w:val="nil"/>
            </w:tcBorders>
            <w:vAlign w:val="center"/>
          </w:tcPr>
          <w:p w14:paraId="30CE09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6B4158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C3906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restart"/>
            <w:tcBorders>
              <w:tl2br w:val="nil"/>
              <w:tr2bl w:val="nil"/>
            </w:tcBorders>
            <w:vAlign w:val="center"/>
          </w:tcPr>
          <w:p w14:paraId="04BD20C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项目厂界北侧外1 m处</w:t>
            </w:r>
          </w:p>
        </w:tc>
        <w:tc>
          <w:tcPr>
            <w:tcW w:w="1423" w:type="dxa"/>
            <w:tcBorders>
              <w:tl2br w:val="nil"/>
              <w:tr2bl w:val="nil"/>
            </w:tcBorders>
            <w:vAlign w:val="center"/>
          </w:tcPr>
          <w:p w14:paraId="669EE1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2026.3.9</w:t>
            </w:r>
          </w:p>
        </w:tc>
        <w:tc>
          <w:tcPr>
            <w:tcW w:w="1138" w:type="dxa"/>
            <w:tcBorders>
              <w:tl2br w:val="nil"/>
              <w:tr2bl w:val="nil"/>
            </w:tcBorders>
            <w:vAlign w:val="center"/>
          </w:tcPr>
          <w:p w14:paraId="7843DDCB">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56</w:t>
            </w:r>
          </w:p>
        </w:tc>
        <w:tc>
          <w:tcPr>
            <w:tcW w:w="1141" w:type="dxa"/>
            <w:tcBorders>
              <w:tl2br w:val="nil"/>
              <w:tr2bl w:val="nil"/>
            </w:tcBorders>
            <w:vAlign w:val="center"/>
          </w:tcPr>
          <w:p w14:paraId="5EA0A6EF">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48</w:t>
            </w:r>
          </w:p>
        </w:tc>
        <w:tc>
          <w:tcPr>
            <w:tcW w:w="1132" w:type="pct"/>
            <w:vMerge w:val="continue"/>
            <w:tcBorders>
              <w:tl2br w:val="nil"/>
              <w:tr2bl w:val="nil"/>
            </w:tcBorders>
            <w:vAlign w:val="center"/>
          </w:tcPr>
          <w:p w14:paraId="543118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7A77AD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362AE7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continue"/>
            <w:tcBorders>
              <w:tl2br w:val="nil"/>
              <w:tr2bl w:val="nil"/>
            </w:tcBorders>
            <w:vAlign w:val="center"/>
          </w:tcPr>
          <w:p w14:paraId="12B87C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423" w:type="dxa"/>
            <w:tcBorders>
              <w:tl2br w:val="nil"/>
              <w:tr2bl w:val="nil"/>
            </w:tcBorders>
            <w:vAlign w:val="center"/>
          </w:tcPr>
          <w:p w14:paraId="4A7FEE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2026.3.10</w:t>
            </w:r>
          </w:p>
        </w:tc>
        <w:tc>
          <w:tcPr>
            <w:tcW w:w="1138" w:type="dxa"/>
            <w:tcBorders>
              <w:tl2br w:val="nil"/>
              <w:tr2bl w:val="nil"/>
            </w:tcBorders>
            <w:vAlign w:val="center"/>
          </w:tcPr>
          <w:p w14:paraId="28E730FC">
            <w:pPr>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60</w:t>
            </w:r>
          </w:p>
        </w:tc>
        <w:tc>
          <w:tcPr>
            <w:tcW w:w="1141" w:type="dxa"/>
            <w:tcBorders>
              <w:tl2br w:val="nil"/>
              <w:tr2bl w:val="nil"/>
            </w:tcBorders>
            <w:vAlign w:val="center"/>
          </w:tcPr>
          <w:p w14:paraId="484F01EC">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52</w:t>
            </w:r>
          </w:p>
        </w:tc>
        <w:tc>
          <w:tcPr>
            <w:tcW w:w="1132" w:type="pct"/>
            <w:vMerge w:val="continue"/>
            <w:tcBorders>
              <w:tl2br w:val="nil"/>
              <w:tr2bl w:val="nil"/>
            </w:tcBorders>
            <w:vAlign w:val="center"/>
          </w:tcPr>
          <w:p w14:paraId="1A0994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7C8FDD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3F14F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restart"/>
            <w:tcBorders>
              <w:tl2br w:val="nil"/>
              <w:tr2bl w:val="nil"/>
            </w:tcBorders>
            <w:vAlign w:val="center"/>
          </w:tcPr>
          <w:p w14:paraId="27005A2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项目西北侧最近居民点</w:t>
            </w:r>
          </w:p>
        </w:tc>
        <w:tc>
          <w:tcPr>
            <w:tcW w:w="1423" w:type="dxa"/>
            <w:tcBorders>
              <w:tl2br w:val="nil"/>
              <w:tr2bl w:val="nil"/>
            </w:tcBorders>
            <w:vAlign w:val="center"/>
          </w:tcPr>
          <w:p w14:paraId="538EF0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2026.3.9</w:t>
            </w:r>
          </w:p>
        </w:tc>
        <w:tc>
          <w:tcPr>
            <w:tcW w:w="1138" w:type="dxa"/>
            <w:tcBorders>
              <w:tl2br w:val="nil"/>
              <w:tr2bl w:val="nil"/>
            </w:tcBorders>
            <w:vAlign w:val="center"/>
          </w:tcPr>
          <w:p w14:paraId="2DBA592C">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51</w:t>
            </w:r>
          </w:p>
        </w:tc>
        <w:tc>
          <w:tcPr>
            <w:tcW w:w="1141" w:type="dxa"/>
            <w:tcBorders>
              <w:tl2br w:val="nil"/>
              <w:tr2bl w:val="nil"/>
            </w:tcBorders>
            <w:vAlign w:val="center"/>
          </w:tcPr>
          <w:p w14:paraId="60FBCA7E">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45</w:t>
            </w:r>
          </w:p>
        </w:tc>
        <w:tc>
          <w:tcPr>
            <w:tcW w:w="1132" w:type="pct"/>
            <w:vMerge w:val="restart"/>
            <w:tcBorders>
              <w:tl2br w:val="nil"/>
              <w:tr2bl w:val="nil"/>
            </w:tcBorders>
            <w:vAlign w:val="center"/>
          </w:tcPr>
          <w:p w14:paraId="7ED1AA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昼间</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6</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 </w:t>
            </w:r>
            <w:r>
              <w:rPr>
                <w:rFonts w:hint="default" w:ascii="Times New Roman" w:hAnsi="Times New Roman" w:eastAsia="宋体" w:cs="Times New Roman"/>
                <w:color w:val="000000" w:themeColor="text1"/>
                <w:sz w:val="21"/>
                <w:szCs w:val="21"/>
                <w:u w:val="none" w:color="auto"/>
                <w14:textFill>
                  <w14:solidFill>
                    <w14:schemeClr w14:val="tx1"/>
                  </w14:solidFill>
                </w14:textFill>
              </w:rPr>
              <w:t>dB（A）</w:t>
            </w:r>
          </w:p>
          <w:p w14:paraId="64C3F0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夜间</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5</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 </w:t>
            </w:r>
            <w:r>
              <w:rPr>
                <w:rFonts w:hint="default" w:ascii="Times New Roman" w:hAnsi="Times New Roman" w:eastAsia="宋体" w:cs="Times New Roman"/>
                <w:color w:val="000000" w:themeColor="text1"/>
                <w:sz w:val="21"/>
                <w:szCs w:val="21"/>
                <w:u w:val="none" w:color="auto"/>
                <w14:textFill>
                  <w14:solidFill>
                    <w14:schemeClr w14:val="tx1"/>
                  </w14:solidFill>
                </w14:textFill>
              </w:rPr>
              <w:t>dB（A）</w:t>
            </w:r>
          </w:p>
        </w:tc>
        <w:tc>
          <w:tcPr>
            <w:tcW w:w="667" w:type="pct"/>
            <w:vMerge w:val="restart"/>
            <w:tcBorders>
              <w:tl2br w:val="nil"/>
              <w:tr2bl w:val="nil"/>
            </w:tcBorders>
            <w:vAlign w:val="center"/>
          </w:tcPr>
          <w:p w14:paraId="6F34B4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达标</w:t>
            </w:r>
          </w:p>
        </w:tc>
      </w:tr>
      <w:tr w14:paraId="7FD2E9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28" w:type="pct"/>
            <w:vMerge w:val="continue"/>
            <w:tcBorders>
              <w:tl2br w:val="nil"/>
              <w:tr2bl w:val="nil"/>
            </w:tcBorders>
            <w:vAlign w:val="center"/>
          </w:tcPr>
          <w:p w14:paraId="6B89BF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423" w:type="dxa"/>
            <w:tcBorders>
              <w:tl2br w:val="nil"/>
              <w:tr2bl w:val="nil"/>
            </w:tcBorders>
            <w:vAlign w:val="center"/>
          </w:tcPr>
          <w:p w14:paraId="1E75A8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2026.3.10</w:t>
            </w:r>
          </w:p>
        </w:tc>
        <w:tc>
          <w:tcPr>
            <w:tcW w:w="1138" w:type="dxa"/>
            <w:tcBorders>
              <w:tl2br w:val="nil"/>
              <w:tr2bl w:val="nil"/>
            </w:tcBorders>
            <w:vAlign w:val="center"/>
          </w:tcPr>
          <w:p w14:paraId="22D31450">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53</w:t>
            </w:r>
          </w:p>
        </w:tc>
        <w:tc>
          <w:tcPr>
            <w:tcW w:w="1141" w:type="dxa"/>
            <w:tcBorders>
              <w:tl2br w:val="nil"/>
              <w:tr2bl w:val="nil"/>
            </w:tcBorders>
            <w:vAlign w:val="center"/>
          </w:tcPr>
          <w:p w14:paraId="16BF0327">
            <w:pPr>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49</w:t>
            </w:r>
          </w:p>
        </w:tc>
        <w:tc>
          <w:tcPr>
            <w:tcW w:w="1132" w:type="pct"/>
            <w:vMerge w:val="continue"/>
            <w:tcBorders>
              <w:tl2br w:val="nil"/>
              <w:tr2bl w:val="nil"/>
            </w:tcBorders>
            <w:vAlign w:val="center"/>
          </w:tcPr>
          <w:p w14:paraId="38E8AA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67" w:type="pct"/>
            <w:vMerge w:val="continue"/>
            <w:tcBorders>
              <w:tl2br w:val="nil"/>
              <w:tr2bl w:val="nil"/>
            </w:tcBorders>
            <w:vAlign w:val="center"/>
          </w:tcPr>
          <w:p w14:paraId="50E517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bl>
    <w:p w14:paraId="59618651">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由上表可知，项目厂界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四周各</w:t>
      </w:r>
      <w:r>
        <w:rPr>
          <w:rFonts w:hint="default" w:ascii="Times New Roman" w:hAnsi="Times New Roman" w:eastAsia="宋体" w:cs="Times New Roman"/>
          <w:color w:val="000000" w:themeColor="text1"/>
          <w:u w:val="none" w:color="auto"/>
          <w14:textFill>
            <w14:solidFill>
              <w14:schemeClr w14:val="tx1"/>
            </w14:solidFill>
          </w14:textFill>
        </w:rPr>
        <w:t>监测点昼、夜间声环境现状监测值均可达《声环境质量标准》的3类标准，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西北侧最近居民点</w:t>
      </w:r>
      <w:r>
        <w:rPr>
          <w:rFonts w:hint="default" w:ascii="Times New Roman" w:hAnsi="Times New Roman" w:eastAsia="宋体" w:cs="Times New Roman"/>
          <w:color w:val="000000" w:themeColor="text1"/>
          <w:u w:val="none" w:color="auto"/>
          <w14:textFill>
            <w14:solidFill>
              <w14:schemeClr w14:val="tx1"/>
            </w14:solidFill>
          </w14:textFill>
        </w:rPr>
        <w:t>满足《声环境质量标准》的2类标准，项目所在区域声环境质量良好。</w:t>
      </w:r>
    </w:p>
    <w:p w14:paraId="0D6AA7AC">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49" w:name="_Toc191240026"/>
      <w:bookmarkStart w:id="250" w:name="_Toc144276925"/>
      <w:bookmarkStart w:id="251" w:name="_Toc164200814"/>
      <w:bookmarkStart w:id="252" w:name="_Toc144236795"/>
      <w:bookmarkStart w:id="253" w:name="_Toc72788743"/>
      <w:bookmarkStart w:id="254" w:name="_Toc5880"/>
      <w:bookmarkStart w:id="255" w:name="_Toc187011333"/>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5 土壤环境质量现状调查与评价</w:t>
      </w:r>
      <w:bookmarkEnd w:id="249"/>
      <w:bookmarkEnd w:id="250"/>
      <w:bookmarkEnd w:id="251"/>
      <w:bookmarkEnd w:id="252"/>
      <w:bookmarkEnd w:id="253"/>
      <w:bookmarkEnd w:id="254"/>
      <w:bookmarkEnd w:id="255"/>
    </w:p>
    <w:p w14:paraId="4FAF2795">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（1）监测布点</w:t>
      </w:r>
    </w:p>
    <w:p w14:paraId="0D8E5E84">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本项目共布设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个点位，具体位置见下表所示。</w:t>
      </w:r>
    </w:p>
    <w:p w14:paraId="29CCAA3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5-1  土壤环境现状监测点位一览表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7"/>
        <w:gridCol w:w="1277"/>
        <w:gridCol w:w="2403"/>
        <w:gridCol w:w="1659"/>
        <w:gridCol w:w="1522"/>
      </w:tblGrid>
      <w:tr w14:paraId="4A99FE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977" w:type="pct"/>
            <w:tcBorders>
              <w:top w:val="single" w:color="auto" w:sz="12" w:space="0"/>
              <w:left w:val="single" w:color="auto" w:sz="12" w:space="0"/>
              <w:bottom w:val="single" w:color="auto" w:sz="4" w:space="0"/>
              <w:right w:val="single" w:color="auto" w:sz="4" w:space="0"/>
            </w:tcBorders>
            <w:vAlign w:val="center"/>
          </w:tcPr>
          <w:p w14:paraId="2BAA1B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点位名称</w:t>
            </w:r>
          </w:p>
        </w:tc>
        <w:tc>
          <w:tcPr>
            <w:tcW w:w="748" w:type="pct"/>
            <w:tcBorders>
              <w:top w:val="single" w:color="auto" w:sz="12" w:space="0"/>
              <w:left w:val="single" w:color="auto" w:sz="4" w:space="0"/>
              <w:bottom w:val="single" w:color="auto" w:sz="4" w:space="0"/>
              <w:right w:val="single" w:color="auto" w:sz="4" w:space="0"/>
            </w:tcBorders>
            <w:vAlign w:val="center"/>
          </w:tcPr>
          <w:p w14:paraId="37EDE7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监测时间</w:t>
            </w:r>
          </w:p>
        </w:tc>
        <w:tc>
          <w:tcPr>
            <w:tcW w:w="1408" w:type="pct"/>
            <w:tcBorders>
              <w:top w:val="single" w:color="auto" w:sz="12" w:space="0"/>
              <w:left w:val="single" w:color="auto" w:sz="4" w:space="0"/>
              <w:bottom w:val="single" w:color="auto" w:sz="4" w:space="0"/>
              <w:right w:val="single" w:color="auto" w:sz="4" w:space="0"/>
            </w:tcBorders>
            <w:vAlign w:val="center"/>
          </w:tcPr>
          <w:p w14:paraId="3CD4FA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监测因子</w:t>
            </w:r>
          </w:p>
        </w:tc>
        <w:tc>
          <w:tcPr>
            <w:tcW w:w="972" w:type="pct"/>
            <w:tcBorders>
              <w:top w:val="single" w:color="auto" w:sz="12" w:space="0"/>
              <w:left w:val="single" w:color="auto" w:sz="4" w:space="0"/>
              <w:bottom w:val="single" w:color="auto" w:sz="4" w:space="0"/>
              <w:right w:val="single" w:color="auto" w:sz="4" w:space="0"/>
            </w:tcBorders>
            <w:vAlign w:val="center"/>
          </w:tcPr>
          <w:p w14:paraId="5199C9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采样深度</w:t>
            </w:r>
          </w:p>
        </w:tc>
        <w:tc>
          <w:tcPr>
            <w:tcW w:w="892" w:type="pct"/>
            <w:tcBorders>
              <w:top w:val="single" w:color="auto" w:sz="12" w:space="0"/>
              <w:left w:val="single" w:color="auto" w:sz="4" w:space="0"/>
              <w:bottom w:val="single" w:color="auto" w:sz="4" w:space="0"/>
              <w:right w:val="single" w:color="auto" w:sz="12" w:space="0"/>
            </w:tcBorders>
            <w:vAlign w:val="center"/>
          </w:tcPr>
          <w:p w14:paraId="13DAC3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执行标准</w:t>
            </w:r>
          </w:p>
        </w:tc>
      </w:tr>
      <w:tr w14:paraId="77A93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7" w:type="pct"/>
            <w:tcBorders>
              <w:top w:val="single" w:color="auto" w:sz="4" w:space="0"/>
              <w:left w:val="single" w:color="auto" w:sz="12" w:space="0"/>
              <w:bottom w:val="single" w:color="auto" w:sz="4" w:space="0"/>
              <w:right w:val="single" w:color="auto" w:sz="4" w:space="0"/>
            </w:tcBorders>
            <w:vAlign w:val="center"/>
          </w:tcPr>
          <w:p w14:paraId="10B465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T1厂内</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表层</w:t>
            </w:r>
            <w:r>
              <w:rPr>
                <w:rFonts w:hint="default" w:ascii="Times New Roman" w:hAnsi="Times New Roman" w:eastAsia="宋体" w:cs="Times New Roman"/>
                <w:color w:val="000000" w:themeColor="text1"/>
                <w:u w:val="none" w:color="auto"/>
                <w14:textFill>
                  <w14:solidFill>
                    <w14:schemeClr w14:val="tx1"/>
                  </w14:solidFill>
                </w14:textFill>
              </w:rPr>
              <w:t>样</w:t>
            </w:r>
          </w:p>
        </w:tc>
        <w:tc>
          <w:tcPr>
            <w:tcW w:w="748" w:type="pct"/>
            <w:tcBorders>
              <w:top w:val="single" w:color="auto" w:sz="4" w:space="0"/>
              <w:left w:val="single" w:color="auto" w:sz="4" w:space="0"/>
              <w:bottom w:val="single" w:color="auto" w:sz="4" w:space="0"/>
              <w:right w:val="single" w:color="auto" w:sz="4" w:space="0"/>
            </w:tcBorders>
            <w:vAlign w:val="center"/>
          </w:tcPr>
          <w:p w14:paraId="73A420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08" w:type="pct"/>
            <w:tcBorders>
              <w:top w:val="single" w:color="auto" w:sz="4" w:space="0"/>
              <w:left w:val="single" w:color="auto" w:sz="4" w:space="0"/>
              <w:bottom w:val="single" w:color="auto" w:sz="4" w:space="0"/>
              <w:right w:val="single" w:color="auto" w:sz="4" w:space="0"/>
            </w:tcBorders>
            <w:vAlign w:val="center"/>
          </w:tcPr>
          <w:p w14:paraId="7A90EB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《土壤环境质量建设用地土壤污染风险管控标准（试行）》（GB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36600-2018）表1中45项基本项目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+石油烃</w:t>
            </w:r>
          </w:p>
        </w:tc>
        <w:tc>
          <w:tcPr>
            <w:tcW w:w="972" w:type="pct"/>
            <w:tcBorders>
              <w:top w:val="single" w:color="auto" w:sz="4" w:space="0"/>
              <w:left w:val="single" w:color="auto" w:sz="4" w:space="0"/>
              <w:bottom w:val="single" w:color="auto" w:sz="4" w:space="0"/>
              <w:right w:val="single" w:color="auto" w:sz="4" w:space="0"/>
            </w:tcBorders>
            <w:vAlign w:val="center"/>
          </w:tcPr>
          <w:p w14:paraId="249498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p>
        </w:tc>
        <w:tc>
          <w:tcPr>
            <w:tcW w:w="892" w:type="pct"/>
            <w:vMerge w:val="restart"/>
            <w:tcBorders>
              <w:top w:val="single" w:color="auto" w:sz="4" w:space="0"/>
              <w:left w:val="single" w:color="auto" w:sz="4" w:space="0"/>
              <w:bottom w:val="single" w:color="auto" w:sz="4" w:space="0"/>
              <w:right w:val="single" w:color="auto" w:sz="12" w:space="0"/>
            </w:tcBorders>
            <w:vAlign w:val="center"/>
          </w:tcPr>
          <w:p w14:paraId="73B4BC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fldChar w:fldCharType="begin"/>
            </w:r>
            <w:r>
              <w:rPr>
                <w:rFonts w:hint="default" w:ascii="Times New Roman" w:hAnsi="Times New Roman" w:eastAsia="宋体" w:cs="Times New Roman"/>
                <w:color w:val="000000" w:themeColor="text1"/>
                <w:u w:val="none" w:color="auto"/>
                <w14:textFill>
                  <w14:solidFill>
                    <w14:schemeClr w14:val="tx1"/>
                  </w14:solidFill>
                </w14:textFill>
              </w:rPr>
              <w:instrText xml:space="preserve"> HYPERLINK "https://www.mee.gov.cn/ywgz/fgbz/bz/bzwb/trhj/201807/W020190626596188930731.pdf" </w:instrText>
            </w:r>
            <w:r>
              <w:rPr>
                <w:rFonts w:hint="default" w:ascii="Times New Roman" w:hAnsi="Times New Roman" w:eastAsia="宋体" w:cs="Times New Roman"/>
                <w:color w:val="000000" w:themeColor="text1"/>
                <w:u w:val="none" w:color="auto"/>
                <w14:textFill>
                  <w14:solidFill>
                    <w14:schemeClr w14:val="tx1"/>
                  </w14:solidFill>
                </w14:textFill>
              </w:rPr>
              <w:fldChar w:fldCharType="separate"/>
            </w:r>
            <w:r>
              <w:rPr>
                <w:rFonts w:hint="default" w:ascii="Times New Roman" w:hAnsi="Times New Roman" w:eastAsia="宋体" w:cs="Times New Roman"/>
                <w:color w:val="000000" w:themeColor="text1"/>
                <w:u w:val="none" w:color="auto"/>
                <w14:textFill>
                  <w14:solidFill>
                    <w14:schemeClr w14:val="tx1"/>
                  </w14:solidFill>
                </w14:textFill>
              </w:rPr>
              <w:t>土壤环境质量 建设用地土壤污染风险管控标准（试行）</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36600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2018</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fldChar w:fldCharType="end"/>
            </w:r>
          </w:p>
        </w:tc>
      </w:tr>
      <w:tr w14:paraId="5A7DC6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7" w:type="pct"/>
            <w:tcBorders>
              <w:top w:val="single" w:color="auto" w:sz="4" w:space="0"/>
              <w:left w:val="single" w:color="auto" w:sz="12" w:space="0"/>
              <w:bottom w:val="single" w:color="auto" w:sz="4" w:space="0"/>
              <w:right w:val="single" w:color="auto" w:sz="4" w:space="0"/>
            </w:tcBorders>
            <w:vAlign w:val="center"/>
          </w:tcPr>
          <w:p w14:paraId="3286BD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T2厂内</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表层</w:t>
            </w:r>
            <w:r>
              <w:rPr>
                <w:rFonts w:hint="default" w:ascii="Times New Roman" w:hAnsi="Times New Roman" w:eastAsia="宋体" w:cs="Times New Roman"/>
                <w:color w:val="000000" w:themeColor="text1"/>
                <w:u w:val="none" w:color="auto"/>
                <w14:textFill>
                  <w14:solidFill>
                    <w14:schemeClr w14:val="tx1"/>
                  </w14:solidFill>
                </w14:textFill>
              </w:rPr>
              <w:t>样</w:t>
            </w:r>
          </w:p>
        </w:tc>
        <w:tc>
          <w:tcPr>
            <w:tcW w:w="748" w:type="pct"/>
            <w:tcBorders>
              <w:top w:val="single" w:color="auto" w:sz="4" w:space="0"/>
              <w:left w:val="single" w:color="auto" w:sz="4" w:space="0"/>
              <w:bottom w:val="single" w:color="auto" w:sz="4" w:space="0"/>
              <w:right w:val="single" w:color="auto" w:sz="4" w:space="0"/>
            </w:tcBorders>
            <w:vAlign w:val="center"/>
          </w:tcPr>
          <w:p w14:paraId="761C1F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08" w:type="pct"/>
            <w:vMerge w:val="restart"/>
            <w:tcBorders>
              <w:top w:val="single" w:color="auto" w:sz="4" w:space="0"/>
              <w:left w:val="single" w:color="auto" w:sz="4" w:space="0"/>
              <w:right w:val="single" w:color="auto" w:sz="4" w:space="0"/>
            </w:tcBorders>
            <w:vAlign w:val="center"/>
          </w:tcPr>
          <w:p w14:paraId="2FF38B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砷、镉、六价铬、铜、铅、汞、镍、石油烃</w:t>
            </w:r>
          </w:p>
        </w:tc>
        <w:tc>
          <w:tcPr>
            <w:tcW w:w="972" w:type="pct"/>
            <w:tcBorders>
              <w:top w:val="single" w:color="auto" w:sz="4" w:space="0"/>
              <w:left w:val="single" w:color="auto" w:sz="4" w:space="0"/>
              <w:bottom w:val="single" w:color="auto" w:sz="4" w:space="0"/>
              <w:right w:val="single" w:color="auto" w:sz="4" w:space="0"/>
            </w:tcBorders>
            <w:vAlign w:val="center"/>
          </w:tcPr>
          <w:p w14:paraId="2D3458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p>
        </w:tc>
        <w:tc>
          <w:tcPr>
            <w:tcW w:w="892" w:type="pct"/>
            <w:vMerge w:val="continue"/>
            <w:tcBorders>
              <w:top w:val="single" w:color="auto" w:sz="4" w:space="0"/>
              <w:left w:val="single" w:color="auto" w:sz="4" w:space="0"/>
              <w:bottom w:val="single" w:color="auto" w:sz="4" w:space="0"/>
              <w:right w:val="single" w:color="auto" w:sz="12" w:space="0"/>
            </w:tcBorders>
            <w:vAlign w:val="center"/>
          </w:tcPr>
          <w:p w14:paraId="4C2C4C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14:textFill>
                  <w14:solidFill>
                    <w14:schemeClr w14:val="tx1"/>
                  </w14:solidFill>
                </w14:textFill>
              </w:rPr>
            </w:pPr>
          </w:p>
        </w:tc>
      </w:tr>
      <w:tr w14:paraId="665B6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7" w:type="pct"/>
            <w:tcBorders>
              <w:top w:val="single" w:color="auto" w:sz="4" w:space="0"/>
              <w:left w:val="single" w:color="auto" w:sz="12" w:space="0"/>
              <w:bottom w:val="single" w:color="auto" w:sz="4" w:space="0"/>
              <w:right w:val="single" w:color="auto" w:sz="4" w:space="0"/>
            </w:tcBorders>
            <w:vAlign w:val="center"/>
          </w:tcPr>
          <w:p w14:paraId="263E67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T3厂内</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表层</w:t>
            </w:r>
            <w:r>
              <w:rPr>
                <w:rFonts w:hint="default" w:ascii="Times New Roman" w:hAnsi="Times New Roman" w:eastAsia="宋体" w:cs="Times New Roman"/>
                <w:color w:val="000000" w:themeColor="text1"/>
                <w:u w:val="none" w:color="auto"/>
                <w14:textFill>
                  <w14:solidFill>
                    <w14:schemeClr w14:val="tx1"/>
                  </w14:solidFill>
                </w14:textFill>
              </w:rPr>
              <w:t>样</w:t>
            </w:r>
          </w:p>
        </w:tc>
        <w:tc>
          <w:tcPr>
            <w:tcW w:w="748" w:type="pct"/>
            <w:tcBorders>
              <w:top w:val="single" w:color="auto" w:sz="4" w:space="0"/>
              <w:left w:val="single" w:color="auto" w:sz="4" w:space="0"/>
              <w:bottom w:val="single" w:color="auto" w:sz="4" w:space="0"/>
              <w:right w:val="single" w:color="auto" w:sz="4" w:space="0"/>
            </w:tcBorders>
            <w:vAlign w:val="center"/>
          </w:tcPr>
          <w:p w14:paraId="43194D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08" w:type="pct"/>
            <w:vMerge w:val="continue"/>
            <w:tcBorders>
              <w:left w:val="single" w:color="auto" w:sz="4" w:space="0"/>
              <w:bottom w:val="single" w:color="auto" w:sz="4" w:space="0"/>
              <w:right w:val="single" w:color="auto" w:sz="4" w:space="0"/>
            </w:tcBorders>
            <w:vAlign w:val="center"/>
          </w:tcPr>
          <w:p w14:paraId="3CAF7C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72" w:type="pct"/>
            <w:tcBorders>
              <w:top w:val="single" w:color="auto" w:sz="4" w:space="0"/>
              <w:left w:val="single" w:color="auto" w:sz="4" w:space="0"/>
              <w:bottom w:val="single" w:color="auto" w:sz="4" w:space="0"/>
              <w:right w:val="single" w:color="auto" w:sz="4" w:space="0"/>
            </w:tcBorders>
            <w:vAlign w:val="center"/>
          </w:tcPr>
          <w:p w14:paraId="335620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0~0.5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p>
        </w:tc>
        <w:tc>
          <w:tcPr>
            <w:tcW w:w="892" w:type="pct"/>
            <w:vMerge w:val="continue"/>
            <w:tcBorders>
              <w:top w:val="single" w:color="auto" w:sz="4" w:space="0"/>
              <w:left w:val="single" w:color="auto" w:sz="4" w:space="0"/>
              <w:bottom w:val="single" w:color="auto" w:sz="4" w:space="0"/>
              <w:right w:val="single" w:color="auto" w:sz="12" w:space="0"/>
            </w:tcBorders>
            <w:vAlign w:val="center"/>
          </w:tcPr>
          <w:p w14:paraId="0A331F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0"/>
                <w:szCs w:val="21"/>
                <w:u w:val="none" w:color="auto"/>
                <w14:textFill>
                  <w14:solidFill>
                    <w14:schemeClr w14:val="tx1"/>
                  </w14:solidFill>
                </w14:textFill>
              </w:rPr>
            </w:pPr>
          </w:p>
        </w:tc>
      </w:tr>
    </w:tbl>
    <w:p w14:paraId="4CE2E95D">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（2）监测时间</w:t>
      </w:r>
    </w:p>
    <w:p w14:paraId="2BA1223E">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监测时间为202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月18日。</w:t>
      </w:r>
    </w:p>
    <w:p w14:paraId="5FAB75D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（3）监测单位</w:t>
      </w:r>
    </w:p>
    <w:p w14:paraId="4FD3D63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湖南环景检测有限公司</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0CCD455C">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（4）监测频次</w:t>
      </w:r>
    </w:p>
    <w:p w14:paraId="39EAA44D">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一次采样。</w:t>
      </w:r>
    </w:p>
    <w:p w14:paraId="4D515DB8">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（5）评价标准</w:t>
      </w:r>
    </w:p>
    <w:p w14:paraId="45853CC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建设用地土壤执行《土壤环境质量建设用地土壤污染风险管控标准（试行）》（GB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36600-2018）第二类用地筛选值。</w:t>
      </w:r>
    </w:p>
    <w:p w14:paraId="237A5FF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5-2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土壤</w:t>
      </w:r>
      <w:r>
        <w:rPr>
          <w:rFonts w:hint="default" w:ascii="Times New Roman" w:hAnsi="Times New Roman" w:eastAsia="宋体" w:cs="Times New Roman"/>
          <w:color w:val="000000" w:themeColor="text1"/>
          <w:u w:val="none" w:color="auto"/>
          <w14:textFill>
            <w14:solidFill>
              <w14:schemeClr w14:val="tx1"/>
            </w14:solidFill>
          </w14:textFill>
        </w:rPr>
        <w:t>现状检测结果</w:t>
      </w:r>
    </w:p>
    <w:tbl>
      <w:tblPr>
        <w:tblStyle w:val="37"/>
        <w:tblW w:w="5034"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1398"/>
        <w:gridCol w:w="1136"/>
        <w:gridCol w:w="607"/>
        <w:gridCol w:w="1946"/>
        <w:gridCol w:w="1042"/>
        <w:gridCol w:w="1091"/>
        <w:gridCol w:w="1179"/>
      </w:tblGrid>
      <w:tr w14:paraId="12AFB61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832" w:type="pct"/>
            <w:vAlign w:val="center"/>
          </w:tcPr>
          <w:p w14:paraId="30FE6D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采样点位</w:t>
            </w:r>
          </w:p>
        </w:tc>
        <w:tc>
          <w:tcPr>
            <w:tcW w:w="676" w:type="pct"/>
            <w:vAlign w:val="center"/>
          </w:tcPr>
          <w:p w14:paraId="613350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采样深度</w:t>
            </w:r>
          </w:p>
        </w:tc>
        <w:tc>
          <w:tcPr>
            <w:tcW w:w="1519" w:type="pct"/>
            <w:gridSpan w:val="2"/>
            <w:vAlign w:val="center"/>
          </w:tcPr>
          <w:p w14:paraId="08976F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检测项目</w:t>
            </w:r>
          </w:p>
        </w:tc>
        <w:tc>
          <w:tcPr>
            <w:tcW w:w="620" w:type="pct"/>
            <w:vAlign w:val="center"/>
          </w:tcPr>
          <w:p w14:paraId="34908D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单位</w:t>
            </w:r>
          </w:p>
        </w:tc>
        <w:tc>
          <w:tcPr>
            <w:tcW w:w="649" w:type="pct"/>
            <w:vAlign w:val="center"/>
          </w:tcPr>
          <w:p w14:paraId="289243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检测结果</w:t>
            </w:r>
          </w:p>
        </w:tc>
        <w:tc>
          <w:tcPr>
            <w:tcW w:w="701" w:type="pct"/>
            <w:vAlign w:val="center"/>
          </w:tcPr>
          <w:p w14:paraId="0E3E9A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筛选值</w:t>
            </w:r>
          </w:p>
        </w:tc>
      </w:tr>
      <w:tr w14:paraId="0DD8805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restart"/>
            <w:vAlign w:val="center"/>
          </w:tcPr>
          <w:p w14:paraId="79E905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color="auto"/>
                <w14:textFill>
                  <w14:solidFill>
                    <w14:schemeClr w14:val="tx1"/>
                  </w14:solidFill>
                </w14:textFill>
              </w:rPr>
              <w:t>厂内表层样</w:t>
            </w:r>
          </w:p>
        </w:tc>
        <w:tc>
          <w:tcPr>
            <w:tcW w:w="676" w:type="pct"/>
            <w:vMerge w:val="restart"/>
            <w:vAlign w:val="center"/>
          </w:tcPr>
          <w:p w14:paraId="7B8A3F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0.5 </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p>
        </w:tc>
        <w:tc>
          <w:tcPr>
            <w:tcW w:w="1519" w:type="pct"/>
            <w:gridSpan w:val="2"/>
            <w:shd w:val="clear" w:color="auto" w:fill="auto"/>
            <w:vAlign w:val="center"/>
          </w:tcPr>
          <w:p w14:paraId="01AEBE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砷</w:t>
            </w:r>
          </w:p>
        </w:tc>
        <w:tc>
          <w:tcPr>
            <w:tcW w:w="620" w:type="pct"/>
            <w:shd w:val="clear" w:color="auto" w:fill="auto"/>
            <w:vAlign w:val="center"/>
          </w:tcPr>
          <w:p w14:paraId="27DCEE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shd w:val="clear" w:color="auto" w:fill="auto"/>
            <w:vAlign w:val="center"/>
          </w:tcPr>
          <w:p w14:paraId="61B7FE32">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19.2</w:t>
            </w:r>
          </w:p>
        </w:tc>
        <w:tc>
          <w:tcPr>
            <w:tcW w:w="701" w:type="pct"/>
            <w:shd w:val="clear" w:color="auto" w:fill="auto"/>
            <w:vAlign w:val="center"/>
          </w:tcPr>
          <w:p w14:paraId="6A9FC1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60</w:t>
            </w:r>
          </w:p>
        </w:tc>
      </w:tr>
      <w:tr w14:paraId="5627C7A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5838F1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1BA14E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163CC1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镉</w:t>
            </w:r>
          </w:p>
        </w:tc>
        <w:tc>
          <w:tcPr>
            <w:tcW w:w="620" w:type="pct"/>
            <w:vAlign w:val="center"/>
          </w:tcPr>
          <w:p w14:paraId="33C64E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vAlign w:val="center"/>
          </w:tcPr>
          <w:p w14:paraId="59BCD6B0">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0.08</w:t>
            </w:r>
          </w:p>
        </w:tc>
        <w:tc>
          <w:tcPr>
            <w:tcW w:w="701" w:type="pct"/>
            <w:vAlign w:val="center"/>
          </w:tcPr>
          <w:p w14:paraId="3C8505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65</w:t>
            </w:r>
          </w:p>
        </w:tc>
      </w:tr>
      <w:tr w14:paraId="0D3B1430">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4F2477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506EE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60B17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六价铬</w:t>
            </w:r>
          </w:p>
        </w:tc>
        <w:tc>
          <w:tcPr>
            <w:tcW w:w="620" w:type="pct"/>
            <w:vAlign w:val="center"/>
          </w:tcPr>
          <w:p w14:paraId="629487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vAlign w:val="center"/>
          </w:tcPr>
          <w:p w14:paraId="771B067A">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62D47F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5.7</w:t>
            </w:r>
          </w:p>
        </w:tc>
      </w:tr>
      <w:tr w14:paraId="2D9C936E">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2E823E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5A165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BC225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铜</w:t>
            </w:r>
          </w:p>
        </w:tc>
        <w:tc>
          <w:tcPr>
            <w:tcW w:w="620" w:type="pct"/>
            <w:vAlign w:val="center"/>
          </w:tcPr>
          <w:p w14:paraId="521AC2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vAlign w:val="center"/>
          </w:tcPr>
          <w:p w14:paraId="679F4EA3">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701" w:type="pct"/>
            <w:vAlign w:val="center"/>
          </w:tcPr>
          <w:p w14:paraId="6598AF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18000</w:t>
            </w:r>
          </w:p>
        </w:tc>
      </w:tr>
      <w:tr w14:paraId="17EE5498">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6AD09B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FEB8F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6AEF7B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铅</w:t>
            </w:r>
          </w:p>
        </w:tc>
        <w:tc>
          <w:tcPr>
            <w:tcW w:w="620" w:type="pct"/>
            <w:vAlign w:val="center"/>
          </w:tcPr>
          <w:p w14:paraId="0062B9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vAlign w:val="center"/>
          </w:tcPr>
          <w:p w14:paraId="666C39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10.8</w:t>
            </w:r>
          </w:p>
        </w:tc>
        <w:tc>
          <w:tcPr>
            <w:tcW w:w="701" w:type="pct"/>
            <w:vAlign w:val="center"/>
          </w:tcPr>
          <w:p w14:paraId="60D9A0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800</w:t>
            </w:r>
          </w:p>
        </w:tc>
      </w:tr>
      <w:tr w14:paraId="1D766CEE">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2D3010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7FF85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10A4A0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汞</w:t>
            </w:r>
          </w:p>
        </w:tc>
        <w:tc>
          <w:tcPr>
            <w:tcW w:w="620" w:type="pct"/>
            <w:vAlign w:val="center"/>
          </w:tcPr>
          <w:p w14:paraId="16A5C5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vAlign w:val="center"/>
          </w:tcPr>
          <w:p w14:paraId="70A79BF2">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0.026</w:t>
            </w:r>
          </w:p>
        </w:tc>
        <w:tc>
          <w:tcPr>
            <w:tcW w:w="701" w:type="pct"/>
            <w:vAlign w:val="center"/>
          </w:tcPr>
          <w:p w14:paraId="691674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38</w:t>
            </w:r>
          </w:p>
        </w:tc>
      </w:tr>
      <w:tr w14:paraId="6E5A728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633DAA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FBCE1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1C2530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镍</w:t>
            </w:r>
          </w:p>
        </w:tc>
        <w:tc>
          <w:tcPr>
            <w:tcW w:w="620" w:type="pct"/>
            <w:vAlign w:val="center"/>
          </w:tcPr>
          <w:p w14:paraId="59BD59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vAlign w:val="center"/>
          </w:tcPr>
          <w:p w14:paraId="5026C972">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38</w:t>
            </w:r>
          </w:p>
        </w:tc>
        <w:tc>
          <w:tcPr>
            <w:tcW w:w="701" w:type="pct"/>
            <w:vAlign w:val="center"/>
          </w:tcPr>
          <w:p w14:paraId="7B0AF4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900</w:t>
            </w:r>
          </w:p>
        </w:tc>
      </w:tr>
      <w:tr w14:paraId="3231DEF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1EE7CC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3D93AA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64F3CA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四氯化碳</w:t>
            </w:r>
          </w:p>
        </w:tc>
        <w:tc>
          <w:tcPr>
            <w:tcW w:w="620" w:type="pct"/>
            <w:vAlign w:val="center"/>
          </w:tcPr>
          <w:p w14:paraId="77B9CC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2DE783B9">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25B52AA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2800</w:t>
            </w:r>
          </w:p>
        </w:tc>
      </w:tr>
      <w:tr w14:paraId="58D3D48E">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3E44BB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6DD6EF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69AD31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氯仿</w:t>
            </w:r>
          </w:p>
        </w:tc>
        <w:tc>
          <w:tcPr>
            <w:tcW w:w="620" w:type="pct"/>
            <w:vAlign w:val="center"/>
          </w:tcPr>
          <w:p w14:paraId="344EC9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4D92C486">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15.7</w:t>
            </w:r>
          </w:p>
        </w:tc>
        <w:tc>
          <w:tcPr>
            <w:tcW w:w="1179" w:type="dxa"/>
            <w:vAlign w:val="center"/>
          </w:tcPr>
          <w:p w14:paraId="128A25A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900</w:t>
            </w:r>
          </w:p>
        </w:tc>
      </w:tr>
      <w:tr w14:paraId="3E85659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518E37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7FBF8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788155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氯甲烷</w:t>
            </w:r>
          </w:p>
        </w:tc>
        <w:tc>
          <w:tcPr>
            <w:tcW w:w="1042" w:type="dxa"/>
            <w:vAlign w:val="center"/>
          </w:tcPr>
          <w:p w14:paraId="14C490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53DCFDB8">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5FFE6C1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37000</w:t>
            </w:r>
          </w:p>
        </w:tc>
      </w:tr>
      <w:tr w14:paraId="692A8173">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1E96B3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16744C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restart"/>
            <w:vAlign w:val="center"/>
          </w:tcPr>
          <w:p w14:paraId="3E1FF1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二氯乙烷</w:t>
            </w:r>
          </w:p>
        </w:tc>
        <w:tc>
          <w:tcPr>
            <w:tcW w:w="1158" w:type="pct"/>
            <w:vAlign w:val="center"/>
          </w:tcPr>
          <w:p w14:paraId="6A6F04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1，1二氯乙烷</w:t>
            </w:r>
          </w:p>
        </w:tc>
        <w:tc>
          <w:tcPr>
            <w:tcW w:w="1042" w:type="dxa"/>
            <w:vAlign w:val="center"/>
          </w:tcPr>
          <w:p w14:paraId="400D2D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54A1B508">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5AAAE54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9000</w:t>
            </w:r>
          </w:p>
        </w:tc>
      </w:tr>
      <w:tr w14:paraId="06BC0038">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1EB4FC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047D8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continue"/>
            <w:vAlign w:val="center"/>
          </w:tcPr>
          <w:p w14:paraId="7F364A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58" w:type="pct"/>
            <w:vAlign w:val="center"/>
          </w:tcPr>
          <w:p w14:paraId="60D4C3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1，2二氯乙烷</w:t>
            </w:r>
          </w:p>
        </w:tc>
        <w:tc>
          <w:tcPr>
            <w:tcW w:w="1042" w:type="dxa"/>
            <w:vAlign w:val="center"/>
          </w:tcPr>
          <w:p w14:paraId="5D5B00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072B18EF">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1B682E1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5000</w:t>
            </w:r>
          </w:p>
        </w:tc>
      </w:tr>
      <w:tr w14:paraId="4FA83D4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561271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B260A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restart"/>
            <w:vAlign w:val="center"/>
          </w:tcPr>
          <w:p w14:paraId="169A6B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二氯乙烯</w:t>
            </w:r>
          </w:p>
        </w:tc>
        <w:tc>
          <w:tcPr>
            <w:tcW w:w="1158" w:type="pct"/>
            <w:vAlign w:val="center"/>
          </w:tcPr>
          <w:p w14:paraId="3D26B2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1，1-二氯乙烯</w:t>
            </w:r>
          </w:p>
        </w:tc>
        <w:tc>
          <w:tcPr>
            <w:tcW w:w="1042" w:type="dxa"/>
            <w:vAlign w:val="center"/>
          </w:tcPr>
          <w:p w14:paraId="1094EB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3C1A9DC8">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6423E22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66000</w:t>
            </w:r>
          </w:p>
        </w:tc>
      </w:tr>
      <w:tr w14:paraId="2D85784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44476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1909F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continue"/>
            <w:vAlign w:val="center"/>
          </w:tcPr>
          <w:p w14:paraId="34357A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58" w:type="pct"/>
            <w:vAlign w:val="center"/>
          </w:tcPr>
          <w:p w14:paraId="029EB0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顺-二氯乙烯</w:t>
            </w:r>
          </w:p>
        </w:tc>
        <w:tc>
          <w:tcPr>
            <w:tcW w:w="1042" w:type="dxa"/>
            <w:vAlign w:val="center"/>
          </w:tcPr>
          <w:p w14:paraId="1CDC75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50907DFB">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523DF24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596000</w:t>
            </w:r>
          </w:p>
        </w:tc>
      </w:tr>
      <w:tr w14:paraId="3B992B9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464CC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A15BD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continue"/>
            <w:vAlign w:val="center"/>
          </w:tcPr>
          <w:p w14:paraId="0F07E3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58" w:type="pct"/>
            <w:vAlign w:val="center"/>
          </w:tcPr>
          <w:p w14:paraId="3CB487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反-二氯乙烯</w:t>
            </w:r>
          </w:p>
        </w:tc>
        <w:tc>
          <w:tcPr>
            <w:tcW w:w="1042" w:type="dxa"/>
            <w:vAlign w:val="center"/>
          </w:tcPr>
          <w:p w14:paraId="74C7EE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35163923">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309ABED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54000</w:t>
            </w:r>
          </w:p>
        </w:tc>
      </w:tr>
      <w:tr w14:paraId="1E13EA5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E2AB4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766C7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4D055D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二氯甲烷</w:t>
            </w:r>
          </w:p>
        </w:tc>
        <w:tc>
          <w:tcPr>
            <w:tcW w:w="1042" w:type="dxa"/>
            <w:vAlign w:val="center"/>
          </w:tcPr>
          <w:p w14:paraId="61D94F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68D75CD6">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93.3</w:t>
            </w:r>
          </w:p>
        </w:tc>
        <w:tc>
          <w:tcPr>
            <w:tcW w:w="1179" w:type="dxa"/>
            <w:vAlign w:val="center"/>
          </w:tcPr>
          <w:p w14:paraId="2911772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616000</w:t>
            </w:r>
          </w:p>
        </w:tc>
      </w:tr>
      <w:tr w14:paraId="790C516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D1275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83F3E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D5BF0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1，2-二氯丙烷</w:t>
            </w:r>
          </w:p>
        </w:tc>
        <w:tc>
          <w:tcPr>
            <w:tcW w:w="1042" w:type="dxa"/>
            <w:vAlign w:val="center"/>
          </w:tcPr>
          <w:p w14:paraId="0B305D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649" w:type="pct"/>
            <w:vAlign w:val="center"/>
          </w:tcPr>
          <w:p w14:paraId="597D10B6">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2DF7087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5000</w:t>
            </w:r>
          </w:p>
        </w:tc>
      </w:tr>
      <w:tr w14:paraId="4BC5B613">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689B17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0E0C5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restart"/>
            <w:vAlign w:val="center"/>
          </w:tcPr>
          <w:p w14:paraId="0B557D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四氯乙烷</w:t>
            </w:r>
          </w:p>
        </w:tc>
        <w:tc>
          <w:tcPr>
            <w:tcW w:w="1158" w:type="pct"/>
            <w:vAlign w:val="center"/>
          </w:tcPr>
          <w:p w14:paraId="69B1F9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w:t>
            </w:r>
            <w:r>
              <w:rPr>
                <w:rFonts w:hint="default" w:ascii="Times New Roman" w:hAnsi="Times New Roman" w:eastAsia="宋体" w:cs="Times New Roman"/>
                <w:color w:val="000000" w:themeColor="text1"/>
                <w:sz w:val="21"/>
                <w:szCs w:val="21"/>
                <w:u w:val="none" w:color="auto"/>
                <w14:textFill>
                  <w14:solidFill>
                    <w14:schemeClr w14:val="tx1"/>
                  </w14:solidFill>
                </w14:textFill>
              </w:rPr>
              <w:t>2-四氯乙烷</w:t>
            </w:r>
          </w:p>
        </w:tc>
        <w:tc>
          <w:tcPr>
            <w:tcW w:w="1042" w:type="dxa"/>
            <w:vAlign w:val="center"/>
          </w:tcPr>
          <w:p w14:paraId="6BC459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66A4ED65">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603426E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10000</w:t>
            </w:r>
          </w:p>
        </w:tc>
      </w:tr>
      <w:tr w14:paraId="5CA83023">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AE6D3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044496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continue"/>
            <w:vAlign w:val="center"/>
          </w:tcPr>
          <w:p w14:paraId="5646C8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58" w:type="pct"/>
            <w:vAlign w:val="center"/>
          </w:tcPr>
          <w:p w14:paraId="74806634">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w:t>
            </w:r>
            <w:r>
              <w:rPr>
                <w:rFonts w:hint="default" w:ascii="Times New Roman" w:hAnsi="Times New Roman" w:eastAsia="宋体" w:cs="Times New Roman"/>
                <w:color w:val="000000" w:themeColor="text1"/>
                <w:sz w:val="21"/>
                <w:szCs w:val="21"/>
                <w:u w:val="none" w:color="auto"/>
                <w14:textFill>
                  <w14:solidFill>
                    <w14:schemeClr w14:val="tx1"/>
                  </w14:solidFill>
                </w14:textFill>
              </w:rPr>
              <w:t>2，2-四氯乙烷</w:t>
            </w:r>
          </w:p>
        </w:tc>
        <w:tc>
          <w:tcPr>
            <w:tcW w:w="1042" w:type="dxa"/>
            <w:vAlign w:val="center"/>
          </w:tcPr>
          <w:p w14:paraId="7CDDC6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630F9FCC">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69722FF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6800</w:t>
            </w:r>
          </w:p>
        </w:tc>
      </w:tr>
      <w:tr w14:paraId="2B06E46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3B4B9B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E8B61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41C2F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四氯乙烯</w:t>
            </w:r>
          </w:p>
        </w:tc>
        <w:tc>
          <w:tcPr>
            <w:tcW w:w="1042" w:type="dxa"/>
            <w:vAlign w:val="center"/>
          </w:tcPr>
          <w:p w14:paraId="684D88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01809024">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3C26794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53000</w:t>
            </w:r>
          </w:p>
        </w:tc>
      </w:tr>
      <w:tr w14:paraId="4932D6A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4275C3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3AD7DF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restart"/>
            <w:vAlign w:val="center"/>
          </w:tcPr>
          <w:p w14:paraId="69E73F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三氯乙烷</w:t>
            </w:r>
          </w:p>
        </w:tc>
        <w:tc>
          <w:tcPr>
            <w:tcW w:w="1158" w:type="pct"/>
            <w:vAlign w:val="center"/>
          </w:tcPr>
          <w:p w14:paraId="6780B8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color="auto"/>
                <w14:textFill>
                  <w14:solidFill>
                    <w14:schemeClr w14:val="tx1"/>
                  </w14:solidFill>
                </w14:textFill>
              </w:rPr>
              <w:t>，1-三氯乙烷</w:t>
            </w:r>
          </w:p>
        </w:tc>
        <w:tc>
          <w:tcPr>
            <w:tcW w:w="1042" w:type="dxa"/>
            <w:vAlign w:val="center"/>
          </w:tcPr>
          <w:p w14:paraId="502031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7E1B5A46">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7A63294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840000</w:t>
            </w:r>
          </w:p>
        </w:tc>
      </w:tr>
      <w:tr w14:paraId="40195AE3">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3E6224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612CC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continue"/>
            <w:vAlign w:val="center"/>
          </w:tcPr>
          <w:p w14:paraId="2A2FE7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58" w:type="pct"/>
            <w:vAlign w:val="center"/>
          </w:tcPr>
          <w:p w14:paraId="0ADFCD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color="auto"/>
                <w14:textFill>
                  <w14:solidFill>
                    <w14:schemeClr w14:val="tx1"/>
                  </w14:solidFill>
                </w14:textFill>
              </w:rPr>
              <w:t>，2-三氯乙烷</w:t>
            </w:r>
          </w:p>
        </w:tc>
        <w:tc>
          <w:tcPr>
            <w:tcW w:w="1042" w:type="dxa"/>
            <w:vAlign w:val="center"/>
          </w:tcPr>
          <w:p w14:paraId="46E9DF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15216C73">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3E4A367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2800</w:t>
            </w:r>
          </w:p>
        </w:tc>
      </w:tr>
      <w:tr w14:paraId="5E3675F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27C08B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0B4DA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5526F7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三氯乙烯</w:t>
            </w:r>
          </w:p>
        </w:tc>
        <w:tc>
          <w:tcPr>
            <w:tcW w:w="1042" w:type="dxa"/>
            <w:vAlign w:val="center"/>
          </w:tcPr>
          <w:p w14:paraId="52E2F0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6723A8C2">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5E0E1B3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2800</w:t>
            </w:r>
          </w:p>
        </w:tc>
      </w:tr>
      <w:tr w14:paraId="050D44D9">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6A58DA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6DCBE2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41B9FC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1，2，3-三氯丙烷</w:t>
            </w:r>
          </w:p>
        </w:tc>
        <w:tc>
          <w:tcPr>
            <w:tcW w:w="1042" w:type="dxa"/>
            <w:vAlign w:val="center"/>
          </w:tcPr>
          <w:p w14:paraId="171244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32DE0410">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0A4E9DE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500</w:t>
            </w:r>
          </w:p>
        </w:tc>
      </w:tr>
      <w:tr w14:paraId="65F1571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6916F1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30435B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30932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氯乙烯</w:t>
            </w:r>
          </w:p>
        </w:tc>
        <w:tc>
          <w:tcPr>
            <w:tcW w:w="1042" w:type="dxa"/>
            <w:vAlign w:val="center"/>
          </w:tcPr>
          <w:p w14:paraId="32D11F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1BBB96C4">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06938F6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430</w:t>
            </w:r>
          </w:p>
        </w:tc>
      </w:tr>
      <w:tr w14:paraId="5D2B76D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6A693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6F6FAB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A1521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w:t>
            </w:r>
          </w:p>
        </w:tc>
        <w:tc>
          <w:tcPr>
            <w:tcW w:w="1042" w:type="dxa"/>
            <w:vAlign w:val="center"/>
          </w:tcPr>
          <w:p w14:paraId="07B51C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4A18105F">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1838FC1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4000</w:t>
            </w:r>
          </w:p>
        </w:tc>
      </w:tr>
      <w:tr w14:paraId="40B5FB6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677BCF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13E0E6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5EA8D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氯苯</w:t>
            </w:r>
          </w:p>
        </w:tc>
        <w:tc>
          <w:tcPr>
            <w:tcW w:w="1042" w:type="dxa"/>
            <w:vAlign w:val="center"/>
          </w:tcPr>
          <w:p w14:paraId="023719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16CE53D4">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0472BC7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270000</w:t>
            </w:r>
          </w:p>
        </w:tc>
      </w:tr>
      <w:tr w14:paraId="4AA71F0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207A58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10AD03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restart"/>
            <w:vAlign w:val="center"/>
          </w:tcPr>
          <w:p w14:paraId="587DF8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二氯苯</w:t>
            </w:r>
          </w:p>
        </w:tc>
        <w:tc>
          <w:tcPr>
            <w:tcW w:w="1158" w:type="pct"/>
            <w:vAlign w:val="center"/>
          </w:tcPr>
          <w:p w14:paraId="73B78F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1，2-二氯苯</w:t>
            </w:r>
          </w:p>
        </w:tc>
        <w:tc>
          <w:tcPr>
            <w:tcW w:w="1042" w:type="dxa"/>
            <w:vAlign w:val="center"/>
          </w:tcPr>
          <w:p w14:paraId="6411B3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1623FD7B">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7DC005B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560000</w:t>
            </w:r>
          </w:p>
        </w:tc>
      </w:tr>
      <w:tr w14:paraId="1BEDAC51">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85D63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01B07C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continue"/>
            <w:vAlign w:val="center"/>
          </w:tcPr>
          <w:p w14:paraId="6AA3EA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58" w:type="pct"/>
            <w:vAlign w:val="center"/>
          </w:tcPr>
          <w:p w14:paraId="2D59A2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1，4-二氯苯</w:t>
            </w:r>
          </w:p>
        </w:tc>
        <w:tc>
          <w:tcPr>
            <w:tcW w:w="1042" w:type="dxa"/>
            <w:vAlign w:val="center"/>
          </w:tcPr>
          <w:p w14:paraId="62A892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78032A95">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2C85968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20000</w:t>
            </w:r>
          </w:p>
        </w:tc>
      </w:tr>
      <w:tr w14:paraId="12A91320">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7F854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CBC57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407B63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乙苯</w:t>
            </w:r>
          </w:p>
        </w:tc>
        <w:tc>
          <w:tcPr>
            <w:tcW w:w="1042" w:type="dxa"/>
            <w:vAlign w:val="center"/>
          </w:tcPr>
          <w:p w14:paraId="58A905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67378CD2">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5922447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28000</w:t>
            </w:r>
          </w:p>
        </w:tc>
      </w:tr>
      <w:tr w14:paraId="4556AD8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B4F65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FEA46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49A5F2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苯乙烯</w:t>
            </w:r>
          </w:p>
        </w:tc>
        <w:tc>
          <w:tcPr>
            <w:tcW w:w="1042" w:type="dxa"/>
            <w:vAlign w:val="center"/>
          </w:tcPr>
          <w:p w14:paraId="7E5E87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0B7DDB48">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765210A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1290000</w:t>
            </w:r>
          </w:p>
        </w:tc>
      </w:tr>
      <w:tr w14:paraId="3B842F98">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294C68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7344F5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7933A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甲苯</w:t>
            </w:r>
          </w:p>
        </w:tc>
        <w:tc>
          <w:tcPr>
            <w:tcW w:w="1042" w:type="dxa"/>
            <w:vAlign w:val="center"/>
          </w:tcPr>
          <w:p w14:paraId="2646BC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02A74C48">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6726186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1200000</w:t>
            </w:r>
          </w:p>
        </w:tc>
      </w:tr>
      <w:tr w14:paraId="5676A0B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5922BF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525C0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restart"/>
            <w:vAlign w:val="center"/>
          </w:tcPr>
          <w:p w14:paraId="3462F0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二甲苯</w:t>
            </w:r>
          </w:p>
        </w:tc>
        <w:tc>
          <w:tcPr>
            <w:tcW w:w="1158" w:type="pct"/>
            <w:vAlign w:val="center"/>
          </w:tcPr>
          <w:p w14:paraId="52B0A7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间，对二甲苯</w:t>
            </w:r>
          </w:p>
        </w:tc>
        <w:tc>
          <w:tcPr>
            <w:tcW w:w="1042" w:type="dxa"/>
            <w:vAlign w:val="center"/>
          </w:tcPr>
          <w:p w14:paraId="5E1F6C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76A0B333">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0E07A5F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570000</w:t>
            </w:r>
          </w:p>
        </w:tc>
      </w:tr>
      <w:tr w14:paraId="2A4755C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200057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83762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61" w:type="pct"/>
            <w:vMerge w:val="continue"/>
            <w:vAlign w:val="center"/>
          </w:tcPr>
          <w:p w14:paraId="0FC798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158" w:type="pct"/>
            <w:vAlign w:val="center"/>
          </w:tcPr>
          <w:p w14:paraId="772CD4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邻二甲苯</w:t>
            </w:r>
          </w:p>
        </w:tc>
        <w:tc>
          <w:tcPr>
            <w:tcW w:w="1042" w:type="dxa"/>
            <w:vAlign w:val="center"/>
          </w:tcPr>
          <w:p w14:paraId="0DD077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微软雅黑" w:cs="Times New Roman"/>
                <w:color w:val="000000" w:themeColor="text1"/>
                <w:position w:val="4"/>
                <w:sz w:val="21"/>
                <w:szCs w:val="21"/>
                <w:u w:val="none" w:color="auto"/>
                <w:lang w:eastAsia="zh-CN"/>
                <w14:textFill>
                  <w14:solidFill>
                    <w14:schemeClr w14:val="tx1"/>
                  </w14:solidFill>
                </w14:textFill>
              </w:rPr>
              <w:t>μ</w:t>
            </w: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g/kg</w:t>
            </w:r>
          </w:p>
        </w:tc>
        <w:tc>
          <w:tcPr>
            <w:tcW w:w="1091" w:type="dxa"/>
            <w:vAlign w:val="center"/>
          </w:tcPr>
          <w:p w14:paraId="11827621">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1179" w:type="dxa"/>
            <w:vAlign w:val="center"/>
          </w:tcPr>
          <w:p w14:paraId="54FA882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640000</w:t>
            </w:r>
          </w:p>
        </w:tc>
      </w:tr>
      <w:tr w14:paraId="6158080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DB1AF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74A381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FB384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硝基苯</w:t>
            </w:r>
          </w:p>
        </w:tc>
        <w:tc>
          <w:tcPr>
            <w:tcW w:w="620" w:type="pct"/>
            <w:vAlign w:val="center"/>
          </w:tcPr>
          <w:p w14:paraId="64DF85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6E0E9856">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40F711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76</w:t>
            </w:r>
          </w:p>
        </w:tc>
      </w:tr>
      <w:tr w14:paraId="4A3903F1">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9380E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68B02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5DF4CC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苯胺</w:t>
            </w:r>
          </w:p>
        </w:tc>
        <w:tc>
          <w:tcPr>
            <w:tcW w:w="620" w:type="pct"/>
            <w:vAlign w:val="center"/>
          </w:tcPr>
          <w:p w14:paraId="1344DB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53B203F8">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6F4F24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260</w:t>
            </w:r>
          </w:p>
        </w:tc>
      </w:tr>
      <w:tr w14:paraId="2037C32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85917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CEE53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E17F7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2-氯酚</w:t>
            </w:r>
          </w:p>
        </w:tc>
        <w:tc>
          <w:tcPr>
            <w:tcW w:w="620" w:type="pct"/>
            <w:vAlign w:val="center"/>
          </w:tcPr>
          <w:p w14:paraId="388B7C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5A3B9C18">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3BE01F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2256</w:t>
            </w:r>
          </w:p>
        </w:tc>
      </w:tr>
      <w:tr w14:paraId="6F62B28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1646FA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3BF480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DE8C6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2"/>
                <w:sz w:val="21"/>
                <w:szCs w:val="21"/>
                <w:u w:val="none" w:color="auto"/>
                <w14:textFill>
                  <w14:solidFill>
                    <w14:schemeClr w14:val="tx1"/>
                  </w14:solidFill>
                </w14:textFill>
              </w:rPr>
              <w:t>苯并[a]蒽</w:t>
            </w:r>
          </w:p>
        </w:tc>
        <w:tc>
          <w:tcPr>
            <w:tcW w:w="620" w:type="pct"/>
            <w:vAlign w:val="center"/>
          </w:tcPr>
          <w:p w14:paraId="56123A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145F7726">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2D6AA5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w:t>
            </w:r>
          </w:p>
        </w:tc>
      </w:tr>
      <w:tr w14:paraId="08E5360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386755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6F492B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651D93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2"/>
                <w:sz w:val="21"/>
                <w:szCs w:val="21"/>
                <w:u w:val="none" w:color="auto"/>
                <w14:textFill>
                  <w14:solidFill>
                    <w14:schemeClr w14:val="tx1"/>
                  </w14:solidFill>
                </w14:textFill>
              </w:rPr>
              <w:t>苯并[a]芘</w:t>
            </w:r>
          </w:p>
        </w:tc>
        <w:tc>
          <w:tcPr>
            <w:tcW w:w="620" w:type="pct"/>
            <w:vAlign w:val="center"/>
          </w:tcPr>
          <w:p w14:paraId="3AC072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04018A9B">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4A2F05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w:t>
            </w:r>
          </w:p>
        </w:tc>
      </w:tr>
      <w:tr w14:paraId="1B4ED28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5C579A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7C415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8829A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2"/>
                <w:sz w:val="21"/>
                <w:szCs w:val="21"/>
                <w:u w:val="none" w:color="auto"/>
                <w14:textFill>
                  <w14:solidFill>
                    <w14:schemeClr w14:val="tx1"/>
                  </w14:solidFill>
                </w14:textFill>
              </w:rPr>
              <w:t>苯并[b]荧蒽</w:t>
            </w:r>
          </w:p>
        </w:tc>
        <w:tc>
          <w:tcPr>
            <w:tcW w:w="620" w:type="pct"/>
            <w:vAlign w:val="center"/>
          </w:tcPr>
          <w:p w14:paraId="356A11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41294CF1">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687994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w:t>
            </w:r>
          </w:p>
        </w:tc>
      </w:tr>
      <w:tr w14:paraId="5F85E479">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39EFF6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5C930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5252DB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2"/>
                <w:sz w:val="21"/>
                <w:szCs w:val="21"/>
                <w:u w:val="none" w:color="auto"/>
                <w14:textFill>
                  <w14:solidFill>
                    <w14:schemeClr w14:val="tx1"/>
                  </w14:solidFill>
                </w14:textFill>
              </w:rPr>
              <w:t>苯并[k]荧蒽</w:t>
            </w:r>
          </w:p>
        </w:tc>
        <w:tc>
          <w:tcPr>
            <w:tcW w:w="620" w:type="pct"/>
            <w:vAlign w:val="center"/>
          </w:tcPr>
          <w:p w14:paraId="4FB5CF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0CF1EFF3">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388EF6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151</w:t>
            </w:r>
          </w:p>
        </w:tc>
      </w:tr>
      <w:tr w14:paraId="074CA740">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2E9AD9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059845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DC115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䓛</w:t>
            </w:r>
          </w:p>
        </w:tc>
        <w:tc>
          <w:tcPr>
            <w:tcW w:w="620" w:type="pct"/>
            <w:vAlign w:val="center"/>
          </w:tcPr>
          <w:p w14:paraId="336F64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53806637">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7FDE1E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1293</w:t>
            </w:r>
          </w:p>
        </w:tc>
      </w:tr>
      <w:tr w14:paraId="4D473701">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22B8FD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DD725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1BF2A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2"/>
                <w:sz w:val="21"/>
                <w:szCs w:val="21"/>
                <w:u w:val="none" w:color="auto"/>
                <w14:textFill>
                  <w14:solidFill>
                    <w14:schemeClr w14:val="tx1"/>
                  </w14:solidFill>
                </w14:textFill>
              </w:rPr>
              <w:t>二苯并[a，h]蒽</w:t>
            </w:r>
          </w:p>
        </w:tc>
        <w:tc>
          <w:tcPr>
            <w:tcW w:w="620" w:type="pct"/>
            <w:vAlign w:val="center"/>
          </w:tcPr>
          <w:p w14:paraId="0DE0AC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7F46E272">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5D6A2C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w:t>
            </w:r>
          </w:p>
        </w:tc>
      </w:tr>
      <w:tr w14:paraId="06A02A3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401607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2832D5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414740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2"/>
                <w:sz w:val="21"/>
                <w:szCs w:val="21"/>
                <w:u w:val="none" w:color="auto"/>
                <w14:textFill>
                  <w14:solidFill>
                    <w14:schemeClr w14:val="tx1"/>
                  </w14:solidFill>
                </w14:textFill>
              </w:rPr>
              <w:t>茚并[1，2，3-cd]芘</w:t>
            </w:r>
          </w:p>
        </w:tc>
        <w:tc>
          <w:tcPr>
            <w:tcW w:w="620" w:type="pct"/>
            <w:vAlign w:val="center"/>
          </w:tcPr>
          <w:p w14:paraId="658015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7DC4CEC5">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023D59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15</w:t>
            </w:r>
          </w:p>
        </w:tc>
      </w:tr>
      <w:tr w14:paraId="55D2957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497F82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3BC609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375DAC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萘</w:t>
            </w:r>
          </w:p>
        </w:tc>
        <w:tc>
          <w:tcPr>
            <w:tcW w:w="620" w:type="pct"/>
            <w:vAlign w:val="center"/>
          </w:tcPr>
          <w:p w14:paraId="1FC0B1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vAlign w:val="center"/>
          </w:tcPr>
          <w:p w14:paraId="3E720946">
            <w:pPr>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vAlign w:val="center"/>
          </w:tcPr>
          <w:p w14:paraId="37DA89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70</w:t>
            </w:r>
          </w:p>
        </w:tc>
      </w:tr>
      <w:tr w14:paraId="7FE70E0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5C10DD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3AA47F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0FC7FE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石油烃（C10～C40）</w:t>
            </w:r>
          </w:p>
        </w:tc>
        <w:tc>
          <w:tcPr>
            <w:tcW w:w="620" w:type="pct"/>
            <w:vAlign w:val="center"/>
          </w:tcPr>
          <w:p w14:paraId="063609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vAlign w:val="center"/>
          </w:tcPr>
          <w:p w14:paraId="4826D4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9</w:t>
            </w:r>
          </w:p>
        </w:tc>
        <w:tc>
          <w:tcPr>
            <w:tcW w:w="701" w:type="pct"/>
            <w:vAlign w:val="center"/>
          </w:tcPr>
          <w:p w14:paraId="240FD0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4500</w:t>
            </w:r>
          </w:p>
        </w:tc>
      </w:tr>
      <w:tr w14:paraId="6C992E6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restart"/>
            <w:vAlign w:val="center"/>
          </w:tcPr>
          <w:p w14:paraId="60BD10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厂内表层样</w:t>
            </w:r>
          </w:p>
        </w:tc>
        <w:tc>
          <w:tcPr>
            <w:tcW w:w="676" w:type="pct"/>
            <w:vMerge w:val="restart"/>
            <w:vAlign w:val="center"/>
          </w:tcPr>
          <w:p w14:paraId="703CEB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0.5 </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p>
        </w:tc>
        <w:tc>
          <w:tcPr>
            <w:tcW w:w="1519" w:type="pct"/>
            <w:gridSpan w:val="2"/>
            <w:vAlign w:val="center"/>
          </w:tcPr>
          <w:p w14:paraId="0DACBB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砷</w:t>
            </w:r>
          </w:p>
        </w:tc>
        <w:tc>
          <w:tcPr>
            <w:tcW w:w="620" w:type="pct"/>
            <w:shd w:val="clear" w:color="auto" w:fill="auto"/>
            <w:vAlign w:val="center"/>
          </w:tcPr>
          <w:p w14:paraId="08D57E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5935C9F7">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18.6</w:t>
            </w:r>
          </w:p>
        </w:tc>
        <w:tc>
          <w:tcPr>
            <w:tcW w:w="701" w:type="pct"/>
            <w:shd w:val="clear" w:color="auto" w:fill="auto"/>
            <w:vAlign w:val="center"/>
          </w:tcPr>
          <w:p w14:paraId="3564B8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60</w:t>
            </w:r>
          </w:p>
        </w:tc>
      </w:tr>
      <w:tr w14:paraId="58DF0921">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11B6E0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4A01B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00DE85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镉</w:t>
            </w:r>
          </w:p>
        </w:tc>
        <w:tc>
          <w:tcPr>
            <w:tcW w:w="620" w:type="pct"/>
            <w:shd w:val="clear" w:color="auto" w:fill="auto"/>
            <w:vAlign w:val="center"/>
          </w:tcPr>
          <w:p w14:paraId="4A957F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37E7A1C1">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0.07</w:t>
            </w:r>
          </w:p>
        </w:tc>
        <w:tc>
          <w:tcPr>
            <w:tcW w:w="701" w:type="pct"/>
            <w:shd w:val="clear" w:color="auto" w:fill="auto"/>
            <w:vAlign w:val="center"/>
          </w:tcPr>
          <w:p w14:paraId="688445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65</w:t>
            </w:r>
          </w:p>
        </w:tc>
      </w:tr>
      <w:tr w14:paraId="58638AB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115D55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70F780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58F722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六价铬</w:t>
            </w:r>
          </w:p>
        </w:tc>
        <w:tc>
          <w:tcPr>
            <w:tcW w:w="620" w:type="pct"/>
            <w:shd w:val="clear" w:color="auto" w:fill="auto"/>
            <w:vAlign w:val="center"/>
          </w:tcPr>
          <w:p w14:paraId="2372E2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533706C3">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shd w:val="clear" w:color="auto" w:fill="auto"/>
            <w:vAlign w:val="center"/>
          </w:tcPr>
          <w:p w14:paraId="76C62C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5.7</w:t>
            </w:r>
          </w:p>
        </w:tc>
      </w:tr>
      <w:tr w14:paraId="1BB8BAD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301145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0CBF09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95C76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铜</w:t>
            </w:r>
          </w:p>
        </w:tc>
        <w:tc>
          <w:tcPr>
            <w:tcW w:w="620" w:type="pct"/>
            <w:shd w:val="clear" w:color="auto" w:fill="auto"/>
            <w:vAlign w:val="center"/>
          </w:tcPr>
          <w:p w14:paraId="791ACC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756286C3">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701" w:type="pct"/>
            <w:shd w:val="clear" w:color="auto" w:fill="auto"/>
            <w:vAlign w:val="center"/>
          </w:tcPr>
          <w:p w14:paraId="377756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18000</w:t>
            </w:r>
          </w:p>
        </w:tc>
      </w:tr>
      <w:tr w14:paraId="236256E3">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7A862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C994D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49254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铅</w:t>
            </w:r>
          </w:p>
        </w:tc>
        <w:tc>
          <w:tcPr>
            <w:tcW w:w="620" w:type="pct"/>
            <w:shd w:val="clear" w:color="auto" w:fill="auto"/>
            <w:vAlign w:val="center"/>
          </w:tcPr>
          <w:p w14:paraId="44CBF1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shd w:val="clear" w:color="auto" w:fill="auto"/>
            <w:vAlign w:val="center"/>
          </w:tcPr>
          <w:p w14:paraId="369E95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9.2</w:t>
            </w:r>
          </w:p>
        </w:tc>
        <w:tc>
          <w:tcPr>
            <w:tcW w:w="701" w:type="pct"/>
            <w:shd w:val="clear" w:color="auto" w:fill="auto"/>
            <w:vAlign w:val="center"/>
          </w:tcPr>
          <w:p w14:paraId="4ADEF9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800</w:t>
            </w:r>
          </w:p>
        </w:tc>
      </w:tr>
      <w:tr w14:paraId="2F21195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444E72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40A84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2FEB02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汞</w:t>
            </w:r>
          </w:p>
        </w:tc>
        <w:tc>
          <w:tcPr>
            <w:tcW w:w="620" w:type="pct"/>
            <w:shd w:val="clear" w:color="auto" w:fill="auto"/>
            <w:vAlign w:val="center"/>
          </w:tcPr>
          <w:p w14:paraId="13F418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1DB045C2">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0.054</w:t>
            </w:r>
          </w:p>
        </w:tc>
        <w:tc>
          <w:tcPr>
            <w:tcW w:w="701" w:type="pct"/>
            <w:shd w:val="clear" w:color="auto" w:fill="auto"/>
            <w:vAlign w:val="center"/>
          </w:tcPr>
          <w:p w14:paraId="42207D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38</w:t>
            </w:r>
          </w:p>
        </w:tc>
      </w:tr>
      <w:tr w14:paraId="21C0D58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2FDD4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38B252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vAlign w:val="center"/>
          </w:tcPr>
          <w:p w14:paraId="08ED47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镍</w:t>
            </w:r>
          </w:p>
        </w:tc>
        <w:tc>
          <w:tcPr>
            <w:tcW w:w="620" w:type="pct"/>
            <w:shd w:val="clear" w:color="auto" w:fill="auto"/>
            <w:vAlign w:val="center"/>
          </w:tcPr>
          <w:p w14:paraId="320668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33152193">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41</w:t>
            </w:r>
          </w:p>
        </w:tc>
        <w:tc>
          <w:tcPr>
            <w:tcW w:w="701" w:type="pct"/>
            <w:shd w:val="clear" w:color="auto" w:fill="auto"/>
            <w:vAlign w:val="center"/>
          </w:tcPr>
          <w:p w14:paraId="2D2E93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900</w:t>
            </w:r>
          </w:p>
        </w:tc>
      </w:tr>
      <w:tr w14:paraId="7F3AB4A9">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0509A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051144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shd w:val="clear" w:color="auto" w:fill="auto"/>
            <w:vAlign w:val="center"/>
          </w:tcPr>
          <w:p w14:paraId="132612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石油烃（C10～C40）</w:t>
            </w:r>
          </w:p>
        </w:tc>
        <w:tc>
          <w:tcPr>
            <w:tcW w:w="620" w:type="pct"/>
            <w:shd w:val="clear" w:color="auto" w:fill="auto"/>
            <w:vAlign w:val="center"/>
          </w:tcPr>
          <w:p w14:paraId="33F79B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position w:val="4"/>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shd w:val="clear" w:color="auto" w:fill="auto"/>
            <w:vAlign w:val="center"/>
          </w:tcPr>
          <w:p w14:paraId="05C084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未检出</w:t>
            </w:r>
          </w:p>
        </w:tc>
        <w:tc>
          <w:tcPr>
            <w:tcW w:w="701" w:type="pct"/>
            <w:shd w:val="clear" w:color="auto" w:fill="auto"/>
            <w:vAlign w:val="center"/>
          </w:tcPr>
          <w:p w14:paraId="240AE1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4500</w:t>
            </w:r>
          </w:p>
        </w:tc>
      </w:tr>
      <w:tr w14:paraId="33BFC8F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restart"/>
            <w:vAlign w:val="center"/>
          </w:tcPr>
          <w:p w14:paraId="105F85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14:textFill>
                  <w14:solidFill>
                    <w14:schemeClr w14:val="tx1"/>
                  </w14:solidFill>
                </w14:textFill>
              </w:rPr>
              <w:t>厂内表层样</w:t>
            </w:r>
          </w:p>
        </w:tc>
        <w:tc>
          <w:tcPr>
            <w:tcW w:w="676" w:type="pct"/>
            <w:vMerge w:val="restart"/>
            <w:vAlign w:val="center"/>
          </w:tcPr>
          <w:p w14:paraId="0E8390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0.5 </w:t>
            </w: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p>
        </w:tc>
        <w:tc>
          <w:tcPr>
            <w:tcW w:w="1519" w:type="pct"/>
            <w:gridSpan w:val="2"/>
            <w:shd w:val="clear" w:color="auto" w:fill="auto"/>
            <w:vAlign w:val="center"/>
          </w:tcPr>
          <w:p w14:paraId="689797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砷</w:t>
            </w:r>
          </w:p>
        </w:tc>
        <w:tc>
          <w:tcPr>
            <w:tcW w:w="620" w:type="pct"/>
            <w:shd w:val="clear" w:color="auto" w:fill="auto"/>
            <w:vAlign w:val="center"/>
          </w:tcPr>
          <w:p w14:paraId="47D8D8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7B03577C">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35.1</w:t>
            </w:r>
          </w:p>
        </w:tc>
        <w:tc>
          <w:tcPr>
            <w:tcW w:w="701" w:type="pct"/>
            <w:shd w:val="clear" w:color="auto" w:fill="auto"/>
            <w:vAlign w:val="center"/>
          </w:tcPr>
          <w:p w14:paraId="1F18EA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60</w:t>
            </w:r>
          </w:p>
        </w:tc>
      </w:tr>
      <w:tr w14:paraId="77FD1A4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30AB0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049817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shd w:val="clear" w:color="auto" w:fill="auto"/>
            <w:vAlign w:val="center"/>
          </w:tcPr>
          <w:p w14:paraId="01D30D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镉</w:t>
            </w:r>
          </w:p>
        </w:tc>
        <w:tc>
          <w:tcPr>
            <w:tcW w:w="620" w:type="pct"/>
            <w:shd w:val="clear" w:color="auto" w:fill="auto"/>
            <w:vAlign w:val="center"/>
          </w:tcPr>
          <w:p w14:paraId="0E2444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53F7D3AB">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0.19</w:t>
            </w:r>
          </w:p>
        </w:tc>
        <w:tc>
          <w:tcPr>
            <w:tcW w:w="701" w:type="pct"/>
            <w:shd w:val="clear" w:color="auto" w:fill="auto"/>
            <w:vAlign w:val="center"/>
          </w:tcPr>
          <w:p w14:paraId="7964C3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65</w:t>
            </w:r>
          </w:p>
        </w:tc>
      </w:tr>
      <w:tr w14:paraId="774D5C9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653BD2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7F5371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shd w:val="clear" w:color="auto" w:fill="auto"/>
            <w:vAlign w:val="center"/>
          </w:tcPr>
          <w:p w14:paraId="4E7DBD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六价铬</w:t>
            </w:r>
          </w:p>
        </w:tc>
        <w:tc>
          <w:tcPr>
            <w:tcW w:w="620" w:type="pct"/>
            <w:shd w:val="clear" w:color="auto" w:fill="auto"/>
            <w:vAlign w:val="center"/>
          </w:tcPr>
          <w:p w14:paraId="5AD58B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23D7A998">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未检出</w:t>
            </w:r>
          </w:p>
        </w:tc>
        <w:tc>
          <w:tcPr>
            <w:tcW w:w="701" w:type="pct"/>
            <w:shd w:val="clear" w:color="auto" w:fill="auto"/>
            <w:vAlign w:val="center"/>
          </w:tcPr>
          <w:p w14:paraId="0E1591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5.7</w:t>
            </w:r>
          </w:p>
        </w:tc>
      </w:tr>
      <w:tr w14:paraId="0D4A51A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562A8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63DF05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shd w:val="clear" w:color="auto" w:fill="auto"/>
            <w:vAlign w:val="center"/>
          </w:tcPr>
          <w:p w14:paraId="71D40AC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铜</w:t>
            </w:r>
          </w:p>
        </w:tc>
        <w:tc>
          <w:tcPr>
            <w:tcW w:w="620" w:type="pct"/>
            <w:shd w:val="clear" w:color="auto" w:fill="auto"/>
            <w:vAlign w:val="center"/>
          </w:tcPr>
          <w:p w14:paraId="464F31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73E519BF">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11</w:t>
            </w:r>
          </w:p>
        </w:tc>
        <w:tc>
          <w:tcPr>
            <w:tcW w:w="701" w:type="pct"/>
            <w:shd w:val="clear" w:color="auto" w:fill="auto"/>
            <w:vAlign w:val="center"/>
          </w:tcPr>
          <w:p w14:paraId="7F4DA7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18000</w:t>
            </w:r>
          </w:p>
        </w:tc>
      </w:tr>
      <w:tr w14:paraId="026A559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7A922C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0A1577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shd w:val="clear" w:color="auto" w:fill="auto"/>
            <w:vAlign w:val="center"/>
          </w:tcPr>
          <w:p w14:paraId="5F45F7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铅</w:t>
            </w:r>
          </w:p>
        </w:tc>
        <w:tc>
          <w:tcPr>
            <w:tcW w:w="620" w:type="pct"/>
            <w:shd w:val="clear" w:color="auto" w:fill="auto"/>
            <w:vAlign w:val="center"/>
          </w:tcPr>
          <w:p w14:paraId="15156F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shd w:val="clear" w:color="auto" w:fill="auto"/>
            <w:vAlign w:val="center"/>
          </w:tcPr>
          <w:p w14:paraId="101597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17.5</w:t>
            </w:r>
          </w:p>
        </w:tc>
        <w:tc>
          <w:tcPr>
            <w:tcW w:w="701" w:type="pct"/>
            <w:shd w:val="clear" w:color="auto" w:fill="auto"/>
            <w:vAlign w:val="center"/>
          </w:tcPr>
          <w:p w14:paraId="2314F2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800</w:t>
            </w:r>
          </w:p>
        </w:tc>
      </w:tr>
      <w:tr w14:paraId="0EF9528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04D148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1643C3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shd w:val="clear" w:color="auto" w:fill="auto"/>
            <w:vAlign w:val="center"/>
          </w:tcPr>
          <w:p w14:paraId="2A2CE3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汞</w:t>
            </w:r>
          </w:p>
        </w:tc>
        <w:tc>
          <w:tcPr>
            <w:tcW w:w="620" w:type="pct"/>
            <w:shd w:val="clear" w:color="auto" w:fill="auto"/>
            <w:vAlign w:val="center"/>
          </w:tcPr>
          <w:p w14:paraId="6737AD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1F211463">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2.32</w:t>
            </w:r>
          </w:p>
        </w:tc>
        <w:tc>
          <w:tcPr>
            <w:tcW w:w="701" w:type="pct"/>
            <w:shd w:val="clear" w:color="auto" w:fill="auto"/>
            <w:vAlign w:val="center"/>
          </w:tcPr>
          <w:p w14:paraId="0E4AED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38</w:t>
            </w:r>
          </w:p>
        </w:tc>
      </w:tr>
      <w:tr w14:paraId="19C8619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526675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5FEEC3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shd w:val="clear" w:color="auto" w:fill="auto"/>
            <w:vAlign w:val="center"/>
          </w:tcPr>
          <w:p w14:paraId="04DD0E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镍</w:t>
            </w:r>
          </w:p>
        </w:tc>
        <w:tc>
          <w:tcPr>
            <w:tcW w:w="620" w:type="pct"/>
            <w:shd w:val="clear" w:color="auto" w:fill="auto"/>
            <w:vAlign w:val="center"/>
          </w:tcPr>
          <w:p w14:paraId="58776D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1091" w:type="dxa"/>
            <w:shd w:val="clear" w:color="auto" w:fill="auto"/>
            <w:vAlign w:val="center"/>
          </w:tcPr>
          <w:p w14:paraId="1F07DA7D">
            <w:pPr>
              <w:bidi w:val="0"/>
              <w:jc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40</w:t>
            </w:r>
          </w:p>
        </w:tc>
        <w:tc>
          <w:tcPr>
            <w:tcW w:w="701" w:type="pct"/>
            <w:shd w:val="clear" w:color="auto" w:fill="auto"/>
            <w:vAlign w:val="center"/>
          </w:tcPr>
          <w:p w14:paraId="59A4ED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900</w:t>
            </w:r>
          </w:p>
        </w:tc>
      </w:tr>
      <w:tr w14:paraId="6FEF86E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2" w:type="pct"/>
            <w:vMerge w:val="continue"/>
            <w:vAlign w:val="center"/>
          </w:tcPr>
          <w:p w14:paraId="3910C2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76" w:type="pct"/>
            <w:vMerge w:val="continue"/>
            <w:vAlign w:val="center"/>
          </w:tcPr>
          <w:p w14:paraId="4CE5F1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519" w:type="pct"/>
            <w:gridSpan w:val="2"/>
            <w:shd w:val="clear" w:color="auto" w:fill="auto"/>
            <w:vAlign w:val="center"/>
          </w:tcPr>
          <w:p w14:paraId="20BBAE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石油烃（C10～C40）</w:t>
            </w:r>
          </w:p>
        </w:tc>
        <w:tc>
          <w:tcPr>
            <w:tcW w:w="620" w:type="pct"/>
            <w:shd w:val="clear" w:color="auto" w:fill="auto"/>
            <w:vAlign w:val="center"/>
          </w:tcPr>
          <w:p w14:paraId="25D727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position w:val="4"/>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position w:val="4"/>
                <w:sz w:val="21"/>
                <w:szCs w:val="21"/>
                <w:u w:val="none" w:color="auto"/>
                <w14:textFill>
                  <w14:solidFill>
                    <w14:schemeClr w14:val="tx1"/>
                  </w14:solidFill>
                </w14:textFill>
              </w:rPr>
              <w:t>mg/kg</w:t>
            </w:r>
          </w:p>
        </w:tc>
        <w:tc>
          <w:tcPr>
            <w:tcW w:w="649" w:type="pct"/>
            <w:shd w:val="clear" w:color="auto" w:fill="auto"/>
            <w:vAlign w:val="center"/>
          </w:tcPr>
          <w:p w14:paraId="5956B4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8</w:t>
            </w:r>
          </w:p>
        </w:tc>
        <w:tc>
          <w:tcPr>
            <w:tcW w:w="701" w:type="pct"/>
            <w:shd w:val="clear" w:color="auto" w:fill="auto"/>
            <w:vAlign w:val="center"/>
          </w:tcPr>
          <w:p w14:paraId="551826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4500</w:t>
            </w:r>
          </w:p>
        </w:tc>
      </w:tr>
    </w:tbl>
    <w:p w14:paraId="34381D53">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）监测结果</w:t>
      </w:r>
    </w:p>
    <w:p w14:paraId="67C9CEC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土壤监测数据结果显示，项目建设用地土壤满足《土壤环境质量建设用地土壤污染风险管控标准（试行）》（GB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36600-2018）第二类用地筛选值要求。</w:t>
      </w:r>
    </w:p>
    <w:p w14:paraId="440F333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162B926E">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bookmarkStart w:id="256" w:name="_Ref11177"/>
      <w:r>
        <w:rPr>
          <w:rFonts w:hint="default" w:ascii="Times New Roman" w:hAnsi="Times New Roman" w:eastAsia="宋体" w:cs="Times New Roman"/>
          <w:color w:val="000000" w:themeColor="text1"/>
          <w:sz w:val="21"/>
          <w:szCs w:val="21"/>
          <w:u w:val="none" w:color="auto"/>
          <w14:textFill>
            <w14:solidFill>
              <w14:schemeClr w14:val="tx1"/>
            </w14:solidFill>
          </w14:textFill>
        </w:rPr>
        <w:t>表</w:t>
      </w:r>
      <w:bookmarkEnd w:id="256"/>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5.</w:t>
      </w:r>
      <w:r>
        <w:rPr>
          <w:rFonts w:hint="default" w:ascii="Times New Roman" w:hAnsi="Times New Roman" w:eastAsia="宋体" w:cs="Times New Roman"/>
          <w:color w:val="000000" w:themeColor="text1"/>
          <w:sz w:val="21"/>
          <w:szCs w:val="21"/>
          <w:u w:val="none" w:color="auto"/>
          <w14:textFill>
            <w14:solidFill>
              <w14:schemeClr w14:val="tx1"/>
            </w14:solidFill>
          </w14:textFill>
        </w:rPr>
        <w:t>5-</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14:textFill>
            <w14:solidFill>
              <w14:schemeClr w14:val="tx1"/>
            </w14:solidFill>
          </w14:textFill>
        </w:rPr>
        <w:t xml:space="preserve">  土壤环境质量现状监测数据统计分析一览表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1529"/>
        <w:gridCol w:w="1128"/>
        <w:gridCol w:w="1062"/>
        <w:gridCol w:w="1058"/>
        <w:gridCol w:w="1168"/>
        <w:gridCol w:w="1378"/>
        <w:gridCol w:w="1543"/>
        <w:gridCol w:w="1089"/>
        <w:gridCol w:w="1089"/>
        <w:gridCol w:w="1074"/>
      </w:tblGrid>
      <w:tr w14:paraId="0C680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056" w:type="dxa"/>
            <w:vAlign w:val="center"/>
          </w:tcPr>
          <w:p w14:paraId="209D3F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检测项目</w:t>
            </w:r>
          </w:p>
        </w:tc>
        <w:tc>
          <w:tcPr>
            <w:tcW w:w="1529" w:type="dxa"/>
            <w:vAlign w:val="center"/>
          </w:tcPr>
          <w:p w14:paraId="4B8EA5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最大标准指数</w:t>
            </w:r>
          </w:p>
        </w:tc>
        <w:tc>
          <w:tcPr>
            <w:tcW w:w="1128" w:type="dxa"/>
            <w:vAlign w:val="center"/>
          </w:tcPr>
          <w:p w14:paraId="3A6C2F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达标情况</w:t>
            </w:r>
          </w:p>
        </w:tc>
        <w:tc>
          <w:tcPr>
            <w:tcW w:w="1062" w:type="dxa"/>
            <w:vAlign w:val="center"/>
          </w:tcPr>
          <w:p w14:paraId="6362FA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样本数量</w:t>
            </w:r>
          </w:p>
        </w:tc>
        <w:tc>
          <w:tcPr>
            <w:tcW w:w="1058" w:type="dxa"/>
            <w:vAlign w:val="center"/>
          </w:tcPr>
          <w:p w14:paraId="672D0A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最大值</w:t>
            </w:r>
          </w:p>
        </w:tc>
        <w:tc>
          <w:tcPr>
            <w:tcW w:w="1168" w:type="dxa"/>
            <w:vAlign w:val="center"/>
          </w:tcPr>
          <w:p w14:paraId="45FA81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最小值</w:t>
            </w:r>
          </w:p>
        </w:tc>
        <w:tc>
          <w:tcPr>
            <w:tcW w:w="1378" w:type="dxa"/>
            <w:vAlign w:val="center"/>
          </w:tcPr>
          <w:p w14:paraId="364670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均值</w:t>
            </w:r>
          </w:p>
        </w:tc>
        <w:tc>
          <w:tcPr>
            <w:tcW w:w="1543" w:type="dxa"/>
            <w:vAlign w:val="center"/>
          </w:tcPr>
          <w:p w14:paraId="474676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标准差</w:t>
            </w:r>
          </w:p>
        </w:tc>
        <w:tc>
          <w:tcPr>
            <w:tcW w:w="1089" w:type="dxa"/>
            <w:vAlign w:val="center"/>
          </w:tcPr>
          <w:p w14:paraId="754382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检出率/%</w:t>
            </w:r>
          </w:p>
        </w:tc>
        <w:tc>
          <w:tcPr>
            <w:tcW w:w="1089" w:type="dxa"/>
            <w:vAlign w:val="center"/>
          </w:tcPr>
          <w:p w14:paraId="39EA60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超标率/%</w:t>
            </w:r>
          </w:p>
        </w:tc>
        <w:tc>
          <w:tcPr>
            <w:tcW w:w="1074" w:type="dxa"/>
            <w:vAlign w:val="center"/>
          </w:tcPr>
          <w:p w14:paraId="6F96EF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最大超标倍数</w:t>
            </w:r>
          </w:p>
        </w:tc>
      </w:tr>
      <w:tr w14:paraId="2E3D8D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19A641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砷</w:t>
            </w:r>
          </w:p>
        </w:tc>
        <w:tc>
          <w:tcPr>
            <w:tcW w:w="1529" w:type="dxa"/>
            <w:shd w:val="clear" w:color="auto" w:fill="auto"/>
            <w:vAlign w:val="center"/>
          </w:tcPr>
          <w:p w14:paraId="1A32D78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0.585 </w:t>
            </w:r>
          </w:p>
        </w:tc>
        <w:tc>
          <w:tcPr>
            <w:tcW w:w="1128" w:type="dxa"/>
            <w:shd w:val="clear" w:color="auto" w:fill="auto"/>
            <w:vAlign w:val="center"/>
          </w:tcPr>
          <w:p w14:paraId="2B8320A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60893D0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058" w:type="dxa"/>
            <w:shd w:val="clear" w:color="auto" w:fill="auto"/>
            <w:vAlign w:val="center"/>
          </w:tcPr>
          <w:p w14:paraId="0BF7078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35.1</w:t>
            </w:r>
          </w:p>
        </w:tc>
        <w:tc>
          <w:tcPr>
            <w:tcW w:w="1168" w:type="dxa"/>
            <w:shd w:val="clear" w:color="auto" w:fill="auto"/>
            <w:vAlign w:val="center"/>
          </w:tcPr>
          <w:p w14:paraId="1EE821D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18.6</w:t>
            </w:r>
          </w:p>
        </w:tc>
        <w:tc>
          <w:tcPr>
            <w:tcW w:w="1378" w:type="dxa"/>
            <w:shd w:val="clear" w:color="auto" w:fill="auto"/>
            <w:vAlign w:val="center"/>
          </w:tcPr>
          <w:p w14:paraId="4A678C4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24.3 </w:t>
            </w:r>
          </w:p>
        </w:tc>
        <w:tc>
          <w:tcPr>
            <w:tcW w:w="1543" w:type="dxa"/>
            <w:shd w:val="clear" w:color="auto" w:fill="auto"/>
            <w:vAlign w:val="center"/>
          </w:tcPr>
          <w:p w14:paraId="017E333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9.36 </w:t>
            </w:r>
          </w:p>
        </w:tc>
        <w:tc>
          <w:tcPr>
            <w:tcW w:w="1089" w:type="dxa"/>
            <w:vAlign w:val="center"/>
          </w:tcPr>
          <w:p w14:paraId="617FF5F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100</w:t>
            </w:r>
          </w:p>
        </w:tc>
        <w:tc>
          <w:tcPr>
            <w:tcW w:w="1089" w:type="dxa"/>
            <w:vAlign w:val="center"/>
          </w:tcPr>
          <w:p w14:paraId="050BB98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DDA64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609175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0A7329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镉</w:t>
            </w:r>
          </w:p>
        </w:tc>
        <w:tc>
          <w:tcPr>
            <w:tcW w:w="1529" w:type="dxa"/>
            <w:shd w:val="clear" w:color="auto" w:fill="auto"/>
            <w:vAlign w:val="center"/>
          </w:tcPr>
          <w:p w14:paraId="7F0E18A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0.003 </w:t>
            </w:r>
          </w:p>
        </w:tc>
        <w:tc>
          <w:tcPr>
            <w:tcW w:w="1128" w:type="dxa"/>
            <w:shd w:val="clear" w:color="auto" w:fill="auto"/>
            <w:vAlign w:val="center"/>
          </w:tcPr>
          <w:p w14:paraId="5AD3D5D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BBF94F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058" w:type="dxa"/>
            <w:shd w:val="clear" w:color="auto" w:fill="auto"/>
            <w:vAlign w:val="center"/>
          </w:tcPr>
          <w:p w14:paraId="4FC284D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0.19</w:t>
            </w:r>
          </w:p>
        </w:tc>
        <w:tc>
          <w:tcPr>
            <w:tcW w:w="1168" w:type="dxa"/>
            <w:shd w:val="clear" w:color="auto" w:fill="auto"/>
            <w:vAlign w:val="center"/>
          </w:tcPr>
          <w:p w14:paraId="7470413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0.007</w:t>
            </w:r>
          </w:p>
        </w:tc>
        <w:tc>
          <w:tcPr>
            <w:tcW w:w="1378" w:type="dxa"/>
            <w:shd w:val="clear" w:color="auto" w:fill="auto"/>
            <w:vAlign w:val="center"/>
          </w:tcPr>
          <w:p w14:paraId="1183C66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0.1 </w:t>
            </w:r>
          </w:p>
        </w:tc>
        <w:tc>
          <w:tcPr>
            <w:tcW w:w="1543" w:type="dxa"/>
            <w:shd w:val="clear" w:color="auto" w:fill="auto"/>
            <w:vAlign w:val="center"/>
          </w:tcPr>
          <w:p w14:paraId="075E75F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0.07 </w:t>
            </w:r>
          </w:p>
        </w:tc>
        <w:tc>
          <w:tcPr>
            <w:tcW w:w="1089" w:type="dxa"/>
            <w:vAlign w:val="center"/>
          </w:tcPr>
          <w:p w14:paraId="4DDF7E4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100</w:t>
            </w:r>
          </w:p>
        </w:tc>
        <w:tc>
          <w:tcPr>
            <w:tcW w:w="1089" w:type="dxa"/>
            <w:vAlign w:val="center"/>
          </w:tcPr>
          <w:p w14:paraId="11FD7B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448294C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258D1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47584A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六价铬</w:t>
            </w:r>
          </w:p>
        </w:tc>
        <w:tc>
          <w:tcPr>
            <w:tcW w:w="1529" w:type="dxa"/>
            <w:shd w:val="clear" w:color="auto" w:fill="auto"/>
            <w:vAlign w:val="center"/>
          </w:tcPr>
          <w:p w14:paraId="212E7F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0FD2563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1342468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058" w:type="dxa"/>
            <w:shd w:val="clear" w:color="auto" w:fill="auto"/>
            <w:vAlign w:val="center"/>
          </w:tcPr>
          <w:p w14:paraId="7098C55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2FD797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7CCB0F6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151B1DB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4C50B96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4FE53A7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80010B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68A2A7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FEABB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铜</w:t>
            </w:r>
          </w:p>
        </w:tc>
        <w:tc>
          <w:tcPr>
            <w:tcW w:w="1529" w:type="dxa"/>
            <w:shd w:val="clear" w:color="auto" w:fill="auto"/>
            <w:vAlign w:val="center"/>
          </w:tcPr>
          <w:p w14:paraId="5B2393A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0.001 </w:t>
            </w:r>
          </w:p>
        </w:tc>
        <w:tc>
          <w:tcPr>
            <w:tcW w:w="1128" w:type="dxa"/>
            <w:shd w:val="clear" w:color="auto" w:fill="auto"/>
            <w:vAlign w:val="center"/>
          </w:tcPr>
          <w:p w14:paraId="7EE3C9C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3C0B0E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058" w:type="dxa"/>
            <w:shd w:val="clear" w:color="auto" w:fill="auto"/>
            <w:vAlign w:val="center"/>
          </w:tcPr>
          <w:p w14:paraId="124F976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w:t>
            </w:r>
          </w:p>
        </w:tc>
        <w:tc>
          <w:tcPr>
            <w:tcW w:w="1168" w:type="dxa"/>
            <w:shd w:val="clear" w:color="auto" w:fill="auto"/>
            <w:vAlign w:val="center"/>
          </w:tcPr>
          <w:p w14:paraId="12707CE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w:t>
            </w:r>
          </w:p>
        </w:tc>
        <w:tc>
          <w:tcPr>
            <w:tcW w:w="1378" w:type="dxa"/>
            <w:shd w:val="clear" w:color="auto" w:fill="auto"/>
            <w:vAlign w:val="center"/>
          </w:tcPr>
          <w:p w14:paraId="007450A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10.7 </w:t>
            </w:r>
          </w:p>
        </w:tc>
        <w:tc>
          <w:tcPr>
            <w:tcW w:w="1543" w:type="dxa"/>
            <w:shd w:val="clear" w:color="auto" w:fill="auto"/>
            <w:vAlign w:val="center"/>
          </w:tcPr>
          <w:p w14:paraId="0947135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0.58 </w:t>
            </w:r>
          </w:p>
        </w:tc>
        <w:tc>
          <w:tcPr>
            <w:tcW w:w="1089" w:type="dxa"/>
            <w:vAlign w:val="center"/>
          </w:tcPr>
          <w:p w14:paraId="06BE20C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100</w:t>
            </w:r>
          </w:p>
        </w:tc>
        <w:tc>
          <w:tcPr>
            <w:tcW w:w="1089" w:type="dxa"/>
            <w:vAlign w:val="center"/>
          </w:tcPr>
          <w:p w14:paraId="46FBBF9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42F2689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67E01A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430723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铅</w:t>
            </w:r>
          </w:p>
        </w:tc>
        <w:tc>
          <w:tcPr>
            <w:tcW w:w="1529" w:type="dxa"/>
            <w:shd w:val="clear" w:color="auto" w:fill="auto"/>
            <w:vAlign w:val="center"/>
          </w:tcPr>
          <w:p w14:paraId="03F984D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0.022 </w:t>
            </w:r>
          </w:p>
        </w:tc>
        <w:tc>
          <w:tcPr>
            <w:tcW w:w="1128" w:type="dxa"/>
            <w:shd w:val="clear" w:color="auto" w:fill="auto"/>
            <w:vAlign w:val="center"/>
          </w:tcPr>
          <w:p w14:paraId="166A658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AC6C19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058" w:type="dxa"/>
            <w:shd w:val="clear" w:color="auto" w:fill="auto"/>
            <w:vAlign w:val="center"/>
          </w:tcPr>
          <w:p w14:paraId="05FCAE5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17.5</w:t>
            </w:r>
          </w:p>
        </w:tc>
        <w:tc>
          <w:tcPr>
            <w:tcW w:w="1168" w:type="dxa"/>
            <w:shd w:val="clear" w:color="auto" w:fill="auto"/>
            <w:vAlign w:val="center"/>
          </w:tcPr>
          <w:p w14:paraId="49BA2C0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9.2</w:t>
            </w:r>
          </w:p>
        </w:tc>
        <w:tc>
          <w:tcPr>
            <w:tcW w:w="1378" w:type="dxa"/>
            <w:shd w:val="clear" w:color="auto" w:fill="auto"/>
            <w:vAlign w:val="center"/>
          </w:tcPr>
          <w:p w14:paraId="0639021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12.5 </w:t>
            </w:r>
          </w:p>
        </w:tc>
        <w:tc>
          <w:tcPr>
            <w:tcW w:w="1543" w:type="dxa"/>
            <w:shd w:val="clear" w:color="auto" w:fill="auto"/>
            <w:vAlign w:val="center"/>
          </w:tcPr>
          <w:p w14:paraId="5412AAA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4.40 </w:t>
            </w:r>
          </w:p>
        </w:tc>
        <w:tc>
          <w:tcPr>
            <w:tcW w:w="1089" w:type="dxa"/>
            <w:vAlign w:val="center"/>
          </w:tcPr>
          <w:p w14:paraId="6B2A01F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100</w:t>
            </w:r>
          </w:p>
        </w:tc>
        <w:tc>
          <w:tcPr>
            <w:tcW w:w="1089" w:type="dxa"/>
            <w:vAlign w:val="center"/>
          </w:tcPr>
          <w:p w14:paraId="459A422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49E817A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708E65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1B6414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汞</w:t>
            </w:r>
          </w:p>
        </w:tc>
        <w:tc>
          <w:tcPr>
            <w:tcW w:w="1529" w:type="dxa"/>
            <w:shd w:val="clear" w:color="auto" w:fill="auto"/>
            <w:vAlign w:val="center"/>
          </w:tcPr>
          <w:p w14:paraId="6983D62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0.061 </w:t>
            </w:r>
          </w:p>
        </w:tc>
        <w:tc>
          <w:tcPr>
            <w:tcW w:w="1128" w:type="dxa"/>
            <w:shd w:val="clear" w:color="auto" w:fill="auto"/>
            <w:vAlign w:val="center"/>
          </w:tcPr>
          <w:p w14:paraId="01BBCBB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1C83301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058" w:type="dxa"/>
            <w:shd w:val="clear" w:color="auto" w:fill="auto"/>
            <w:vAlign w:val="center"/>
          </w:tcPr>
          <w:p w14:paraId="6FD9429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2.32</w:t>
            </w:r>
          </w:p>
        </w:tc>
        <w:tc>
          <w:tcPr>
            <w:tcW w:w="1168" w:type="dxa"/>
            <w:shd w:val="clear" w:color="auto" w:fill="auto"/>
            <w:vAlign w:val="center"/>
          </w:tcPr>
          <w:p w14:paraId="7CDD8AD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0.026</w:t>
            </w:r>
          </w:p>
        </w:tc>
        <w:tc>
          <w:tcPr>
            <w:tcW w:w="1378" w:type="dxa"/>
            <w:shd w:val="clear" w:color="auto" w:fill="auto"/>
            <w:vAlign w:val="center"/>
          </w:tcPr>
          <w:p w14:paraId="5A23C25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0.800 </w:t>
            </w:r>
          </w:p>
        </w:tc>
        <w:tc>
          <w:tcPr>
            <w:tcW w:w="1543" w:type="dxa"/>
            <w:shd w:val="clear" w:color="auto" w:fill="auto"/>
            <w:vAlign w:val="center"/>
          </w:tcPr>
          <w:p w14:paraId="28E3E0B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1.32 </w:t>
            </w:r>
          </w:p>
        </w:tc>
        <w:tc>
          <w:tcPr>
            <w:tcW w:w="1089" w:type="dxa"/>
            <w:vAlign w:val="center"/>
          </w:tcPr>
          <w:p w14:paraId="4930CD8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100</w:t>
            </w:r>
          </w:p>
        </w:tc>
        <w:tc>
          <w:tcPr>
            <w:tcW w:w="1089" w:type="dxa"/>
            <w:vAlign w:val="center"/>
          </w:tcPr>
          <w:p w14:paraId="7048C5D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2DA021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792B29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1CF13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镍</w:t>
            </w:r>
          </w:p>
        </w:tc>
        <w:tc>
          <w:tcPr>
            <w:tcW w:w="1529" w:type="dxa"/>
            <w:shd w:val="clear" w:color="auto" w:fill="auto"/>
            <w:vAlign w:val="center"/>
          </w:tcPr>
          <w:p w14:paraId="2030D72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0.046 </w:t>
            </w:r>
          </w:p>
        </w:tc>
        <w:tc>
          <w:tcPr>
            <w:tcW w:w="1128" w:type="dxa"/>
            <w:shd w:val="clear" w:color="auto" w:fill="auto"/>
            <w:vAlign w:val="center"/>
          </w:tcPr>
          <w:p w14:paraId="0CBA36C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5ED43AB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058" w:type="dxa"/>
            <w:shd w:val="clear" w:color="auto" w:fill="auto"/>
            <w:vAlign w:val="center"/>
          </w:tcPr>
          <w:p w14:paraId="0EDCA6A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41</w:t>
            </w:r>
          </w:p>
        </w:tc>
        <w:tc>
          <w:tcPr>
            <w:tcW w:w="1168" w:type="dxa"/>
            <w:shd w:val="clear" w:color="auto" w:fill="auto"/>
            <w:vAlign w:val="center"/>
          </w:tcPr>
          <w:p w14:paraId="41F2A61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38</w:t>
            </w:r>
          </w:p>
        </w:tc>
        <w:tc>
          <w:tcPr>
            <w:tcW w:w="1378" w:type="dxa"/>
            <w:shd w:val="clear" w:color="auto" w:fill="auto"/>
            <w:vAlign w:val="center"/>
          </w:tcPr>
          <w:p w14:paraId="14DAB47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39.7 </w:t>
            </w:r>
          </w:p>
        </w:tc>
        <w:tc>
          <w:tcPr>
            <w:tcW w:w="1543" w:type="dxa"/>
            <w:shd w:val="clear" w:color="auto" w:fill="auto"/>
            <w:vAlign w:val="center"/>
          </w:tcPr>
          <w:p w14:paraId="254B347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1.53 </w:t>
            </w:r>
          </w:p>
        </w:tc>
        <w:tc>
          <w:tcPr>
            <w:tcW w:w="1089" w:type="dxa"/>
            <w:vAlign w:val="center"/>
          </w:tcPr>
          <w:p w14:paraId="5127B7C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100</w:t>
            </w:r>
          </w:p>
        </w:tc>
        <w:tc>
          <w:tcPr>
            <w:tcW w:w="1089" w:type="dxa"/>
            <w:vAlign w:val="center"/>
          </w:tcPr>
          <w:p w14:paraId="7BC145B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409D9A0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4AEE15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0CBEE0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四氯化碳</w:t>
            </w:r>
          </w:p>
        </w:tc>
        <w:tc>
          <w:tcPr>
            <w:tcW w:w="1529" w:type="dxa"/>
            <w:shd w:val="clear" w:color="auto" w:fill="auto"/>
            <w:vAlign w:val="center"/>
          </w:tcPr>
          <w:p w14:paraId="11AEE67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7DCC924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2C13FA2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157117C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2EA9935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3A875CD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76012F7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2687E5F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468F06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77F69CE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01A2C5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AC7F3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氯仿</w:t>
            </w:r>
          </w:p>
        </w:tc>
        <w:tc>
          <w:tcPr>
            <w:tcW w:w="1529" w:type="dxa"/>
            <w:shd w:val="clear" w:color="auto" w:fill="auto"/>
            <w:vAlign w:val="center"/>
          </w:tcPr>
          <w:p w14:paraId="53CCCA6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727DA29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58D263A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1A45C28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01448C1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3DBFEA8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696485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4E6309F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48828EC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53ABD1F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31BFBB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5C845D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氯甲烷</w:t>
            </w:r>
          </w:p>
        </w:tc>
        <w:tc>
          <w:tcPr>
            <w:tcW w:w="1529" w:type="dxa"/>
            <w:shd w:val="clear" w:color="auto" w:fill="auto"/>
            <w:vAlign w:val="center"/>
          </w:tcPr>
          <w:p w14:paraId="5CFA16B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01469E8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D3CB3C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6CC8BF9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C6BE0D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019D381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77E068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8CC3A2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1DE01E3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9F2C6C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365AEE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396AB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1，1-二氯乙烷</w:t>
            </w:r>
          </w:p>
        </w:tc>
        <w:tc>
          <w:tcPr>
            <w:tcW w:w="1529" w:type="dxa"/>
            <w:shd w:val="clear" w:color="auto" w:fill="auto"/>
            <w:vAlign w:val="center"/>
          </w:tcPr>
          <w:p w14:paraId="66460ED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28B4A1B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34AC4E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5149BC3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14C62CD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11B25FE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3155B0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655149D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7A8BCA4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5FDCD81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4F5CBE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59863A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1，2-二氯乙烷</w:t>
            </w:r>
          </w:p>
        </w:tc>
        <w:tc>
          <w:tcPr>
            <w:tcW w:w="1529" w:type="dxa"/>
            <w:shd w:val="clear" w:color="auto" w:fill="auto"/>
            <w:vAlign w:val="center"/>
          </w:tcPr>
          <w:p w14:paraId="0D7A740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2DC213C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97C731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0658C2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161D28D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77B55FD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42A350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62417F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05B994B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B8A9AA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16BCB3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33F7E0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1，1-二氯乙烯</w:t>
            </w:r>
          </w:p>
        </w:tc>
        <w:tc>
          <w:tcPr>
            <w:tcW w:w="1529" w:type="dxa"/>
            <w:shd w:val="clear" w:color="auto" w:fill="auto"/>
            <w:vAlign w:val="center"/>
          </w:tcPr>
          <w:p w14:paraId="475FB11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3D1935D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B33505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4A9D441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0E4ADCB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6901F33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ADCF25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594A515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131E7C7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139A04F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7B137C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604690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顺-1，2-二氯乙烯</w:t>
            </w:r>
          </w:p>
        </w:tc>
        <w:tc>
          <w:tcPr>
            <w:tcW w:w="1529" w:type="dxa"/>
            <w:shd w:val="clear" w:color="auto" w:fill="auto"/>
            <w:vAlign w:val="center"/>
          </w:tcPr>
          <w:p w14:paraId="0E16DAE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1DD7C83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7A290E6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141B054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BA71A2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04A28F4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6B5F534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4309FB3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70F7711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5FB9EF0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0E5D6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35921F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反-1，2-二氯乙烯</w:t>
            </w:r>
          </w:p>
        </w:tc>
        <w:tc>
          <w:tcPr>
            <w:tcW w:w="1529" w:type="dxa"/>
            <w:shd w:val="clear" w:color="auto" w:fill="auto"/>
            <w:vAlign w:val="center"/>
          </w:tcPr>
          <w:p w14:paraId="41DAEE3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06F084C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54236C6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6E01E97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5A66F38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3A98F51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18FEF0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752095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713CC0D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42BE01F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31319E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30ABAD4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二氯甲烷</w:t>
            </w:r>
          </w:p>
        </w:tc>
        <w:tc>
          <w:tcPr>
            <w:tcW w:w="1529" w:type="dxa"/>
            <w:shd w:val="clear" w:color="auto" w:fill="auto"/>
            <w:vAlign w:val="center"/>
          </w:tcPr>
          <w:p w14:paraId="45231C5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6F02FB2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60695D2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4526BF1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7A7D91B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3E4D35A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3310762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199277C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23093E6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4AB784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324ECE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57A5C6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1，2-二氯丙烷</w:t>
            </w:r>
          </w:p>
        </w:tc>
        <w:tc>
          <w:tcPr>
            <w:tcW w:w="1529" w:type="dxa"/>
            <w:shd w:val="clear" w:color="auto" w:fill="auto"/>
            <w:vAlign w:val="center"/>
          </w:tcPr>
          <w:p w14:paraId="0DC21C7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6ACB562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15B5DEB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7D2E727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79E92FF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01E20B8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57E1B43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8CC020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1576485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75C2193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4BEF9B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144CCF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1，1，1，2-四氯乙烷</w:t>
            </w:r>
          </w:p>
        </w:tc>
        <w:tc>
          <w:tcPr>
            <w:tcW w:w="1529" w:type="dxa"/>
            <w:shd w:val="clear" w:color="auto" w:fill="auto"/>
            <w:vAlign w:val="center"/>
          </w:tcPr>
          <w:p w14:paraId="61BDE9E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4DC2247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2BFCFCB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2378918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3741B6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784CD23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3629ECA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168F75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32E4DC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10DEBC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69BDD6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422942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1，1，2，2-四氯乙烷</w:t>
            </w:r>
          </w:p>
        </w:tc>
        <w:tc>
          <w:tcPr>
            <w:tcW w:w="1529" w:type="dxa"/>
            <w:shd w:val="clear" w:color="auto" w:fill="auto"/>
            <w:vAlign w:val="center"/>
          </w:tcPr>
          <w:p w14:paraId="43DD923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263F333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619C28F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3EDC1B6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1D13A3B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157D96C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E0D1EB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2860199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09C277C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047A7A9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223A4A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32DB29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四氯乙烯</w:t>
            </w:r>
          </w:p>
        </w:tc>
        <w:tc>
          <w:tcPr>
            <w:tcW w:w="1529" w:type="dxa"/>
            <w:shd w:val="clear" w:color="auto" w:fill="auto"/>
            <w:vAlign w:val="center"/>
          </w:tcPr>
          <w:p w14:paraId="1CCFDE5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6D9055A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55323F5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03B56AB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1CAB99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393F36B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4922E84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5B36489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4C8C477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C9E5BF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37068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313D66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1，1，1-三氯乙烷</w:t>
            </w:r>
          </w:p>
        </w:tc>
        <w:tc>
          <w:tcPr>
            <w:tcW w:w="1529" w:type="dxa"/>
            <w:shd w:val="clear" w:color="auto" w:fill="auto"/>
            <w:vAlign w:val="center"/>
          </w:tcPr>
          <w:p w14:paraId="1BA3BC7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7381030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375F1F4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573FD5E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46FE33C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2115DF0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5F19885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7190ADB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56667C6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4BFA41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76AEAD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11995C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1，1，2-三氯乙烷</w:t>
            </w:r>
          </w:p>
        </w:tc>
        <w:tc>
          <w:tcPr>
            <w:tcW w:w="1529" w:type="dxa"/>
            <w:shd w:val="clear" w:color="auto" w:fill="auto"/>
            <w:vAlign w:val="center"/>
          </w:tcPr>
          <w:p w14:paraId="43850B3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620B7FC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6E314CA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74579E2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05C24F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4A04463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2105B3C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72CF657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19743D3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1B5DC08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3DA33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64651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三氯乙烯</w:t>
            </w:r>
          </w:p>
        </w:tc>
        <w:tc>
          <w:tcPr>
            <w:tcW w:w="1529" w:type="dxa"/>
            <w:shd w:val="clear" w:color="auto" w:fill="auto"/>
            <w:vAlign w:val="center"/>
          </w:tcPr>
          <w:p w14:paraId="72AF694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4E6724C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65FAF1E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671E542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118F28F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3C2392E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3BC7757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6DF2565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04E7D22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4C74F3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4801AC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38F91A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1，2，3-三氯丙烷</w:t>
            </w:r>
          </w:p>
        </w:tc>
        <w:tc>
          <w:tcPr>
            <w:tcW w:w="1529" w:type="dxa"/>
            <w:shd w:val="clear" w:color="auto" w:fill="auto"/>
            <w:vAlign w:val="center"/>
          </w:tcPr>
          <w:p w14:paraId="47878B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35EEC04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23541B7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6CAFA29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28FD515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1925A84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54B6994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7C23ADB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7FCCD6D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705A01B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557C6B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034608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氯乙烯</w:t>
            </w:r>
          </w:p>
        </w:tc>
        <w:tc>
          <w:tcPr>
            <w:tcW w:w="1529" w:type="dxa"/>
            <w:shd w:val="clear" w:color="auto" w:fill="auto"/>
            <w:vAlign w:val="center"/>
          </w:tcPr>
          <w:p w14:paraId="30C9771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3BE9F3E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193E301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01C7E06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BF7FD5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23C0035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184C619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4548C0E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131D89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6F2E122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075681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1225F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w:t>
            </w:r>
          </w:p>
        </w:tc>
        <w:tc>
          <w:tcPr>
            <w:tcW w:w="1529" w:type="dxa"/>
            <w:shd w:val="clear" w:color="auto" w:fill="auto"/>
            <w:vAlign w:val="center"/>
          </w:tcPr>
          <w:p w14:paraId="3EB5C2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5DE6558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686B92C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01E9BBE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7ED937F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6E451CC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6C6D0C0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2E73426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16C67B5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5776E5B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62749C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1CAF3E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氯苯</w:t>
            </w:r>
          </w:p>
        </w:tc>
        <w:tc>
          <w:tcPr>
            <w:tcW w:w="1529" w:type="dxa"/>
            <w:shd w:val="clear" w:color="auto" w:fill="auto"/>
            <w:vAlign w:val="center"/>
          </w:tcPr>
          <w:p w14:paraId="0A0D391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385466B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18F59D9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21ABE0F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59E2D45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6DF8578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6B41EA8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5ACED77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4C2DDB4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16414EB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5E4EA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E9F81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1，2-二氯苯</w:t>
            </w:r>
          </w:p>
        </w:tc>
        <w:tc>
          <w:tcPr>
            <w:tcW w:w="1529" w:type="dxa"/>
            <w:shd w:val="clear" w:color="auto" w:fill="auto"/>
            <w:vAlign w:val="center"/>
          </w:tcPr>
          <w:p w14:paraId="382DD8C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51E1248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4544172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60391C8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0A07DCA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6AA7DCC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44CEE69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5071E0B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3BC6917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4BC84D6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7567C3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0BB572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1，4-二氯苯</w:t>
            </w:r>
          </w:p>
        </w:tc>
        <w:tc>
          <w:tcPr>
            <w:tcW w:w="1529" w:type="dxa"/>
            <w:shd w:val="clear" w:color="auto" w:fill="auto"/>
            <w:vAlign w:val="center"/>
          </w:tcPr>
          <w:p w14:paraId="4B0335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55177EE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16D3B5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5689578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DEF02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05343A0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3FA27D0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57A42E2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508B13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0282F7C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755FE5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8BDAF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乙苯</w:t>
            </w:r>
          </w:p>
        </w:tc>
        <w:tc>
          <w:tcPr>
            <w:tcW w:w="1529" w:type="dxa"/>
            <w:shd w:val="clear" w:color="auto" w:fill="auto"/>
            <w:vAlign w:val="center"/>
          </w:tcPr>
          <w:p w14:paraId="100B82A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24A04C3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349789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3475947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1DCD069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5D82067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603F3E5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7546E55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3BD9501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1AE2443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4C3E43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7AE97D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苯乙烯</w:t>
            </w:r>
          </w:p>
        </w:tc>
        <w:tc>
          <w:tcPr>
            <w:tcW w:w="1529" w:type="dxa"/>
            <w:shd w:val="clear" w:color="auto" w:fill="auto"/>
            <w:vAlign w:val="center"/>
          </w:tcPr>
          <w:p w14:paraId="6A71D7C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2C6F5B6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4711AEF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0C7331C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3A4A2BB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4A7ACAD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63C4740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2A3BC7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5E81A9C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F5ADF8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7EBB4C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0BB5BF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甲苯</w:t>
            </w:r>
          </w:p>
        </w:tc>
        <w:tc>
          <w:tcPr>
            <w:tcW w:w="1529" w:type="dxa"/>
            <w:shd w:val="clear" w:color="auto" w:fill="auto"/>
            <w:vAlign w:val="center"/>
          </w:tcPr>
          <w:p w14:paraId="5676B77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236939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16CD0BB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5346AA9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590B578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23295C0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4BCB37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563EA3A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3C19A81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F536E4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0FE676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7282E8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间二甲苯+对二甲苯</w:t>
            </w:r>
          </w:p>
        </w:tc>
        <w:tc>
          <w:tcPr>
            <w:tcW w:w="1529" w:type="dxa"/>
            <w:shd w:val="clear" w:color="auto" w:fill="auto"/>
            <w:vAlign w:val="center"/>
          </w:tcPr>
          <w:p w14:paraId="231D7C2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3D30599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2EA51B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724CF0F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0CC4B1F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70EB00F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290766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7B1ACDF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4E5B7AC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683231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18AA7F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175780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邻二甲苯</w:t>
            </w:r>
          </w:p>
        </w:tc>
        <w:tc>
          <w:tcPr>
            <w:tcW w:w="1529" w:type="dxa"/>
            <w:shd w:val="clear" w:color="auto" w:fill="auto"/>
            <w:vAlign w:val="center"/>
          </w:tcPr>
          <w:p w14:paraId="12D8BB1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1F8DE33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215316A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0B99557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1471A58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66E8155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7086A62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78A03AC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35FC72D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0CF382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474F8B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5FF295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硝基苯</w:t>
            </w:r>
          </w:p>
        </w:tc>
        <w:tc>
          <w:tcPr>
            <w:tcW w:w="1529" w:type="dxa"/>
            <w:shd w:val="clear" w:color="auto" w:fill="auto"/>
            <w:vAlign w:val="center"/>
          </w:tcPr>
          <w:p w14:paraId="7853B4A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3E472C3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4B76F11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2D0C26B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46373EF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50781BF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2AD5CB7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66EA796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4C41407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7E52BDF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11AA68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51B79D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苯胺</w:t>
            </w:r>
          </w:p>
        </w:tc>
        <w:tc>
          <w:tcPr>
            <w:tcW w:w="1529" w:type="dxa"/>
            <w:shd w:val="clear" w:color="auto" w:fill="auto"/>
            <w:vAlign w:val="center"/>
          </w:tcPr>
          <w:p w14:paraId="0C29A20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3439199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D97A1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0D0E333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74CF2A2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4A91195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3B85421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24479D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1803FE8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6C47984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004BB1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517D04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2-氯酚</w:t>
            </w:r>
          </w:p>
        </w:tc>
        <w:tc>
          <w:tcPr>
            <w:tcW w:w="1529" w:type="dxa"/>
            <w:shd w:val="clear" w:color="auto" w:fill="auto"/>
            <w:vAlign w:val="center"/>
          </w:tcPr>
          <w:p w14:paraId="4424EFD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5812CC2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642F9A7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1146737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56C896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6831CAF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59452A5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4D75608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2B052BF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007414B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40C93A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72F6D9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苯并[a]蒽</w:t>
            </w:r>
          </w:p>
        </w:tc>
        <w:tc>
          <w:tcPr>
            <w:tcW w:w="1529" w:type="dxa"/>
            <w:shd w:val="clear" w:color="auto" w:fill="auto"/>
            <w:vAlign w:val="center"/>
          </w:tcPr>
          <w:p w14:paraId="02F18CE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07B7E29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347BD4A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0D9A04C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8B6AD2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431EC69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EB48C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3F89A1E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1E15258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C4DD3F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201671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02C387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苯并[a]芘</w:t>
            </w:r>
          </w:p>
        </w:tc>
        <w:tc>
          <w:tcPr>
            <w:tcW w:w="1529" w:type="dxa"/>
            <w:shd w:val="clear" w:color="auto" w:fill="auto"/>
            <w:vAlign w:val="center"/>
          </w:tcPr>
          <w:p w14:paraId="222DDC4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546928B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614B4AB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207F548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4FDBBD4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3BF82F2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3B3571B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C573F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0A20BF0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54D432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7E37EC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17FA2F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苯并[b]荧蒽</w:t>
            </w:r>
          </w:p>
        </w:tc>
        <w:tc>
          <w:tcPr>
            <w:tcW w:w="1529" w:type="dxa"/>
            <w:shd w:val="clear" w:color="auto" w:fill="auto"/>
            <w:vAlign w:val="center"/>
          </w:tcPr>
          <w:p w14:paraId="740C39A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140DD21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71412B7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6C2E85F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4FD75FF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1489D9A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076FC1B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656798D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525E761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0CE668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393F18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428B10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苯并[k]荧蒽</w:t>
            </w:r>
          </w:p>
        </w:tc>
        <w:tc>
          <w:tcPr>
            <w:tcW w:w="1529" w:type="dxa"/>
            <w:shd w:val="clear" w:color="auto" w:fill="auto"/>
            <w:vAlign w:val="center"/>
          </w:tcPr>
          <w:p w14:paraId="6BF5BB3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4D1B296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2610561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5BC4A6D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2241A68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4B9E5EC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15A630E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23AE4A5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70667ED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71DB1E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1CABCA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449707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䓛</w:t>
            </w:r>
          </w:p>
        </w:tc>
        <w:tc>
          <w:tcPr>
            <w:tcW w:w="1529" w:type="dxa"/>
            <w:shd w:val="clear" w:color="auto" w:fill="auto"/>
            <w:vAlign w:val="center"/>
          </w:tcPr>
          <w:p w14:paraId="7113E12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22B245A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2C27DEE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109E403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22118B9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1624058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7EF3F8C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709CF9F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512E276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72AAC74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3F1F3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057EDD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二苯并[α、h]蒽</w:t>
            </w:r>
          </w:p>
        </w:tc>
        <w:tc>
          <w:tcPr>
            <w:tcW w:w="1529" w:type="dxa"/>
            <w:shd w:val="clear" w:color="auto" w:fill="auto"/>
            <w:vAlign w:val="center"/>
          </w:tcPr>
          <w:p w14:paraId="6F0BF14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3834BF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5A9842E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1E4C3C7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6DB7735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31CFFA7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12C7790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97AA8F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41B0874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C43C66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1F9403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2C4FA8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茚并[1，2，3-cd]芘</w:t>
            </w:r>
          </w:p>
        </w:tc>
        <w:tc>
          <w:tcPr>
            <w:tcW w:w="1529" w:type="dxa"/>
            <w:shd w:val="clear" w:color="auto" w:fill="auto"/>
            <w:vAlign w:val="center"/>
          </w:tcPr>
          <w:p w14:paraId="06FB22B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6B6EECD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1981D13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24434F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4541F77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0EBEB8C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45C3F8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0A1575B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74511E3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6700AA5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23C196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0C47F6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萘</w:t>
            </w:r>
          </w:p>
        </w:tc>
        <w:tc>
          <w:tcPr>
            <w:tcW w:w="1529" w:type="dxa"/>
            <w:shd w:val="clear" w:color="auto" w:fill="auto"/>
            <w:vAlign w:val="center"/>
          </w:tcPr>
          <w:p w14:paraId="3FC5A8B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28" w:type="dxa"/>
            <w:shd w:val="clear" w:color="auto" w:fill="auto"/>
            <w:vAlign w:val="center"/>
          </w:tcPr>
          <w:p w14:paraId="1CE6244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440ADA0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w:t>
            </w:r>
          </w:p>
        </w:tc>
        <w:tc>
          <w:tcPr>
            <w:tcW w:w="1058" w:type="dxa"/>
            <w:shd w:val="clear" w:color="auto" w:fill="auto"/>
            <w:vAlign w:val="center"/>
          </w:tcPr>
          <w:p w14:paraId="6F5A889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168" w:type="dxa"/>
            <w:shd w:val="clear" w:color="auto" w:fill="auto"/>
            <w:vAlign w:val="center"/>
          </w:tcPr>
          <w:p w14:paraId="7F37117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7EA547B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543" w:type="dxa"/>
            <w:shd w:val="clear" w:color="auto" w:fill="auto"/>
            <w:vAlign w:val="center"/>
          </w:tcPr>
          <w:p w14:paraId="25BCF05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089" w:type="dxa"/>
            <w:vAlign w:val="center"/>
          </w:tcPr>
          <w:p w14:paraId="5C5D817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89" w:type="dxa"/>
            <w:vAlign w:val="center"/>
          </w:tcPr>
          <w:p w14:paraId="0A3B903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2A1932E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r w14:paraId="18332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56" w:type="dxa"/>
            <w:vAlign w:val="center"/>
          </w:tcPr>
          <w:p w14:paraId="54B70E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石油烃（C10～C40）</w:t>
            </w:r>
          </w:p>
        </w:tc>
        <w:tc>
          <w:tcPr>
            <w:tcW w:w="1529" w:type="dxa"/>
            <w:shd w:val="clear" w:color="auto" w:fill="auto"/>
            <w:vAlign w:val="center"/>
          </w:tcPr>
          <w:p w14:paraId="0DB2583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0.002 </w:t>
            </w:r>
          </w:p>
        </w:tc>
        <w:tc>
          <w:tcPr>
            <w:tcW w:w="1128" w:type="dxa"/>
            <w:shd w:val="clear" w:color="auto" w:fill="auto"/>
            <w:vAlign w:val="center"/>
          </w:tcPr>
          <w:p w14:paraId="0DEE712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达标</w:t>
            </w:r>
          </w:p>
        </w:tc>
        <w:tc>
          <w:tcPr>
            <w:tcW w:w="1062" w:type="dxa"/>
            <w:shd w:val="clear" w:color="auto" w:fill="auto"/>
            <w:vAlign w:val="center"/>
          </w:tcPr>
          <w:p w14:paraId="0F768EE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w:t>
            </w:r>
          </w:p>
        </w:tc>
        <w:tc>
          <w:tcPr>
            <w:tcW w:w="1058" w:type="dxa"/>
            <w:shd w:val="clear" w:color="auto" w:fill="auto"/>
            <w:vAlign w:val="center"/>
          </w:tcPr>
          <w:p w14:paraId="5253EE5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w:t>
            </w:r>
          </w:p>
        </w:tc>
        <w:tc>
          <w:tcPr>
            <w:tcW w:w="1168" w:type="dxa"/>
            <w:shd w:val="clear" w:color="auto" w:fill="auto"/>
            <w:vAlign w:val="center"/>
          </w:tcPr>
          <w:p w14:paraId="78EB0D3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1378" w:type="dxa"/>
            <w:shd w:val="clear" w:color="auto" w:fill="auto"/>
            <w:vAlign w:val="center"/>
          </w:tcPr>
          <w:p w14:paraId="6C67DF9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6.7</w:t>
            </w:r>
          </w:p>
        </w:tc>
        <w:tc>
          <w:tcPr>
            <w:tcW w:w="1543" w:type="dxa"/>
            <w:shd w:val="clear" w:color="auto" w:fill="auto"/>
            <w:vAlign w:val="center"/>
          </w:tcPr>
          <w:p w14:paraId="67FA46A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3.21 </w:t>
            </w:r>
          </w:p>
        </w:tc>
        <w:tc>
          <w:tcPr>
            <w:tcW w:w="1089" w:type="dxa"/>
            <w:vAlign w:val="center"/>
          </w:tcPr>
          <w:p w14:paraId="07754C9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67</w:t>
            </w:r>
          </w:p>
        </w:tc>
        <w:tc>
          <w:tcPr>
            <w:tcW w:w="1089" w:type="dxa"/>
            <w:vAlign w:val="center"/>
          </w:tcPr>
          <w:p w14:paraId="3A06E64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p>
        </w:tc>
        <w:tc>
          <w:tcPr>
            <w:tcW w:w="1074" w:type="dxa"/>
            <w:vAlign w:val="center"/>
          </w:tcPr>
          <w:p w14:paraId="35BC69C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r>
    </w:tbl>
    <w:p w14:paraId="66AFB9B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300D788A">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57" w:name="_Toc15640"/>
      <w:bookmarkStart w:id="258" w:name="_Toc188005859"/>
      <w:r>
        <w:rPr>
          <w:rFonts w:hint="default" w:ascii="Times New Roman" w:hAnsi="Times New Roman" w:eastAsia="宋体" w:cs="Times New Roman"/>
          <w:color w:val="000000" w:themeColor="text1"/>
          <w:u w:val="none" w:color="auto"/>
          <w:lang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6 生态环境质量现状调查分析</w:t>
      </w:r>
      <w:bookmarkEnd w:id="257"/>
      <w:bookmarkEnd w:id="258"/>
    </w:p>
    <w:p w14:paraId="0FD61BB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所在的平江高新技术产业园已开发建成的区域有明显的人类活动干扰痕迹，动植物数量锐减，分布的植被以人工城市绿化带的植被为主，而未开发的区域内植被和动植物情况基本保持原貌，分布的植被多为松散的灌丛，间有马尾松、杉木等疏林地及蔬菜等农作物。</w:t>
      </w:r>
    </w:p>
    <w:p w14:paraId="23F18C8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周边区域内大部分处于人类长期活动区域，野生动植物的生存环境基本上己遭到破坏。野生动物多为适应耕地和居民点的种类，主要动物物种有斑鸠、喜雀、麻雀等鸟类及鼠类、蛙类、蛇类等常见中小型动物，家畜、家禽主要有猪、牛、羊、鸡、鸭，鱼类有青、草、鲢、鲤、鲫等。</w:t>
      </w:r>
    </w:p>
    <w:p w14:paraId="04A7E89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据调查，评价区域内无珍稀、濒危动植物及国家法规保护的动植物资源。</w:t>
      </w:r>
    </w:p>
    <w:p w14:paraId="389387E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pPr>
    </w:p>
    <w:p w14:paraId="0ED1A3F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1B8B84DC">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259" w:name="_Toc144276927"/>
      <w:bookmarkStart w:id="260" w:name="_Toc164200816"/>
      <w:bookmarkStart w:id="261" w:name="_Toc191240027"/>
      <w:bookmarkStart w:id="262" w:name="_Toc144236797"/>
      <w:bookmarkStart w:id="263" w:name="_Toc187011334"/>
      <w:bookmarkStart w:id="264" w:name="_Toc12921"/>
      <w:bookmarkStart w:id="265" w:name="_Toc102658222"/>
      <w:r>
        <w:rPr>
          <w:rFonts w:hint="default" w:ascii="Times New Roman" w:hAnsi="Times New Roman" w:eastAsia="宋体" w:cs="Times New Roman"/>
          <w:color w:val="000000" w:themeColor="text1"/>
          <w:u w:val="none" w:color="auto"/>
          <w14:textFill>
            <w14:solidFill>
              <w14:schemeClr w14:val="tx1"/>
            </w14:solidFill>
          </w14:textFill>
        </w:rPr>
        <w:t>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章 环境影响预测与评价</w:t>
      </w:r>
      <w:bookmarkEnd w:id="259"/>
      <w:bookmarkEnd w:id="260"/>
      <w:bookmarkEnd w:id="261"/>
      <w:bookmarkEnd w:id="262"/>
      <w:bookmarkEnd w:id="263"/>
      <w:bookmarkEnd w:id="264"/>
      <w:bookmarkEnd w:id="265"/>
    </w:p>
    <w:p w14:paraId="5274AEC2">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66" w:name="_Toc16968"/>
      <w:bookmarkStart w:id="267" w:name="_Toc144236798"/>
      <w:bookmarkStart w:id="268" w:name="_Toc144276928"/>
      <w:bookmarkStart w:id="269" w:name="_Toc187011335"/>
      <w:bookmarkStart w:id="270" w:name="_Toc102658223"/>
      <w:bookmarkStart w:id="271" w:name="_Toc34506591"/>
      <w:bookmarkStart w:id="272" w:name="_Toc164200817"/>
      <w:bookmarkStart w:id="273" w:name="_Toc178950589"/>
      <w:bookmarkStart w:id="274" w:name="_Toc191240029"/>
      <w:bookmarkStart w:id="275" w:name="_Toc188005867"/>
      <w:bookmarkStart w:id="276" w:name="_Toc170918597"/>
      <w:bookmarkStart w:id="277" w:name="_Toc181544111"/>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1 施工期环境影响预测与评价</w:t>
      </w:r>
      <w:bookmarkEnd w:id="266"/>
      <w:bookmarkEnd w:id="267"/>
      <w:bookmarkEnd w:id="268"/>
      <w:bookmarkEnd w:id="269"/>
      <w:bookmarkEnd w:id="270"/>
      <w:bookmarkEnd w:id="271"/>
      <w:bookmarkEnd w:id="272"/>
    </w:p>
    <w:p w14:paraId="0DA5422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278" w:name="_Toc164200818"/>
      <w:bookmarkStart w:id="279" w:name="_Toc187011336"/>
      <w:bookmarkStart w:id="280" w:name="_Toc144236799"/>
      <w:bookmarkStart w:id="281" w:name="_Toc144276929"/>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本项目总占地面积为3849.6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包括1#厂房和2#厂房，本项目生产车间建设在1#厂房内，施工期主要为车间装饰、生产设备及环保设备的安装，不涉及土建施工，施工期约2个月。在施工期间，主要污染因子有：装修废气、焊接烟尘、噪声、废水和固体废物等。施工期短暂，其环境影响随着施工完工而结束。</w:t>
      </w:r>
    </w:p>
    <w:p w14:paraId="6161233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82" w:name="_Toc3450"/>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1.1施工期环境空气影响分析</w:t>
      </w:r>
      <w:bookmarkEnd w:id="278"/>
      <w:bookmarkEnd w:id="279"/>
      <w:bookmarkEnd w:id="280"/>
      <w:bookmarkEnd w:id="281"/>
      <w:bookmarkEnd w:id="282"/>
    </w:p>
    <w:p w14:paraId="5AEA1D6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）装修废气</w:t>
      </w:r>
    </w:p>
    <w:p w14:paraId="5A5B114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项目室内装修阶段</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主要是厂房内外墙面粉饰，</w:t>
      </w:r>
      <w:r>
        <w:rPr>
          <w:rFonts w:hint="default" w:ascii="Times New Roman" w:hAnsi="Times New Roman" w:eastAsia="宋体" w:cs="Times New Roman"/>
          <w:color w:val="000000" w:themeColor="text1"/>
          <w:u w:val="none" w:color="auto"/>
          <w14:textFill>
            <w14:solidFill>
              <w14:schemeClr w14:val="tx1"/>
            </w14:solidFill>
          </w14:textFill>
        </w:rPr>
        <w:t>对环境产生污染的材料主要是油漆</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其主要污染因子为甲苯和二甲苯。</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项目在标准厂房内进行装修，装修工程小，工期短，装修产生的废气对周边大气环境产生的影响很小。</w:t>
      </w:r>
    </w:p>
    <w:p w14:paraId="5D9DE53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项目装修必须严格贯彻执行《民用建筑工程室内环境污染控制规范》（GB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50325-2001），确保室内空气质量达到《室内空气质量标准》（GB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18883-2002）标准限值之内。</w:t>
      </w:r>
    </w:p>
    <w:p w14:paraId="2F6356F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（2）焊接烟尘</w:t>
      </w:r>
    </w:p>
    <w:p w14:paraId="57E4366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期设备的安装会产生焊接废气，其特点是排放量小，且属于间断无组织性排放，由于其这一特点，加之施工场地开阔，扩散条件良好，因此对其不加处理也可以达到相应的排放标准。但为了进一步降低焊接烟尘对环境的影响，在施工期内应多加注意设备的维护，使其能够正常的运行，提高设备的利用率，在施工现场设置移动式焊烟净化装置和吸气罩，将焊烟收集处理后排放。</w:t>
      </w:r>
    </w:p>
    <w:p w14:paraId="75BB929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汽车尾气</w:t>
      </w:r>
    </w:p>
    <w:p w14:paraId="37F4B77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项目施工期车辆运输将产生车辆废气，主要污染物为CxHy、CO、NOx。</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本项目生产及储存设备体积大，</w:t>
      </w:r>
      <w:r>
        <w:rPr>
          <w:rFonts w:hint="default" w:ascii="Times New Roman" w:hAnsi="Times New Roman" w:eastAsia="宋体" w:cs="Times New Roman"/>
          <w:color w:val="000000" w:themeColor="text1"/>
          <w:u w:val="none" w:color="auto"/>
          <w14:textFill>
            <w14:solidFill>
              <w14:schemeClr w14:val="tx1"/>
            </w14:solidFill>
          </w14:textFill>
        </w:rPr>
        <w:t>使用的多为大型运输车辆，尾气排放量与污染物含量均较轻型车辆高，因此，按照国家的有关规定，施工运输车辆必须执行《在用汽车报废标准》，推行强制更新报废制度，对于发动机耗油多、效率低、排放尾气严重超标的老、旧车辆，要及时更新；燃油机械设备应选用符合国家有关卫生标准的施工机械，使其排放的废气符合国家有关标准。</w:t>
      </w:r>
    </w:p>
    <w:p w14:paraId="422EA0F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按《汽车排污监管办法》和《汽车排放监测制度》要求，对施工区运输车辆进行监督管理，定期和不定期的对运输车辆排放的尾气进行监测，对未达标的车辆实施严厉的处罚措施或禁止其在施工区的使用。加之本项目施工车辆废气产生量较小，影响范围有限。另外，施工场地地形开阔，有利于燃油废气的扩散。因此，施工期施工机械尾气对沿线大气环境质量影响很小，且影响是短暂的，随着施工的结束而消失。</w:t>
      </w:r>
    </w:p>
    <w:p w14:paraId="6524D8F5">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83" w:name="_Toc144236800"/>
      <w:bookmarkStart w:id="284" w:name="_Toc164200819"/>
      <w:bookmarkStart w:id="285" w:name="_Toc187011337"/>
      <w:bookmarkStart w:id="286" w:name="_Toc144276930"/>
      <w:bookmarkStart w:id="287" w:name="_Toc7347"/>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1.2 施工期废水影响分析</w:t>
      </w:r>
      <w:bookmarkEnd w:id="283"/>
      <w:bookmarkEnd w:id="284"/>
      <w:bookmarkEnd w:id="285"/>
      <w:bookmarkEnd w:id="286"/>
      <w:bookmarkEnd w:id="287"/>
    </w:p>
    <w:p w14:paraId="14D20E1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w:t>
      </w: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项目</w:t>
      </w:r>
      <w:r>
        <w:rPr>
          <w:rFonts w:hint="default" w:ascii="Times New Roman" w:hAnsi="Times New Roman" w:eastAsia="宋体" w:cs="Times New Roman"/>
          <w:bCs/>
          <w:color w:val="000000" w:themeColor="text1"/>
          <w:u w:val="none" w:color="auto"/>
          <w14:textFill>
            <w14:solidFill>
              <w14:schemeClr w14:val="tx1"/>
            </w14:solidFill>
          </w14:textFill>
        </w:rPr>
        <w:t>施工</w:t>
      </w:r>
      <w:r>
        <w:rPr>
          <w:rFonts w:hint="default" w:ascii="Times New Roman" w:hAnsi="Times New Roman" w:eastAsia="宋体" w:cs="Times New Roman"/>
          <w:bCs/>
          <w:color w:val="000000" w:themeColor="text1"/>
          <w:u w:val="none" w:color="auto"/>
          <w:lang w:val="en-US" w:eastAsia="zh-CN"/>
          <w14:textFill>
            <w14:solidFill>
              <w14:schemeClr w14:val="tx1"/>
            </w14:solidFill>
          </w14:textFill>
        </w:rPr>
        <w:t>期废水主要为施工</w:t>
      </w:r>
      <w:r>
        <w:rPr>
          <w:rFonts w:hint="default" w:ascii="Times New Roman" w:hAnsi="Times New Roman" w:eastAsia="宋体" w:cs="Times New Roman"/>
          <w:bCs/>
          <w:color w:val="000000" w:themeColor="text1"/>
          <w:u w:val="none" w:color="auto"/>
          <w14:textFill>
            <w14:solidFill>
              <w14:schemeClr w14:val="tx1"/>
            </w14:solidFill>
          </w14:textFill>
        </w:rPr>
        <w:t>人员生活污水</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p>
    <w:p w14:paraId="31EC2AC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本项目高峰期施工人员约为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0人，施工人员生活用水量约为100L/人·d，污水排放系数取0.8，则施工人员生活污水产生量为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1.6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/d，主要污染物浓度一般为COD：50-250mg/L，BOD</w:t>
      </w:r>
      <w:r>
        <w:rPr>
          <w:rFonts w:hint="default" w:ascii="Times New Roman" w:hAnsi="Times New Roman" w:eastAsia="宋体" w:cs="Times New Roman"/>
          <w:color w:val="000000" w:themeColor="text1"/>
          <w:u w:val="none" w:color="auto"/>
          <w:vertAlign w:val="subscript"/>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：25-150mg/L，SS：100-200mg/L，NH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-N：15-30mg/L。施工期的生活废水经化粪池处理后排入园区污水管网。对周围环境影响较小。</w:t>
      </w:r>
    </w:p>
    <w:p w14:paraId="4C32ECB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88" w:name="_Toc144236801"/>
      <w:bookmarkStart w:id="289" w:name="_Toc164200820"/>
      <w:bookmarkStart w:id="290" w:name="_Toc14989"/>
      <w:bookmarkStart w:id="291" w:name="_Toc144276931"/>
      <w:bookmarkStart w:id="292" w:name="_Toc187011338"/>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1.3 施工期噪声影响分析</w:t>
      </w:r>
      <w:bookmarkEnd w:id="288"/>
      <w:bookmarkEnd w:id="289"/>
      <w:bookmarkEnd w:id="290"/>
      <w:bookmarkEnd w:id="291"/>
      <w:bookmarkEnd w:id="292"/>
    </w:p>
    <w:p w14:paraId="795CBF1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本项目施工噪声主要是</w:t>
      </w:r>
      <w:r>
        <w:rPr>
          <w:rFonts w:hint="default" w:ascii="Times New Roman" w:hAnsi="Times New Roman" w:eastAsia="宋体" w:cs="Times New Roman"/>
          <w:color w:val="000000" w:themeColor="text1"/>
          <w:u w:val="none" w:color="auto"/>
          <w14:textFill>
            <w14:solidFill>
              <w14:schemeClr w14:val="tx1"/>
            </w14:solidFill>
          </w14:textFill>
        </w:rPr>
        <w:t>装修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和设备安装阶段的施工噪声</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w:t>
      </w:r>
      <w:r>
        <w:rPr>
          <w:rFonts w:hint="default" w:ascii="Times New Roman" w:hAnsi="Times New Roman" w:eastAsia="宋体" w:cs="Times New Roman"/>
          <w:bCs/>
          <w:color w:val="000000" w:themeColor="text1"/>
          <w:sz w:val="24"/>
          <w:szCs w:val="24"/>
          <w:u w:val="none" w:color="auto"/>
          <w:lang w:val="en-US" w:eastAsia="zh-CN"/>
          <w14:textFill>
            <w14:solidFill>
              <w14:schemeClr w14:val="tx1"/>
            </w14:solidFill>
          </w14:textFill>
        </w:rPr>
        <w:t>施工期短，且有厂房阻隔，施工在昼间进行，夜间不进行施工，施工期对周边声环境影响较小。</w:t>
      </w:r>
    </w:p>
    <w:p w14:paraId="0C8A953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93" w:name="_Toc25763"/>
      <w:bookmarkStart w:id="294" w:name="_Toc187011339"/>
      <w:bookmarkStart w:id="295" w:name="_Toc144276932"/>
      <w:bookmarkStart w:id="296" w:name="_Toc164200821"/>
      <w:bookmarkStart w:id="297" w:name="_Toc14423680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1.4 施工期固体废物影响分析</w:t>
      </w:r>
      <w:bookmarkEnd w:id="293"/>
      <w:bookmarkEnd w:id="294"/>
      <w:bookmarkEnd w:id="295"/>
      <w:bookmarkEnd w:id="296"/>
      <w:bookmarkEnd w:id="297"/>
    </w:p>
    <w:p w14:paraId="0E2A298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本项目施工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仅包含装修和设备安装，施工期</w:t>
      </w:r>
      <w:r>
        <w:rPr>
          <w:rFonts w:hint="default" w:ascii="Times New Roman" w:hAnsi="Times New Roman" w:eastAsia="宋体" w:cs="Times New Roman"/>
          <w:color w:val="000000" w:themeColor="text1"/>
          <w:u w:val="none" w:color="auto"/>
          <w14:textFill>
            <w14:solidFill>
              <w14:schemeClr w14:val="tx1"/>
            </w14:solidFill>
          </w14:textFill>
        </w:rPr>
        <w:t>不产生弃土</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u-ES"/>
          <w14:textFill>
            <w14:solidFill>
              <w14:schemeClr w14:val="tx1"/>
            </w14:solidFill>
          </w14:textFill>
        </w:rPr>
        <w:t>施工期所产生的固体废物为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r>
        <w:rPr>
          <w:rFonts w:hint="default" w:ascii="Times New Roman" w:hAnsi="Times New Roman" w:eastAsia="宋体" w:cs="Times New Roman"/>
          <w:color w:val="000000" w:themeColor="text1"/>
          <w:u w:val="none" w:color="auto"/>
          <w:lang w:val="eu-ES"/>
          <w14:textFill>
            <w14:solidFill>
              <w14:schemeClr w14:val="tx1"/>
            </w14:solidFill>
          </w14:textFill>
        </w:rPr>
        <w:t>、施工人员生活垃圾。</w:t>
      </w:r>
    </w:p>
    <w:p w14:paraId="7A4ACFE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p>
    <w:p w14:paraId="631F56D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r>
        <w:rPr>
          <w:rFonts w:hint="default" w:ascii="Times New Roman" w:hAnsi="Times New Roman" w:eastAsia="宋体" w:cs="Times New Roman"/>
          <w:color w:val="000000" w:themeColor="text1"/>
          <w:u w:val="none" w:color="auto"/>
          <w:lang w:val="eu-ES"/>
          <w14:textFill>
            <w14:solidFill>
              <w14:schemeClr w14:val="tx1"/>
            </w14:solidFill>
          </w14:textFill>
        </w:rPr>
        <w:t>中可回收废料尽量由施工单位回收利用</w:t>
      </w:r>
      <w:r>
        <w:rPr>
          <w:rFonts w:hint="default" w:ascii="Times New Roman" w:hAnsi="Times New Roman" w:eastAsia="宋体" w:cs="Times New Roman"/>
          <w:color w:val="000000" w:themeColor="text1"/>
          <w:u w:val="none" w:color="auto"/>
          <w:lang w:val="eu-ES" w:eastAsia="zh-CN"/>
          <w14:textFill>
            <w14:solidFill>
              <w14:schemeClr w14:val="tx1"/>
            </w14:solidFill>
          </w14:textFill>
        </w:rPr>
        <w:t>，</w:t>
      </w:r>
      <w:r>
        <w:rPr>
          <w:rFonts w:hint="default" w:ascii="Times New Roman" w:hAnsi="Times New Roman" w:eastAsia="宋体" w:cs="Times New Roman"/>
          <w:color w:val="000000" w:themeColor="text1"/>
          <w:u w:val="none" w:color="auto"/>
          <w:lang w:val="eu-ES"/>
          <w14:textFill>
            <w14:solidFill>
              <w14:schemeClr w14:val="tx1"/>
            </w14:solidFill>
          </w14:textFill>
        </w:rPr>
        <w:t>其他无法利用的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固体废物</w:t>
      </w:r>
      <w:r>
        <w:rPr>
          <w:rFonts w:hint="default" w:ascii="Times New Roman" w:hAnsi="Times New Roman" w:eastAsia="宋体" w:cs="Times New Roman"/>
          <w:color w:val="000000" w:themeColor="text1"/>
          <w:u w:val="none" w:color="auto"/>
          <w14:textFill>
            <w14:solidFill>
              <w14:schemeClr w14:val="tx1"/>
            </w14:solidFill>
          </w14:textFill>
        </w:rPr>
        <w:t>送往指定的消纳场</w:t>
      </w:r>
      <w:r>
        <w:rPr>
          <w:rFonts w:hint="default" w:ascii="Times New Roman" w:hAnsi="Times New Roman" w:eastAsia="宋体" w:cs="Times New Roman"/>
          <w:color w:val="000000" w:themeColor="text1"/>
          <w:u w:val="none" w:color="auto"/>
          <w:lang w:val="eu-ES"/>
          <w14:textFill>
            <w14:solidFill>
              <w14:schemeClr w14:val="tx1"/>
            </w14:solidFill>
          </w14:textFill>
        </w:rPr>
        <w:t>，不随意丢弃。</w:t>
      </w:r>
    </w:p>
    <w:p w14:paraId="5C364C9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（2）生活垃圾</w:t>
      </w:r>
    </w:p>
    <w:p w14:paraId="605D003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本项目高峰期施工人员约为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0人，生活垃圾产生量按0.5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kg/人·d计，则施工人员每天产生约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10 </w:t>
      </w:r>
      <w:r>
        <w:rPr>
          <w:rFonts w:hint="default" w:ascii="Times New Roman" w:hAnsi="Times New Roman" w:eastAsia="宋体" w:cs="Times New Roman"/>
          <w:color w:val="000000" w:themeColor="text1"/>
          <w:u w:val="none" w:color="auto"/>
          <w14:textFill>
            <w14:solidFill>
              <w14:schemeClr w14:val="tx1"/>
            </w14:solidFill>
          </w14:textFill>
        </w:rPr>
        <w:t>kg生活垃圾，生活垃圾经集中收集后运至环卫部门指定的地点统一处置。</w:t>
      </w:r>
    </w:p>
    <w:p w14:paraId="1BE3C68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综上所述，项目施工期产生的固体废物对周围环境影响较小。</w:t>
      </w:r>
    </w:p>
    <w:p w14:paraId="0C43935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298" w:name="_Toc144276933"/>
      <w:bookmarkStart w:id="299" w:name="_Toc26850"/>
      <w:bookmarkStart w:id="300" w:name="_Toc187011340"/>
      <w:bookmarkStart w:id="301" w:name="_Toc144236803"/>
      <w:bookmarkStart w:id="302" w:name="_Toc16420082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1.5 施工期生态环境影响分析</w:t>
      </w:r>
      <w:bookmarkEnd w:id="298"/>
      <w:bookmarkEnd w:id="299"/>
      <w:bookmarkEnd w:id="300"/>
      <w:bookmarkEnd w:id="301"/>
      <w:bookmarkEnd w:id="302"/>
    </w:p>
    <w:p w14:paraId="17774A5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本项目位于平江高新技术产业园，项目区用地为工业用地。项目现有地块已建设，植被覆盖率低，主要为杂草。本项目的建设对项目所在区域的生态环境影响较小。</w:t>
      </w:r>
    </w:p>
    <w:p w14:paraId="38516DD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03" w:name="_Toc144276935"/>
      <w:bookmarkStart w:id="304" w:name="_Toc144236805"/>
      <w:bookmarkStart w:id="305" w:name="_Toc187011342"/>
      <w:bookmarkStart w:id="306" w:name="_Toc164200824"/>
      <w:bookmarkStart w:id="307" w:name="_Toc27727"/>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施工期小结</w:t>
      </w:r>
      <w:bookmarkEnd w:id="303"/>
      <w:bookmarkEnd w:id="304"/>
      <w:bookmarkEnd w:id="305"/>
      <w:bookmarkEnd w:id="306"/>
      <w:bookmarkEnd w:id="307"/>
    </w:p>
    <w:p w14:paraId="3297928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通过以上分析，为了把施工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造成的废气、噪声等</w:t>
      </w:r>
      <w:r>
        <w:rPr>
          <w:rFonts w:hint="default" w:ascii="Times New Roman" w:hAnsi="Times New Roman" w:eastAsia="宋体" w:cs="Times New Roman"/>
          <w:color w:val="000000" w:themeColor="text1"/>
          <w:u w:val="none" w:color="auto"/>
          <w14:textFill>
            <w14:solidFill>
              <w14:schemeClr w14:val="tx1"/>
            </w14:solidFill>
          </w14:textFill>
        </w:rPr>
        <w:t>对环境敏感点的影响降至最低，在施工期，由施工单位负责场地环境管理，并接受当地环保部门监督、管理。环境管理工作应根据国家有关法律法规及地方环保部门的要求建立一套</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环境污染控制管理方案</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，并利用其中的</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运行控制程序</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进行严格管理，以便做到文明施工，把对周围环境造成的污染影响降至最低。</w:t>
      </w:r>
    </w:p>
    <w:p w14:paraId="7BDC7B3C">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08" w:name="_Toc10874"/>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2 运营期大气环境影响预测与评价</w:t>
      </w:r>
      <w:bookmarkEnd w:id="273"/>
      <w:bookmarkEnd w:id="274"/>
      <w:bookmarkEnd w:id="275"/>
      <w:bookmarkEnd w:id="276"/>
      <w:bookmarkEnd w:id="277"/>
      <w:bookmarkEnd w:id="308"/>
    </w:p>
    <w:p w14:paraId="21B2A14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09" w:name="_Toc27599"/>
      <w:bookmarkStart w:id="310" w:name="_Toc204350738"/>
      <w:bookmarkStart w:id="311" w:name="_Toc199517545"/>
      <w:r>
        <w:rPr>
          <w:rFonts w:hint="eastAsia" w:ascii="Times New Roman" w:hAnsi="Times New Roman" w:eastAsia="宋体" w:cs="Times New Roman"/>
          <w:color w:val="000000" w:themeColor="text1"/>
          <w:u w:val="none" w:color="auto"/>
          <w:lang w:val="en-US" w:eastAsia="zh-CN"/>
          <w14:textFill>
            <w14:solidFill>
              <w14:schemeClr w14:val="tx1"/>
            </w14:solidFill>
          </w14:textFill>
        </w:rPr>
        <w:t>6.2.1 环境影响预测</w:t>
      </w:r>
      <w:bookmarkEnd w:id="309"/>
    </w:p>
    <w:p w14:paraId="60FCE9F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（1）预测因子</w:t>
      </w:r>
    </w:p>
    <w:p w14:paraId="0657853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本次评价预测考虑正常排放工况下废气污染物排放对大气环境质量的影响。</w:t>
      </w:r>
    </w:p>
    <w:p w14:paraId="609AD2E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（2）预测范围</w:t>
      </w:r>
    </w:p>
    <w:p w14:paraId="6F43A52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以项目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厂址为</w:t>
      </w:r>
      <w:r>
        <w:rPr>
          <w:rFonts w:hint="default" w:ascii="Times New Roman" w:hAnsi="Times New Roman" w:eastAsia="宋体" w:cs="Times New Roman"/>
          <w:color w:val="000000" w:themeColor="text1"/>
          <w:u w:val="none" w:color="auto"/>
          <w14:textFill>
            <w14:solidFill>
              <w14:schemeClr w14:val="tx1"/>
            </w14:solidFill>
          </w14:textFill>
        </w:rPr>
        <w:t>中心，厂界边长5</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km的正方形区域。</w:t>
      </w:r>
    </w:p>
    <w:p w14:paraId="582D421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（3）预测模型</w:t>
      </w:r>
    </w:p>
    <w:p w14:paraId="1A6D7A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采用《环境影响评价技术导则-大气环境》（HJ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2.2-2018）推荐的估算模式对本项目产生的污染物进行估算分析。</w:t>
      </w:r>
    </w:p>
    <w:p w14:paraId="4CD1EA4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（4）评价标准</w:t>
      </w:r>
    </w:p>
    <w:p w14:paraId="5A901FB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具体标准值见下表。</w:t>
      </w:r>
    </w:p>
    <w:p w14:paraId="529B019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6.2</w:t>
      </w:r>
      <w:r>
        <w:rPr>
          <w:rFonts w:hint="default" w:ascii="Times New Roman" w:hAnsi="Times New Roman" w:eastAsia="宋体" w:cs="Times New Roman"/>
          <w:color w:val="000000" w:themeColor="text1"/>
          <w:u w:val="none" w:color="auto"/>
          <w14:textFill>
            <w14:solidFill>
              <w14:schemeClr w14:val="tx1"/>
            </w14:solidFill>
          </w14:textFill>
        </w:rPr>
        <w:t>-1  污染物评价标准表</w:t>
      </w:r>
    </w:p>
    <w:tbl>
      <w:tblPr>
        <w:tblStyle w:val="37"/>
        <w:tblW w:w="8527" w:type="dxa"/>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526"/>
        <w:gridCol w:w="1308"/>
        <w:gridCol w:w="1243"/>
        <w:gridCol w:w="1276"/>
        <w:gridCol w:w="3174"/>
      </w:tblGrid>
      <w:tr w14:paraId="4493D65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blHeader/>
        </w:trPr>
        <w:tc>
          <w:tcPr>
            <w:tcW w:w="1526" w:type="dxa"/>
            <w:vAlign w:val="center"/>
          </w:tcPr>
          <w:p w14:paraId="747221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污染物名称</w:t>
            </w:r>
          </w:p>
        </w:tc>
        <w:tc>
          <w:tcPr>
            <w:tcW w:w="1308" w:type="dxa"/>
            <w:vAlign w:val="center"/>
          </w:tcPr>
          <w:p w14:paraId="63EC15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功能区</w:t>
            </w:r>
          </w:p>
        </w:tc>
        <w:tc>
          <w:tcPr>
            <w:tcW w:w="1243" w:type="dxa"/>
            <w:vAlign w:val="center"/>
          </w:tcPr>
          <w:p w14:paraId="69036F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取值时间</w:t>
            </w:r>
          </w:p>
        </w:tc>
        <w:tc>
          <w:tcPr>
            <w:tcW w:w="1276" w:type="dxa"/>
            <w:vAlign w:val="center"/>
          </w:tcPr>
          <w:p w14:paraId="57065A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标准值（μg/m³）</w:t>
            </w:r>
          </w:p>
        </w:tc>
        <w:tc>
          <w:tcPr>
            <w:tcW w:w="3174" w:type="dxa"/>
            <w:vAlign w:val="center"/>
          </w:tcPr>
          <w:p w14:paraId="77ED40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标准来源</w:t>
            </w:r>
          </w:p>
        </w:tc>
      </w:tr>
      <w:tr w14:paraId="7319F7A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1526" w:type="dxa"/>
            <w:vAlign w:val="center"/>
          </w:tcPr>
          <w:p w14:paraId="74E291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1308" w:type="dxa"/>
            <w:vAlign w:val="center"/>
          </w:tcPr>
          <w:p w14:paraId="1A1D7E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二类限区</w:t>
            </w:r>
          </w:p>
        </w:tc>
        <w:tc>
          <w:tcPr>
            <w:tcW w:w="1243" w:type="dxa"/>
            <w:vAlign w:val="center"/>
          </w:tcPr>
          <w:p w14:paraId="409F342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小时</w:t>
            </w:r>
          </w:p>
        </w:tc>
        <w:tc>
          <w:tcPr>
            <w:tcW w:w="1276" w:type="dxa"/>
            <w:vAlign w:val="center"/>
          </w:tcPr>
          <w:p w14:paraId="319AE3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200.0</w:t>
            </w:r>
          </w:p>
        </w:tc>
        <w:tc>
          <w:tcPr>
            <w:tcW w:w="3174" w:type="dxa"/>
            <w:vMerge w:val="restart"/>
            <w:vAlign w:val="center"/>
          </w:tcPr>
          <w:p w14:paraId="0E70CE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大气环境》HJ 2.2-2018附录D</w:t>
            </w:r>
          </w:p>
        </w:tc>
      </w:tr>
      <w:tr w14:paraId="23C82B2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1526" w:type="dxa"/>
            <w:vAlign w:val="center"/>
          </w:tcPr>
          <w:p w14:paraId="32B33B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1308" w:type="dxa"/>
            <w:vAlign w:val="center"/>
          </w:tcPr>
          <w:p w14:paraId="2A249E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二类限区</w:t>
            </w:r>
          </w:p>
        </w:tc>
        <w:tc>
          <w:tcPr>
            <w:tcW w:w="1243" w:type="dxa"/>
            <w:vAlign w:val="center"/>
          </w:tcPr>
          <w:p w14:paraId="7B3804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小时</w:t>
            </w:r>
          </w:p>
        </w:tc>
        <w:tc>
          <w:tcPr>
            <w:tcW w:w="1276" w:type="dxa"/>
            <w:vAlign w:val="center"/>
          </w:tcPr>
          <w:p w14:paraId="79B13D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c>
          <w:tcPr>
            <w:tcW w:w="3174" w:type="dxa"/>
            <w:vMerge w:val="continue"/>
            <w:vAlign w:val="center"/>
          </w:tcPr>
          <w:p w14:paraId="667EF7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0C5782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1526" w:type="dxa"/>
            <w:vAlign w:val="center"/>
          </w:tcPr>
          <w:p w14:paraId="3C5827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1308" w:type="dxa"/>
            <w:vAlign w:val="center"/>
          </w:tcPr>
          <w:p w14:paraId="13E359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二类限区</w:t>
            </w:r>
          </w:p>
        </w:tc>
        <w:tc>
          <w:tcPr>
            <w:tcW w:w="1243" w:type="dxa"/>
            <w:vAlign w:val="center"/>
          </w:tcPr>
          <w:p w14:paraId="6B2DB3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小时</w:t>
            </w:r>
          </w:p>
        </w:tc>
        <w:tc>
          <w:tcPr>
            <w:tcW w:w="1276" w:type="dxa"/>
            <w:vAlign w:val="center"/>
          </w:tcPr>
          <w:p w14:paraId="69C0E9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2000</w:t>
            </w:r>
          </w:p>
        </w:tc>
        <w:tc>
          <w:tcPr>
            <w:tcW w:w="3174" w:type="dxa"/>
            <w:vAlign w:val="center"/>
          </w:tcPr>
          <w:p w14:paraId="5FE1FD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《大气污染物综合排放标准详解》</w:t>
            </w:r>
          </w:p>
        </w:tc>
      </w:tr>
    </w:tbl>
    <w:p w14:paraId="6432B2C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5</w:t>
      </w:r>
      <w:r>
        <w:rPr>
          <w:rFonts w:hint="eastAsia" w:ascii="Times New Roman" w:hAnsi="Times New Roman" w:eastAsia="宋体" w:cs="Times New Roman"/>
          <w:color w:val="000000" w:themeColor="text1"/>
          <w:u w:val="none" w:color="auto"/>
          <w14:textFill>
            <w14:solidFill>
              <w14:schemeClr w14:val="tx1"/>
            </w14:solidFill>
          </w14:textFill>
        </w:rPr>
        <w:t>）预测参数</w:t>
      </w:r>
    </w:p>
    <w:p w14:paraId="3622694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根据《环境影响评价技术导则</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14:textFill>
            <w14:solidFill>
              <w14:schemeClr w14:val="tx1"/>
            </w14:solidFill>
          </w14:textFill>
        </w:rPr>
        <w:t>大气环境》（</w:t>
      </w:r>
      <w:r>
        <w:rPr>
          <w:rFonts w:hint="default" w:ascii="Times New Roman" w:hAnsi="Times New Roman" w:eastAsia="宋体" w:cs="Times New Roman"/>
          <w:color w:val="000000" w:themeColor="text1"/>
          <w:u w:val="none" w:color="auto"/>
          <w14:textFill>
            <w14:solidFill>
              <w14:schemeClr w14:val="tx1"/>
            </w14:solidFill>
          </w14:textFill>
        </w:rPr>
        <w:t>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2.2-2018</w:t>
      </w:r>
      <w:r>
        <w:rPr>
          <w:rFonts w:hint="eastAsia" w:ascii="Times New Roman" w:hAnsi="Times New Roman" w:eastAsia="宋体" w:cs="Times New Roman"/>
          <w:color w:val="000000" w:themeColor="text1"/>
          <w:u w:val="none" w:color="auto"/>
          <w14:textFill>
            <w14:solidFill>
              <w14:schemeClr w14:val="tx1"/>
            </w14:solidFill>
          </w14:textFill>
        </w:rPr>
        <w:t>），结合本项目的工程分析结果，本项目采用估算模式计算各污染物的最大影响程度和最远影响范围，然后按评价工作分级判据进行分级，估算模式参数表见下表。</w:t>
      </w:r>
    </w:p>
    <w:p w14:paraId="64CCD8A0">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6.2</w:t>
      </w:r>
      <w:r>
        <w:rPr>
          <w:rFonts w:hint="default" w:ascii="Times New Roman" w:hAnsi="Times New Roman" w:eastAsia="宋体" w:cs="Times New Roman"/>
          <w:color w:val="000000" w:themeColor="text1"/>
          <w:u w:val="none" w:color="auto"/>
          <w14:textFill>
            <w14:solidFill>
              <w14:schemeClr w14:val="tx1"/>
            </w14:solidFill>
          </w14:textFill>
        </w:rPr>
        <w:t>-2  估算模型参数表</w:t>
      </w:r>
    </w:p>
    <w:tbl>
      <w:tblPr>
        <w:tblStyle w:val="37"/>
        <w:tblW w:w="8527" w:type="dxa"/>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932"/>
        <w:gridCol w:w="3629"/>
        <w:gridCol w:w="2966"/>
      </w:tblGrid>
      <w:tr w14:paraId="3637230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blHeader/>
        </w:trPr>
        <w:tc>
          <w:tcPr>
            <w:tcW w:w="6" w:type="dxa"/>
            <w:gridSpan w:val="2"/>
            <w:vAlign w:val="center"/>
          </w:tcPr>
          <w:p w14:paraId="52AD47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参数</w:t>
            </w:r>
          </w:p>
        </w:tc>
        <w:tc>
          <w:tcPr>
            <w:tcW w:w="6" w:type="dxa"/>
            <w:vAlign w:val="center"/>
          </w:tcPr>
          <w:p w14:paraId="7A51CB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取值</w:t>
            </w:r>
          </w:p>
        </w:tc>
      </w:tr>
      <w:tr w14:paraId="4DB95C6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vMerge w:val="restart"/>
            <w:vAlign w:val="center"/>
          </w:tcPr>
          <w:p w14:paraId="09A35E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城市/农村选项</w:t>
            </w:r>
          </w:p>
        </w:tc>
        <w:tc>
          <w:tcPr>
            <w:tcW w:w="6" w:type="dxa"/>
            <w:vAlign w:val="center"/>
          </w:tcPr>
          <w:p w14:paraId="3D6BB3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城市/农村</w:t>
            </w:r>
          </w:p>
        </w:tc>
        <w:tc>
          <w:tcPr>
            <w:tcW w:w="6" w:type="dxa"/>
            <w:vAlign w:val="center"/>
          </w:tcPr>
          <w:p w14:paraId="6E2624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农村</w:t>
            </w:r>
          </w:p>
        </w:tc>
      </w:tr>
      <w:tr w14:paraId="1B39266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0" w:type="auto"/>
            <w:vMerge w:val="continue"/>
            <w:vAlign w:val="center"/>
          </w:tcPr>
          <w:p w14:paraId="6BF00C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 w:type="dxa"/>
            <w:vAlign w:val="center"/>
          </w:tcPr>
          <w:p w14:paraId="5CB0699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人口数（城市人口数）</w:t>
            </w:r>
          </w:p>
        </w:tc>
        <w:tc>
          <w:tcPr>
            <w:tcW w:w="6" w:type="dxa"/>
            <w:vAlign w:val="center"/>
          </w:tcPr>
          <w:p w14:paraId="713EC9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76EF119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gridSpan w:val="2"/>
            <w:vAlign w:val="center"/>
          </w:tcPr>
          <w:p w14:paraId="3AC6A2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最高环境温度</w:t>
            </w:r>
          </w:p>
        </w:tc>
        <w:tc>
          <w:tcPr>
            <w:tcW w:w="6" w:type="dxa"/>
            <w:vAlign w:val="center"/>
          </w:tcPr>
          <w:p w14:paraId="407410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41.5</w:t>
            </w:r>
          </w:p>
        </w:tc>
      </w:tr>
      <w:tr w14:paraId="7C9681F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gridSpan w:val="2"/>
            <w:vAlign w:val="center"/>
          </w:tcPr>
          <w:p w14:paraId="39F71C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最低环境温度</w:t>
            </w:r>
          </w:p>
        </w:tc>
        <w:tc>
          <w:tcPr>
            <w:tcW w:w="6" w:type="dxa"/>
            <w:vAlign w:val="center"/>
          </w:tcPr>
          <w:p w14:paraId="5256FC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-12.0</w:t>
            </w:r>
          </w:p>
        </w:tc>
      </w:tr>
      <w:tr w14:paraId="45A0147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gridSpan w:val="2"/>
            <w:vAlign w:val="center"/>
          </w:tcPr>
          <w:p w14:paraId="47B1AA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土地利用类型</w:t>
            </w:r>
          </w:p>
        </w:tc>
        <w:tc>
          <w:tcPr>
            <w:tcW w:w="6" w:type="dxa"/>
            <w:vAlign w:val="center"/>
          </w:tcPr>
          <w:p w14:paraId="5666FE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落叶林</w:t>
            </w:r>
          </w:p>
        </w:tc>
      </w:tr>
      <w:tr w14:paraId="34C52D4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gridSpan w:val="2"/>
            <w:vAlign w:val="center"/>
          </w:tcPr>
          <w:p w14:paraId="45308A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区域湿度条件</w:t>
            </w:r>
          </w:p>
        </w:tc>
        <w:tc>
          <w:tcPr>
            <w:tcW w:w="6" w:type="dxa"/>
            <w:vAlign w:val="center"/>
          </w:tcPr>
          <w:p w14:paraId="0218F9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潮湿</w:t>
            </w:r>
          </w:p>
        </w:tc>
      </w:tr>
      <w:tr w14:paraId="66D6B39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vMerge w:val="restart"/>
            <w:vAlign w:val="center"/>
          </w:tcPr>
          <w:p w14:paraId="4D1CBE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是否考虑地形</w:t>
            </w:r>
          </w:p>
        </w:tc>
        <w:tc>
          <w:tcPr>
            <w:tcW w:w="6" w:type="dxa"/>
            <w:vAlign w:val="center"/>
          </w:tcPr>
          <w:p w14:paraId="714174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考虑地形</w:t>
            </w:r>
          </w:p>
        </w:tc>
        <w:tc>
          <w:tcPr>
            <w:tcW w:w="6" w:type="dxa"/>
            <w:vAlign w:val="center"/>
          </w:tcPr>
          <w:p w14:paraId="3AB0E3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是</w:t>
            </w:r>
          </w:p>
        </w:tc>
      </w:tr>
      <w:tr w14:paraId="7E87AC8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0" w:type="auto"/>
            <w:vMerge w:val="continue"/>
            <w:vAlign w:val="center"/>
          </w:tcPr>
          <w:p w14:paraId="56D000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 w:type="dxa"/>
            <w:vAlign w:val="center"/>
          </w:tcPr>
          <w:p w14:paraId="14AB1C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地形数据分辨率（m）</w:t>
            </w:r>
          </w:p>
        </w:tc>
        <w:tc>
          <w:tcPr>
            <w:tcW w:w="6" w:type="dxa"/>
            <w:vAlign w:val="center"/>
          </w:tcPr>
          <w:p w14:paraId="110AEF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90</w:t>
            </w:r>
          </w:p>
        </w:tc>
      </w:tr>
      <w:tr w14:paraId="160CBDC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 w:type="dxa"/>
            <w:vMerge w:val="restart"/>
            <w:vAlign w:val="center"/>
          </w:tcPr>
          <w:p w14:paraId="2ABDCF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是否考虑岸线熏烟</w:t>
            </w:r>
          </w:p>
        </w:tc>
        <w:tc>
          <w:tcPr>
            <w:tcW w:w="6" w:type="dxa"/>
            <w:vAlign w:val="center"/>
          </w:tcPr>
          <w:p w14:paraId="30A70F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考虑岸线熏烟</w:t>
            </w:r>
          </w:p>
        </w:tc>
        <w:tc>
          <w:tcPr>
            <w:tcW w:w="6" w:type="dxa"/>
            <w:vAlign w:val="center"/>
          </w:tcPr>
          <w:p w14:paraId="295C33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否</w:t>
            </w:r>
          </w:p>
        </w:tc>
      </w:tr>
      <w:tr w14:paraId="3220538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0" w:type="auto"/>
            <w:vMerge w:val="continue"/>
            <w:vAlign w:val="center"/>
          </w:tcPr>
          <w:p w14:paraId="6AF2B0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 w:type="dxa"/>
            <w:vAlign w:val="center"/>
          </w:tcPr>
          <w:p w14:paraId="075D27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岸线距离/m</w:t>
            </w:r>
          </w:p>
        </w:tc>
        <w:tc>
          <w:tcPr>
            <w:tcW w:w="6" w:type="dxa"/>
            <w:vAlign w:val="center"/>
          </w:tcPr>
          <w:p w14:paraId="7D36FF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74F0B3E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0" w:type="auto"/>
            <w:vMerge w:val="continue"/>
            <w:vAlign w:val="center"/>
          </w:tcPr>
          <w:p w14:paraId="2765EA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 w:type="dxa"/>
            <w:vAlign w:val="center"/>
          </w:tcPr>
          <w:p w14:paraId="2F0C24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岸线方向/°</w:t>
            </w:r>
          </w:p>
        </w:tc>
        <w:tc>
          <w:tcPr>
            <w:tcW w:w="6" w:type="dxa"/>
            <w:vAlign w:val="center"/>
          </w:tcPr>
          <w:p w14:paraId="2D37A4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bl>
    <w:p w14:paraId="0A26649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sectPr>
          <w:pgSz w:w="11907" w:h="16840"/>
          <w:pgMar w:top="1440" w:right="1797" w:bottom="1440" w:left="1797" w:header="851" w:footer="992" w:gutter="0"/>
          <w:pgBorders>
            <w:top w:val="none" w:sz="0" w:space="0"/>
            <w:left w:val="none" w:sz="0" w:space="0"/>
            <w:bottom w:val="none" w:sz="0" w:space="0"/>
            <w:right w:val="none" w:sz="0" w:space="0"/>
          </w:pgBorders>
          <w:cols w:space="720" w:num="1"/>
          <w:docGrid w:linePitch="326" w:charSpace="0"/>
        </w:sectPr>
      </w:pPr>
    </w:p>
    <w:p w14:paraId="3BCA1395">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（6）污染源参数</w:t>
      </w:r>
    </w:p>
    <w:p w14:paraId="0338178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项目污染源参数见下表。</w:t>
      </w:r>
    </w:p>
    <w:p w14:paraId="1ABC5FBA">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6.2</w:t>
      </w:r>
      <w:r>
        <w:rPr>
          <w:rFonts w:hint="default" w:ascii="Times New Roman" w:hAnsi="Times New Roman" w:eastAsia="宋体" w:cs="Times New Roman"/>
          <w:color w:val="000000" w:themeColor="text1"/>
          <w:u w:val="none" w:color="auto"/>
          <w14:textFill>
            <w14:solidFill>
              <w14:schemeClr w14:val="tx1"/>
            </w14:solidFill>
          </w14:textFill>
        </w:rPr>
        <w:t>-3  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生产车间有组织废气</w:t>
      </w:r>
      <w:r>
        <w:rPr>
          <w:rFonts w:hint="default" w:ascii="Times New Roman" w:hAnsi="Times New Roman" w:eastAsia="宋体" w:cs="Times New Roman"/>
          <w:color w:val="000000" w:themeColor="text1"/>
          <w:u w:val="none" w:color="auto"/>
          <w14:textFill>
            <w14:solidFill>
              <w14:schemeClr w14:val="tx1"/>
            </w14:solidFill>
          </w14:textFill>
        </w:rPr>
        <w:t>点源污染源正常排放参数表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535"/>
        <w:gridCol w:w="1617"/>
        <w:gridCol w:w="1392"/>
        <w:gridCol w:w="1210"/>
        <w:gridCol w:w="1176"/>
        <w:gridCol w:w="1176"/>
        <w:gridCol w:w="1176"/>
        <w:gridCol w:w="1222"/>
        <w:gridCol w:w="1109"/>
        <w:gridCol w:w="1109"/>
        <w:gridCol w:w="1443"/>
      </w:tblGrid>
      <w:tr w14:paraId="2E6C9D2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542" w:type="pct"/>
            <w:vMerge w:val="restart"/>
            <w:vAlign w:val="center"/>
          </w:tcPr>
          <w:p w14:paraId="1AF01D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污染源名称</w:t>
            </w:r>
          </w:p>
        </w:tc>
        <w:tc>
          <w:tcPr>
            <w:tcW w:w="1062" w:type="pct"/>
            <w:gridSpan w:val="2"/>
            <w:vAlign w:val="center"/>
          </w:tcPr>
          <w:p w14:paraId="5CB79B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排气筒底部中心坐标</w:t>
            </w:r>
          </w:p>
        </w:tc>
        <w:tc>
          <w:tcPr>
            <w:tcW w:w="427" w:type="pct"/>
            <w:vMerge w:val="restart"/>
            <w:vAlign w:val="center"/>
          </w:tcPr>
          <w:p w14:paraId="40DBA2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排气筒底部海拔高度（m）</w:t>
            </w:r>
          </w:p>
        </w:tc>
        <w:tc>
          <w:tcPr>
            <w:tcW w:w="1676" w:type="pct"/>
            <w:gridSpan w:val="4"/>
            <w:vAlign w:val="center"/>
          </w:tcPr>
          <w:p w14:paraId="531A82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排气筒参数</w:t>
            </w:r>
          </w:p>
        </w:tc>
        <w:tc>
          <w:tcPr>
            <w:tcW w:w="1291" w:type="pct"/>
            <w:gridSpan w:val="3"/>
            <w:vAlign w:val="center"/>
          </w:tcPr>
          <w:p w14:paraId="715B92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污染物排放速率（kg/h）</w:t>
            </w:r>
          </w:p>
        </w:tc>
      </w:tr>
      <w:tr w14:paraId="36919A5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542" w:type="pct"/>
            <w:vMerge w:val="continue"/>
            <w:vAlign w:val="center"/>
          </w:tcPr>
          <w:p w14:paraId="7135F3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71" w:type="pct"/>
            <w:vAlign w:val="center"/>
          </w:tcPr>
          <w:p w14:paraId="392C21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经度</w:t>
            </w:r>
          </w:p>
        </w:tc>
        <w:tc>
          <w:tcPr>
            <w:tcW w:w="491" w:type="pct"/>
            <w:vAlign w:val="center"/>
          </w:tcPr>
          <w:p w14:paraId="79C8B7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纬度</w:t>
            </w:r>
          </w:p>
        </w:tc>
        <w:tc>
          <w:tcPr>
            <w:tcW w:w="427" w:type="pct"/>
            <w:vMerge w:val="continue"/>
            <w:vAlign w:val="center"/>
          </w:tcPr>
          <w:p w14:paraId="0282A5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15" w:type="pct"/>
            <w:vAlign w:val="center"/>
          </w:tcPr>
          <w:p w14:paraId="1C5442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高度（m）</w:t>
            </w:r>
          </w:p>
        </w:tc>
        <w:tc>
          <w:tcPr>
            <w:tcW w:w="415" w:type="pct"/>
            <w:vAlign w:val="center"/>
          </w:tcPr>
          <w:p w14:paraId="1D2140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内径（m）</w:t>
            </w:r>
          </w:p>
        </w:tc>
        <w:tc>
          <w:tcPr>
            <w:tcW w:w="415" w:type="pct"/>
            <w:vAlign w:val="center"/>
          </w:tcPr>
          <w:p w14:paraId="0A28A2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温度（℃）</w:t>
            </w:r>
          </w:p>
        </w:tc>
        <w:tc>
          <w:tcPr>
            <w:tcW w:w="430" w:type="pct"/>
            <w:vAlign w:val="center"/>
          </w:tcPr>
          <w:p w14:paraId="7BCD91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流速（m/s）</w:t>
            </w:r>
          </w:p>
        </w:tc>
        <w:tc>
          <w:tcPr>
            <w:tcW w:w="391" w:type="pct"/>
            <w:vAlign w:val="center"/>
          </w:tcPr>
          <w:p w14:paraId="44EE13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391" w:type="pct"/>
            <w:vAlign w:val="center"/>
          </w:tcPr>
          <w:p w14:paraId="188AF1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509" w:type="pct"/>
            <w:vAlign w:val="center"/>
          </w:tcPr>
          <w:p w14:paraId="76E6C3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r>
      <w:tr w14:paraId="148F465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10" w:hRule="atLeast"/>
        </w:trPr>
        <w:tc>
          <w:tcPr>
            <w:tcW w:w="542" w:type="pct"/>
            <w:vAlign w:val="center"/>
          </w:tcPr>
          <w:p w14:paraId="67439B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DA001</w:t>
            </w:r>
          </w:p>
        </w:tc>
        <w:tc>
          <w:tcPr>
            <w:tcW w:w="571" w:type="pct"/>
            <w:vAlign w:val="center"/>
          </w:tcPr>
          <w:p w14:paraId="72ECE7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113°16′23.96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491" w:type="pct"/>
            <w:vAlign w:val="center"/>
          </w:tcPr>
          <w:p w14:paraId="4ED3A2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28°47′8.849″</w:t>
            </w:r>
          </w:p>
        </w:tc>
        <w:tc>
          <w:tcPr>
            <w:tcW w:w="427" w:type="pct"/>
            <w:vAlign w:val="center"/>
          </w:tcPr>
          <w:p w14:paraId="7D10E8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w:t>
            </w:r>
          </w:p>
        </w:tc>
        <w:tc>
          <w:tcPr>
            <w:tcW w:w="415" w:type="pct"/>
            <w:vAlign w:val="center"/>
          </w:tcPr>
          <w:p w14:paraId="77503D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415" w:type="pct"/>
            <w:vAlign w:val="center"/>
          </w:tcPr>
          <w:p w14:paraId="12B264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p>
        </w:tc>
        <w:tc>
          <w:tcPr>
            <w:tcW w:w="415" w:type="pct"/>
            <w:vAlign w:val="center"/>
          </w:tcPr>
          <w:p w14:paraId="005F2E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30</w:t>
            </w:r>
          </w:p>
        </w:tc>
        <w:tc>
          <w:tcPr>
            <w:tcW w:w="430" w:type="pct"/>
            <w:vAlign w:val="center"/>
          </w:tcPr>
          <w:p w14:paraId="1E75B4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11.0</w:t>
            </w:r>
          </w:p>
        </w:tc>
        <w:tc>
          <w:tcPr>
            <w:tcW w:w="391" w:type="pct"/>
            <w:vAlign w:val="center"/>
          </w:tcPr>
          <w:p w14:paraId="457D30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w:t>
            </w:r>
            <w:r>
              <w:rPr>
                <w:rFonts w:hint="eastAsia" w:eastAsia="宋体" w:cs="Times New Roman"/>
                <w:color w:val="000000" w:themeColor="text1"/>
                <w:u w:val="none" w:color="auto"/>
                <w:lang w:val="en-US" w:eastAsia="zh-CN"/>
                <w14:textFill>
                  <w14:solidFill>
                    <w14:schemeClr w14:val="tx1"/>
                  </w14:solidFill>
                </w14:textFill>
              </w:rPr>
              <w:t>090585</w:t>
            </w:r>
          </w:p>
        </w:tc>
        <w:tc>
          <w:tcPr>
            <w:tcW w:w="391" w:type="pct"/>
            <w:vAlign w:val="center"/>
          </w:tcPr>
          <w:p w14:paraId="18CE9F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w:t>
            </w:r>
            <w:r>
              <w:rPr>
                <w:rFonts w:hint="eastAsia" w:eastAsia="宋体" w:cs="Times New Roman"/>
                <w:color w:val="000000" w:themeColor="text1"/>
                <w:u w:val="none" w:color="auto"/>
                <w:lang w:val="en-US" w:eastAsia="zh-CN"/>
                <w14:textFill>
                  <w14:solidFill>
                    <w14:schemeClr w14:val="tx1"/>
                  </w14:solidFill>
                </w14:textFill>
              </w:rPr>
              <w:t>4897</w:t>
            </w:r>
          </w:p>
        </w:tc>
        <w:tc>
          <w:tcPr>
            <w:tcW w:w="509" w:type="pct"/>
            <w:vAlign w:val="center"/>
          </w:tcPr>
          <w:p w14:paraId="511EE3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w:t>
            </w:r>
            <w:r>
              <w:rPr>
                <w:rFonts w:hint="eastAsia" w:eastAsia="宋体" w:cs="Times New Roman"/>
                <w:color w:val="000000" w:themeColor="text1"/>
                <w:u w:val="none" w:color="auto"/>
                <w:lang w:val="en-US" w:eastAsia="zh-CN"/>
                <w14:textFill>
                  <w14:solidFill>
                    <w14:schemeClr w14:val="tx1"/>
                  </w14:solidFill>
                </w14:textFill>
              </w:rPr>
              <w:t>660211</w:t>
            </w:r>
          </w:p>
        </w:tc>
      </w:tr>
    </w:tbl>
    <w:p w14:paraId="672D93FC">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本项目面源排放参数表</w:t>
      </w:r>
    </w:p>
    <w:tbl>
      <w:tblPr>
        <w:tblStyle w:val="37"/>
        <w:tblW w:w="4997"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536"/>
        <w:gridCol w:w="1622"/>
        <w:gridCol w:w="1366"/>
        <w:gridCol w:w="1194"/>
        <w:gridCol w:w="1587"/>
        <w:gridCol w:w="1590"/>
        <w:gridCol w:w="1598"/>
        <w:gridCol w:w="1109"/>
        <w:gridCol w:w="1109"/>
        <w:gridCol w:w="1453"/>
      </w:tblGrid>
      <w:tr w14:paraId="73102D6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42" w:type="pct"/>
            <w:vMerge w:val="restart"/>
            <w:vAlign w:val="center"/>
          </w:tcPr>
          <w:p w14:paraId="2188EF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污染源名称</w:t>
            </w:r>
          </w:p>
        </w:tc>
        <w:tc>
          <w:tcPr>
            <w:tcW w:w="1054" w:type="pct"/>
            <w:gridSpan w:val="2"/>
            <w:vAlign w:val="center"/>
          </w:tcPr>
          <w:p w14:paraId="12AB3E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坐标（°）</w:t>
            </w:r>
          </w:p>
        </w:tc>
        <w:tc>
          <w:tcPr>
            <w:tcW w:w="421" w:type="pct"/>
            <w:vMerge w:val="restart"/>
            <w:vAlign w:val="center"/>
          </w:tcPr>
          <w:p w14:paraId="14A00F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海拔高度（m）</w:t>
            </w:r>
          </w:p>
        </w:tc>
        <w:tc>
          <w:tcPr>
            <w:tcW w:w="1685" w:type="pct"/>
            <w:gridSpan w:val="3"/>
            <w:vAlign w:val="center"/>
          </w:tcPr>
          <w:p w14:paraId="1690B2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矩形面源</w:t>
            </w:r>
          </w:p>
        </w:tc>
        <w:tc>
          <w:tcPr>
            <w:tcW w:w="1295" w:type="pct"/>
            <w:gridSpan w:val="3"/>
            <w:vAlign w:val="center"/>
          </w:tcPr>
          <w:p w14:paraId="00A4E3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污染物排放速率（kg/h）</w:t>
            </w:r>
          </w:p>
        </w:tc>
      </w:tr>
      <w:tr w14:paraId="4C896B3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42" w:type="pct"/>
            <w:vMerge w:val="continue"/>
            <w:vAlign w:val="center"/>
          </w:tcPr>
          <w:p w14:paraId="0D25D0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72" w:type="pct"/>
            <w:vAlign w:val="center"/>
          </w:tcPr>
          <w:p w14:paraId="07E881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经度</w:t>
            </w:r>
          </w:p>
        </w:tc>
        <w:tc>
          <w:tcPr>
            <w:tcW w:w="482" w:type="pct"/>
            <w:vAlign w:val="center"/>
          </w:tcPr>
          <w:p w14:paraId="5D335CE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纬度</w:t>
            </w:r>
          </w:p>
        </w:tc>
        <w:tc>
          <w:tcPr>
            <w:tcW w:w="421" w:type="pct"/>
            <w:vMerge w:val="continue"/>
            <w:vAlign w:val="center"/>
          </w:tcPr>
          <w:p w14:paraId="1FFC0E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60" w:type="pct"/>
            <w:vAlign w:val="center"/>
          </w:tcPr>
          <w:p w14:paraId="10D6A7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长度（m）</w:t>
            </w:r>
          </w:p>
        </w:tc>
        <w:tc>
          <w:tcPr>
            <w:tcW w:w="561" w:type="pct"/>
            <w:vAlign w:val="center"/>
          </w:tcPr>
          <w:p w14:paraId="64741E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宽度（m）</w:t>
            </w:r>
          </w:p>
        </w:tc>
        <w:tc>
          <w:tcPr>
            <w:tcW w:w="564" w:type="pct"/>
            <w:vAlign w:val="center"/>
          </w:tcPr>
          <w:p w14:paraId="3E0F30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有效高度（m）</w:t>
            </w:r>
          </w:p>
        </w:tc>
        <w:tc>
          <w:tcPr>
            <w:tcW w:w="391" w:type="pct"/>
            <w:vAlign w:val="center"/>
          </w:tcPr>
          <w:p w14:paraId="4237D8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p>
        </w:tc>
        <w:tc>
          <w:tcPr>
            <w:tcW w:w="391" w:type="pct"/>
            <w:vAlign w:val="center"/>
          </w:tcPr>
          <w:p w14:paraId="6A50EA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w:t>
            </w:r>
          </w:p>
        </w:tc>
        <w:tc>
          <w:tcPr>
            <w:tcW w:w="513" w:type="pct"/>
            <w:vAlign w:val="center"/>
          </w:tcPr>
          <w:p w14:paraId="151AF9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r>
      <w:tr w14:paraId="41CB331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42" w:type="pct"/>
            <w:vAlign w:val="center"/>
          </w:tcPr>
          <w:p w14:paraId="16728A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w:t>
            </w:r>
          </w:p>
        </w:tc>
        <w:tc>
          <w:tcPr>
            <w:tcW w:w="572" w:type="pct"/>
            <w:vAlign w:val="center"/>
          </w:tcPr>
          <w:p w14:paraId="7F5915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113°16′23.71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482" w:type="pct"/>
            <w:vAlign w:val="center"/>
          </w:tcPr>
          <w:p w14:paraId="66F707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28°47′9.122″</w:t>
            </w:r>
          </w:p>
        </w:tc>
        <w:tc>
          <w:tcPr>
            <w:tcW w:w="421" w:type="pct"/>
            <w:vAlign w:val="center"/>
          </w:tcPr>
          <w:p w14:paraId="408077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w:t>
            </w:r>
          </w:p>
        </w:tc>
        <w:tc>
          <w:tcPr>
            <w:tcW w:w="560" w:type="pct"/>
            <w:vAlign w:val="center"/>
          </w:tcPr>
          <w:p w14:paraId="71801A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w:t>
            </w:r>
          </w:p>
        </w:tc>
        <w:tc>
          <w:tcPr>
            <w:tcW w:w="561" w:type="pct"/>
            <w:vAlign w:val="center"/>
          </w:tcPr>
          <w:p w14:paraId="304C97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22</w:t>
            </w:r>
          </w:p>
        </w:tc>
        <w:tc>
          <w:tcPr>
            <w:tcW w:w="564" w:type="pct"/>
            <w:vAlign w:val="center"/>
          </w:tcPr>
          <w:p w14:paraId="1AF66F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10.00</w:t>
            </w:r>
          </w:p>
        </w:tc>
        <w:tc>
          <w:tcPr>
            <w:tcW w:w="391" w:type="pct"/>
            <w:vAlign w:val="center"/>
          </w:tcPr>
          <w:p w14:paraId="76D5C1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0.0005</w:t>
            </w:r>
            <w:r>
              <w:rPr>
                <w:rFonts w:hint="eastAsia" w:eastAsia="宋体" w:cs="Times New Roman"/>
                <w:color w:val="000000" w:themeColor="text1"/>
                <w:u w:val="none" w:color="auto"/>
                <w:lang w:val="en-US" w:eastAsia="zh-CN"/>
                <w14:textFill>
                  <w14:solidFill>
                    <w14:schemeClr w14:val="tx1"/>
                  </w14:solidFill>
                </w14:textFill>
              </w:rPr>
              <w:t>114</w:t>
            </w:r>
          </w:p>
        </w:tc>
        <w:tc>
          <w:tcPr>
            <w:tcW w:w="391" w:type="pct"/>
            <w:vAlign w:val="center"/>
          </w:tcPr>
          <w:p w14:paraId="28F4A8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0.0000</w:t>
            </w:r>
            <w:r>
              <w:rPr>
                <w:rFonts w:hint="eastAsia" w:eastAsia="宋体" w:cs="Times New Roman"/>
                <w:color w:val="000000" w:themeColor="text1"/>
                <w:u w:val="none" w:color="auto"/>
                <w:lang w:val="en-US" w:eastAsia="zh-CN"/>
                <w14:textFill>
                  <w14:solidFill>
                    <w14:schemeClr w14:val="tx1"/>
                  </w14:solidFill>
                </w14:textFill>
              </w:rPr>
              <w:t>296</w:t>
            </w:r>
          </w:p>
        </w:tc>
        <w:tc>
          <w:tcPr>
            <w:tcW w:w="513" w:type="pct"/>
            <w:vAlign w:val="center"/>
          </w:tcPr>
          <w:p w14:paraId="1E7B3A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w:t>
            </w:r>
            <w:r>
              <w:rPr>
                <w:rFonts w:hint="eastAsia" w:eastAsia="宋体" w:cs="Times New Roman"/>
                <w:color w:val="000000" w:themeColor="text1"/>
                <w:u w:val="none" w:color="auto"/>
                <w:lang w:val="en-US" w:eastAsia="zh-CN"/>
                <w14:textFill>
                  <w14:solidFill>
                    <w14:schemeClr w14:val="tx1"/>
                  </w14:solidFill>
                </w14:textFill>
              </w:rPr>
              <w:t>36678</w:t>
            </w:r>
          </w:p>
        </w:tc>
      </w:tr>
      <w:tr w14:paraId="47F45F4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542" w:type="pct"/>
            <w:vAlign w:val="center"/>
          </w:tcPr>
          <w:p w14:paraId="3F5C5A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w:t>
            </w:r>
          </w:p>
        </w:tc>
        <w:tc>
          <w:tcPr>
            <w:tcW w:w="572" w:type="pct"/>
            <w:vAlign w:val="center"/>
          </w:tcPr>
          <w:p w14:paraId="1C8728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113°16′24.28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482" w:type="pct"/>
            <w:vAlign w:val="center"/>
          </w:tcPr>
          <w:p w14:paraId="3E7C23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28°47′8.962″</w:t>
            </w:r>
          </w:p>
        </w:tc>
        <w:tc>
          <w:tcPr>
            <w:tcW w:w="421" w:type="pct"/>
            <w:vAlign w:val="center"/>
          </w:tcPr>
          <w:p w14:paraId="1BA451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w:t>
            </w:r>
          </w:p>
        </w:tc>
        <w:tc>
          <w:tcPr>
            <w:tcW w:w="560" w:type="pct"/>
            <w:vAlign w:val="center"/>
          </w:tcPr>
          <w:p w14:paraId="4F494F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p>
        </w:tc>
        <w:tc>
          <w:tcPr>
            <w:tcW w:w="561" w:type="pct"/>
            <w:vAlign w:val="center"/>
          </w:tcPr>
          <w:p w14:paraId="797B25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564" w:type="pct"/>
            <w:vAlign w:val="center"/>
          </w:tcPr>
          <w:p w14:paraId="6F92ED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391" w:type="pct"/>
            <w:vAlign w:val="center"/>
          </w:tcPr>
          <w:p w14:paraId="150697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0.0000482</w:t>
            </w:r>
          </w:p>
        </w:tc>
        <w:tc>
          <w:tcPr>
            <w:tcW w:w="391" w:type="pct"/>
            <w:vAlign w:val="center"/>
          </w:tcPr>
          <w:p w14:paraId="2CCED4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0.0000019</w:t>
            </w:r>
          </w:p>
        </w:tc>
        <w:tc>
          <w:tcPr>
            <w:tcW w:w="513" w:type="pct"/>
            <w:vAlign w:val="center"/>
          </w:tcPr>
          <w:p w14:paraId="5A1610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0FE5EAE4">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sectPr>
          <w:headerReference r:id="rId9" w:type="first"/>
          <w:footerReference r:id="rId11" w:type="first"/>
          <w:headerReference r:id="rId7" w:type="default"/>
          <w:headerReference r:id="rId8" w:type="even"/>
          <w:footerReference r:id="rId10" w:type="even"/>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linePitch="326" w:charSpace="0"/>
        </w:sectPr>
      </w:pPr>
    </w:p>
    <w:p w14:paraId="6BEB9B25">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14:textFill>
            <w14:solidFill>
              <w14:schemeClr w14:val="tx1"/>
            </w14:solidFill>
          </w14:textFill>
        </w:rPr>
        <w:t>正常排放预测结果</w:t>
      </w:r>
    </w:p>
    <w:p w14:paraId="19A6B88F">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预测结果见下表。</w:t>
      </w:r>
    </w:p>
    <w:p w14:paraId="0185BBA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正常工况下有组织污染物估算模式计算结果表</w:t>
      </w:r>
    </w:p>
    <w:tbl>
      <w:tblPr>
        <w:tblStyle w:val="37"/>
        <w:tblW w:w="4999"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118"/>
        <w:gridCol w:w="1265"/>
        <w:gridCol w:w="1199"/>
        <w:gridCol w:w="1266"/>
        <w:gridCol w:w="1199"/>
        <w:gridCol w:w="1266"/>
        <w:gridCol w:w="1213"/>
      </w:tblGrid>
      <w:tr w14:paraId="757FC69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blHeader/>
          <w:jc w:val="center"/>
        </w:trPr>
        <w:tc>
          <w:tcPr>
            <w:tcW w:w="656" w:type="pct"/>
            <w:vMerge w:val="restart"/>
            <w:vAlign w:val="center"/>
          </w:tcPr>
          <w:p w14:paraId="0F607C07">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下风向距离（m）</w:t>
            </w:r>
          </w:p>
        </w:tc>
        <w:tc>
          <w:tcPr>
            <w:tcW w:w="4343" w:type="pct"/>
            <w:gridSpan w:val="6"/>
            <w:vAlign w:val="center"/>
          </w:tcPr>
          <w:p w14:paraId="2CB980BD">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生产车间有组织废气排放口DA001</w:t>
            </w:r>
          </w:p>
        </w:tc>
      </w:tr>
      <w:tr w14:paraId="132B762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Merge w:val="continue"/>
            <w:vAlign w:val="center"/>
          </w:tcPr>
          <w:p w14:paraId="32096139">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2" w:type="pct"/>
            <w:vAlign w:val="center"/>
          </w:tcPr>
          <w:p w14:paraId="7A098A0F">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NH</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浓度</w:t>
            </w:r>
            <w:r>
              <w:rPr>
                <w:rFonts w:hint="default" w:ascii="Times New Roman" w:hAnsi="Times New Roman" w:eastAsia="宋体" w:cs="Times New Roman"/>
                <w:color w:val="000000" w:themeColor="text1"/>
                <w:sz w:val="21"/>
                <w:szCs w:val="21"/>
                <w:u w:val="none" w:color="auto"/>
                <w14:textFill>
                  <w14:solidFill>
                    <w14:schemeClr w14:val="tx1"/>
                  </w14:solidFill>
                </w14:textFill>
              </w:rPr>
              <w:t>（μg/m³）</w:t>
            </w:r>
          </w:p>
        </w:tc>
        <w:tc>
          <w:tcPr>
            <w:tcW w:w="703" w:type="pct"/>
            <w:vAlign w:val="center"/>
          </w:tcPr>
          <w:p w14:paraId="32445C41">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占标率（%）</w:t>
            </w:r>
          </w:p>
        </w:tc>
        <w:tc>
          <w:tcPr>
            <w:tcW w:w="742" w:type="pct"/>
            <w:vAlign w:val="center"/>
          </w:tcPr>
          <w:p w14:paraId="7F0A953D">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S浓度</w:t>
            </w:r>
            <w:r>
              <w:rPr>
                <w:rFonts w:hint="default" w:ascii="Times New Roman" w:hAnsi="Times New Roman" w:eastAsia="宋体" w:cs="Times New Roman"/>
                <w:color w:val="000000" w:themeColor="text1"/>
                <w:sz w:val="21"/>
                <w:szCs w:val="21"/>
                <w:u w:val="none" w:color="auto"/>
                <w14:textFill>
                  <w14:solidFill>
                    <w14:schemeClr w14:val="tx1"/>
                  </w14:solidFill>
                </w14:textFill>
              </w:rPr>
              <w:t>（μg/m³）</w:t>
            </w:r>
          </w:p>
        </w:tc>
        <w:tc>
          <w:tcPr>
            <w:tcW w:w="703" w:type="pct"/>
            <w:vAlign w:val="center"/>
          </w:tcPr>
          <w:p w14:paraId="688DF62D">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占标率（%）</w:t>
            </w:r>
          </w:p>
        </w:tc>
        <w:tc>
          <w:tcPr>
            <w:tcW w:w="742" w:type="pct"/>
            <w:vAlign w:val="center"/>
          </w:tcPr>
          <w:p w14:paraId="70A29FC7">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非甲烷总烃浓度</w:t>
            </w:r>
            <w:r>
              <w:rPr>
                <w:rFonts w:hint="default" w:ascii="Times New Roman" w:hAnsi="Times New Roman" w:eastAsia="宋体" w:cs="Times New Roman"/>
                <w:color w:val="000000" w:themeColor="text1"/>
                <w:sz w:val="21"/>
                <w:szCs w:val="21"/>
                <w:u w:val="none" w:color="auto"/>
                <w14:textFill>
                  <w14:solidFill>
                    <w14:schemeClr w14:val="tx1"/>
                  </w14:solidFill>
                </w14:textFill>
              </w:rPr>
              <w:t>（μg/m³）</w:t>
            </w:r>
          </w:p>
        </w:tc>
        <w:tc>
          <w:tcPr>
            <w:tcW w:w="710" w:type="pct"/>
            <w:vAlign w:val="center"/>
          </w:tcPr>
          <w:p w14:paraId="6F054567">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占标率（%）</w:t>
            </w:r>
          </w:p>
        </w:tc>
      </w:tr>
      <w:tr w14:paraId="51487D0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2E5805C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742" w:type="pct"/>
            <w:vAlign w:val="center"/>
          </w:tcPr>
          <w:p w14:paraId="03F8875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0.0214</w:t>
            </w:r>
          </w:p>
        </w:tc>
        <w:tc>
          <w:tcPr>
            <w:tcW w:w="703" w:type="pct"/>
            <w:vAlign w:val="center"/>
          </w:tcPr>
          <w:p w14:paraId="2A346EA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742" w:type="pct"/>
            <w:vAlign w:val="center"/>
          </w:tcPr>
          <w:p w14:paraId="30BE91F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0.0012</w:t>
            </w:r>
          </w:p>
        </w:tc>
        <w:tc>
          <w:tcPr>
            <w:tcW w:w="703" w:type="pct"/>
            <w:vAlign w:val="center"/>
          </w:tcPr>
          <w:p w14:paraId="7BE9C2E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742" w:type="pct"/>
            <w:vAlign w:val="center"/>
          </w:tcPr>
          <w:p w14:paraId="0328B8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0.1558</w:t>
            </w:r>
          </w:p>
        </w:tc>
        <w:tc>
          <w:tcPr>
            <w:tcW w:w="710" w:type="pct"/>
            <w:vAlign w:val="center"/>
          </w:tcPr>
          <w:p w14:paraId="3F3FBBD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r>
      <w:tr w14:paraId="5DA1AFC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073F442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42" w:type="pct"/>
            <w:vAlign w:val="center"/>
          </w:tcPr>
          <w:p w14:paraId="3AC5901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1.7119</w:t>
            </w:r>
          </w:p>
        </w:tc>
        <w:tc>
          <w:tcPr>
            <w:tcW w:w="703" w:type="pct"/>
            <w:vAlign w:val="center"/>
          </w:tcPr>
          <w:p w14:paraId="2963E60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0.86</w:t>
            </w:r>
          </w:p>
        </w:tc>
        <w:tc>
          <w:tcPr>
            <w:tcW w:w="742" w:type="pct"/>
            <w:vAlign w:val="center"/>
          </w:tcPr>
          <w:p w14:paraId="7095EC8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0.0925</w:t>
            </w:r>
          </w:p>
        </w:tc>
        <w:tc>
          <w:tcPr>
            <w:tcW w:w="703" w:type="pct"/>
            <w:vAlign w:val="center"/>
          </w:tcPr>
          <w:p w14:paraId="6F92F25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0.93</w:t>
            </w:r>
          </w:p>
        </w:tc>
        <w:tc>
          <w:tcPr>
            <w:tcW w:w="742" w:type="pct"/>
            <w:vAlign w:val="center"/>
          </w:tcPr>
          <w:p w14:paraId="7C09B92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12.4769</w:t>
            </w:r>
          </w:p>
        </w:tc>
        <w:tc>
          <w:tcPr>
            <w:tcW w:w="710" w:type="pct"/>
            <w:vAlign w:val="center"/>
          </w:tcPr>
          <w:p w14:paraId="761CE9F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0.62</w:t>
            </w:r>
          </w:p>
        </w:tc>
      </w:tr>
      <w:tr w14:paraId="5FDD1A9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0C52C66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94</w:t>
            </w:r>
          </w:p>
        </w:tc>
        <w:tc>
          <w:tcPr>
            <w:tcW w:w="742" w:type="pct"/>
            <w:vAlign w:val="center"/>
          </w:tcPr>
          <w:p w14:paraId="162FEFE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8.7361</w:t>
            </w:r>
          </w:p>
        </w:tc>
        <w:tc>
          <w:tcPr>
            <w:tcW w:w="703" w:type="pct"/>
            <w:vAlign w:val="center"/>
          </w:tcPr>
          <w:p w14:paraId="56F6802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4.37</w:t>
            </w:r>
          </w:p>
        </w:tc>
        <w:tc>
          <w:tcPr>
            <w:tcW w:w="742" w:type="pct"/>
            <w:vAlign w:val="center"/>
          </w:tcPr>
          <w:p w14:paraId="2BAA8FD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0.4723</w:t>
            </w:r>
          </w:p>
        </w:tc>
        <w:tc>
          <w:tcPr>
            <w:tcW w:w="703" w:type="pct"/>
            <w:vAlign w:val="center"/>
          </w:tcPr>
          <w:p w14:paraId="0B6475B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4.72</w:t>
            </w:r>
          </w:p>
        </w:tc>
        <w:tc>
          <w:tcPr>
            <w:tcW w:w="742" w:type="pct"/>
            <w:vAlign w:val="center"/>
          </w:tcPr>
          <w:p w14:paraId="1DFC23D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63.6714</w:t>
            </w:r>
          </w:p>
        </w:tc>
        <w:tc>
          <w:tcPr>
            <w:tcW w:w="710" w:type="pct"/>
            <w:vAlign w:val="center"/>
          </w:tcPr>
          <w:p w14:paraId="4697610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3.18</w:t>
            </w:r>
          </w:p>
        </w:tc>
      </w:tr>
      <w:tr w14:paraId="69F5A6E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3484B9A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742" w:type="pct"/>
            <w:vAlign w:val="center"/>
          </w:tcPr>
          <w:p w14:paraId="4EFEE1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8.0195</w:t>
            </w:r>
          </w:p>
        </w:tc>
        <w:tc>
          <w:tcPr>
            <w:tcW w:w="703" w:type="pct"/>
            <w:vAlign w:val="center"/>
          </w:tcPr>
          <w:p w14:paraId="583EA65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4.01</w:t>
            </w:r>
          </w:p>
        </w:tc>
        <w:tc>
          <w:tcPr>
            <w:tcW w:w="742" w:type="pct"/>
            <w:vAlign w:val="center"/>
          </w:tcPr>
          <w:p w14:paraId="6542B19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0.4335</w:t>
            </w:r>
          </w:p>
        </w:tc>
        <w:tc>
          <w:tcPr>
            <w:tcW w:w="703" w:type="pct"/>
            <w:vAlign w:val="center"/>
          </w:tcPr>
          <w:p w14:paraId="12AFC32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4.34</w:t>
            </w:r>
          </w:p>
        </w:tc>
        <w:tc>
          <w:tcPr>
            <w:tcW w:w="742" w:type="pct"/>
            <w:vAlign w:val="center"/>
          </w:tcPr>
          <w:p w14:paraId="0BA6E00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58.4486</w:t>
            </w:r>
          </w:p>
        </w:tc>
        <w:tc>
          <w:tcPr>
            <w:tcW w:w="710" w:type="pct"/>
            <w:vAlign w:val="center"/>
          </w:tcPr>
          <w:p w14:paraId="1194CAA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2.92</w:t>
            </w:r>
          </w:p>
        </w:tc>
      </w:tr>
      <w:tr w14:paraId="3DB2A3A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60F6DC8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125</w:t>
            </w:r>
          </w:p>
        </w:tc>
        <w:tc>
          <w:tcPr>
            <w:tcW w:w="1265" w:type="dxa"/>
            <w:vAlign w:val="center"/>
          </w:tcPr>
          <w:p w14:paraId="6265837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6.0388</w:t>
            </w:r>
          </w:p>
        </w:tc>
        <w:tc>
          <w:tcPr>
            <w:tcW w:w="1199" w:type="dxa"/>
            <w:vAlign w:val="center"/>
          </w:tcPr>
          <w:p w14:paraId="768EB92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3.02</w:t>
            </w:r>
          </w:p>
        </w:tc>
        <w:tc>
          <w:tcPr>
            <w:tcW w:w="1266" w:type="dxa"/>
            <w:vAlign w:val="center"/>
          </w:tcPr>
          <w:p w14:paraId="0217AE9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0.3265</w:t>
            </w:r>
          </w:p>
        </w:tc>
        <w:tc>
          <w:tcPr>
            <w:tcW w:w="1199" w:type="dxa"/>
            <w:vAlign w:val="center"/>
          </w:tcPr>
          <w:p w14:paraId="0D6006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3.26</w:t>
            </w:r>
          </w:p>
        </w:tc>
        <w:tc>
          <w:tcPr>
            <w:tcW w:w="1266" w:type="dxa"/>
            <w:vAlign w:val="center"/>
          </w:tcPr>
          <w:p w14:paraId="40FA96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44.0126</w:t>
            </w:r>
          </w:p>
        </w:tc>
        <w:tc>
          <w:tcPr>
            <w:tcW w:w="1213" w:type="dxa"/>
            <w:vAlign w:val="center"/>
          </w:tcPr>
          <w:p w14:paraId="20AE64D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2.20</w:t>
            </w:r>
          </w:p>
        </w:tc>
      </w:tr>
      <w:tr w14:paraId="674FD4E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0D51622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742" w:type="pct"/>
            <w:vAlign w:val="center"/>
          </w:tcPr>
          <w:p w14:paraId="242E9D6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3.1614</w:t>
            </w:r>
          </w:p>
        </w:tc>
        <w:tc>
          <w:tcPr>
            <w:tcW w:w="703" w:type="pct"/>
            <w:vAlign w:val="center"/>
          </w:tcPr>
          <w:p w14:paraId="64A0EEA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1.58</w:t>
            </w:r>
          </w:p>
        </w:tc>
        <w:tc>
          <w:tcPr>
            <w:tcW w:w="742" w:type="pct"/>
            <w:vAlign w:val="center"/>
          </w:tcPr>
          <w:p w14:paraId="1D17540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0.1709</w:t>
            </w:r>
          </w:p>
        </w:tc>
        <w:tc>
          <w:tcPr>
            <w:tcW w:w="703" w:type="pct"/>
            <w:vAlign w:val="center"/>
          </w:tcPr>
          <w:p w14:paraId="5606A54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1.71</w:t>
            </w:r>
          </w:p>
        </w:tc>
        <w:tc>
          <w:tcPr>
            <w:tcW w:w="742" w:type="pct"/>
            <w:vAlign w:val="center"/>
          </w:tcPr>
          <w:p w14:paraId="38F139E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23.0412</w:t>
            </w:r>
          </w:p>
        </w:tc>
        <w:tc>
          <w:tcPr>
            <w:tcW w:w="710" w:type="pct"/>
            <w:vAlign w:val="center"/>
          </w:tcPr>
          <w:p w14:paraId="6AEF197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1.15</w:t>
            </w:r>
          </w:p>
        </w:tc>
      </w:tr>
      <w:tr w14:paraId="1D76119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15F6118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742" w:type="pct"/>
            <w:vAlign w:val="center"/>
          </w:tcPr>
          <w:p w14:paraId="39F4470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1.8713</w:t>
            </w:r>
          </w:p>
        </w:tc>
        <w:tc>
          <w:tcPr>
            <w:tcW w:w="703" w:type="pct"/>
            <w:vAlign w:val="center"/>
          </w:tcPr>
          <w:p w14:paraId="755E56F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0.94</w:t>
            </w:r>
          </w:p>
        </w:tc>
        <w:tc>
          <w:tcPr>
            <w:tcW w:w="742" w:type="pct"/>
            <w:vAlign w:val="center"/>
          </w:tcPr>
          <w:p w14:paraId="7C16B5E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0.1012</w:t>
            </w:r>
          </w:p>
        </w:tc>
        <w:tc>
          <w:tcPr>
            <w:tcW w:w="703" w:type="pct"/>
            <w:vAlign w:val="center"/>
          </w:tcPr>
          <w:p w14:paraId="476CD26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1.01</w:t>
            </w:r>
          </w:p>
        </w:tc>
        <w:tc>
          <w:tcPr>
            <w:tcW w:w="742" w:type="pct"/>
            <w:vAlign w:val="center"/>
          </w:tcPr>
          <w:p w14:paraId="255B8ED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13.6386</w:t>
            </w:r>
          </w:p>
        </w:tc>
        <w:tc>
          <w:tcPr>
            <w:tcW w:w="710" w:type="pct"/>
            <w:vAlign w:val="center"/>
          </w:tcPr>
          <w:p w14:paraId="27C9DA2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0.68</w:t>
            </w:r>
          </w:p>
        </w:tc>
      </w:tr>
      <w:tr w14:paraId="192AB71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41B3666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400</w:t>
            </w:r>
          </w:p>
        </w:tc>
        <w:tc>
          <w:tcPr>
            <w:tcW w:w="742" w:type="pct"/>
            <w:vAlign w:val="center"/>
          </w:tcPr>
          <w:p w14:paraId="6805E9A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0.5524</w:t>
            </w:r>
          </w:p>
        </w:tc>
        <w:tc>
          <w:tcPr>
            <w:tcW w:w="703" w:type="pct"/>
            <w:vAlign w:val="center"/>
          </w:tcPr>
          <w:p w14:paraId="202AB08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0.28</w:t>
            </w:r>
          </w:p>
        </w:tc>
        <w:tc>
          <w:tcPr>
            <w:tcW w:w="742" w:type="pct"/>
            <w:vAlign w:val="center"/>
          </w:tcPr>
          <w:p w14:paraId="5A022A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0.0299</w:t>
            </w:r>
          </w:p>
        </w:tc>
        <w:tc>
          <w:tcPr>
            <w:tcW w:w="703" w:type="pct"/>
            <w:vAlign w:val="center"/>
          </w:tcPr>
          <w:p w14:paraId="6F1F180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0.30</w:t>
            </w:r>
          </w:p>
        </w:tc>
        <w:tc>
          <w:tcPr>
            <w:tcW w:w="742" w:type="pct"/>
            <w:vAlign w:val="center"/>
          </w:tcPr>
          <w:p w14:paraId="6122225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4.0258</w:t>
            </w:r>
          </w:p>
        </w:tc>
        <w:tc>
          <w:tcPr>
            <w:tcW w:w="710" w:type="pct"/>
            <w:vAlign w:val="center"/>
          </w:tcPr>
          <w:p w14:paraId="7C98CD0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0.20</w:t>
            </w:r>
          </w:p>
        </w:tc>
      </w:tr>
      <w:tr w14:paraId="37E7789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1B467C5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500</w:t>
            </w:r>
          </w:p>
        </w:tc>
        <w:tc>
          <w:tcPr>
            <w:tcW w:w="742" w:type="pct"/>
            <w:vAlign w:val="center"/>
          </w:tcPr>
          <w:p w14:paraId="1B23199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0.9863</w:t>
            </w:r>
          </w:p>
        </w:tc>
        <w:tc>
          <w:tcPr>
            <w:tcW w:w="703" w:type="pct"/>
            <w:vAlign w:val="center"/>
          </w:tcPr>
          <w:p w14:paraId="7ECD8D6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0.49</w:t>
            </w:r>
          </w:p>
        </w:tc>
        <w:tc>
          <w:tcPr>
            <w:tcW w:w="742" w:type="pct"/>
            <w:vAlign w:val="center"/>
          </w:tcPr>
          <w:p w14:paraId="7B74935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0.0533</w:t>
            </w:r>
          </w:p>
        </w:tc>
        <w:tc>
          <w:tcPr>
            <w:tcW w:w="703" w:type="pct"/>
            <w:vAlign w:val="center"/>
          </w:tcPr>
          <w:p w14:paraId="2E8CBF8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0.53</w:t>
            </w:r>
          </w:p>
        </w:tc>
        <w:tc>
          <w:tcPr>
            <w:tcW w:w="742" w:type="pct"/>
            <w:vAlign w:val="center"/>
          </w:tcPr>
          <w:p w14:paraId="40112F4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7.1881</w:t>
            </w:r>
          </w:p>
        </w:tc>
        <w:tc>
          <w:tcPr>
            <w:tcW w:w="710" w:type="pct"/>
            <w:vAlign w:val="center"/>
          </w:tcPr>
          <w:p w14:paraId="11627FD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0.36</w:t>
            </w:r>
          </w:p>
        </w:tc>
      </w:tr>
      <w:tr w14:paraId="0BAAED8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6F4725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1000</w:t>
            </w:r>
          </w:p>
        </w:tc>
        <w:tc>
          <w:tcPr>
            <w:tcW w:w="742" w:type="pct"/>
            <w:vAlign w:val="center"/>
          </w:tcPr>
          <w:p w14:paraId="003FA0D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0.4934</w:t>
            </w:r>
          </w:p>
        </w:tc>
        <w:tc>
          <w:tcPr>
            <w:tcW w:w="703" w:type="pct"/>
            <w:vAlign w:val="center"/>
          </w:tcPr>
          <w:p w14:paraId="1D712EF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0.25</w:t>
            </w:r>
          </w:p>
        </w:tc>
        <w:tc>
          <w:tcPr>
            <w:tcW w:w="742" w:type="pct"/>
            <w:vAlign w:val="center"/>
          </w:tcPr>
          <w:p w14:paraId="74B3BF7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0.0267</w:t>
            </w:r>
          </w:p>
        </w:tc>
        <w:tc>
          <w:tcPr>
            <w:tcW w:w="703" w:type="pct"/>
            <w:vAlign w:val="center"/>
          </w:tcPr>
          <w:p w14:paraId="70EA07A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0.27</w:t>
            </w:r>
          </w:p>
        </w:tc>
        <w:tc>
          <w:tcPr>
            <w:tcW w:w="742" w:type="pct"/>
            <w:vAlign w:val="center"/>
          </w:tcPr>
          <w:p w14:paraId="02724CC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3.5957</w:t>
            </w:r>
          </w:p>
        </w:tc>
        <w:tc>
          <w:tcPr>
            <w:tcW w:w="710" w:type="pct"/>
            <w:vAlign w:val="center"/>
          </w:tcPr>
          <w:p w14:paraId="523645F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0.18</w:t>
            </w:r>
          </w:p>
        </w:tc>
      </w:tr>
      <w:tr w14:paraId="4843E0C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3A959BD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2000</w:t>
            </w:r>
          </w:p>
        </w:tc>
        <w:tc>
          <w:tcPr>
            <w:tcW w:w="742" w:type="pct"/>
            <w:vAlign w:val="center"/>
          </w:tcPr>
          <w:p w14:paraId="095D8E0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0.2675</w:t>
            </w:r>
          </w:p>
        </w:tc>
        <w:tc>
          <w:tcPr>
            <w:tcW w:w="703" w:type="pct"/>
            <w:vAlign w:val="center"/>
          </w:tcPr>
          <w:p w14:paraId="39350C9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0.13</w:t>
            </w:r>
          </w:p>
        </w:tc>
        <w:tc>
          <w:tcPr>
            <w:tcW w:w="742" w:type="pct"/>
            <w:vAlign w:val="center"/>
          </w:tcPr>
          <w:p w14:paraId="3209160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0.0145</w:t>
            </w:r>
          </w:p>
        </w:tc>
        <w:tc>
          <w:tcPr>
            <w:tcW w:w="703" w:type="pct"/>
            <w:vAlign w:val="center"/>
          </w:tcPr>
          <w:p w14:paraId="3020B28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0.14</w:t>
            </w:r>
          </w:p>
        </w:tc>
        <w:tc>
          <w:tcPr>
            <w:tcW w:w="742" w:type="pct"/>
            <w:vAlign w:val="center"/>
          </w:tcPr>
          <w:p w14:paraId="72096E4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1.9499</w:t>
            </w:r>
          </w:p>
        </w:tc>
        <w:tc>
          <w:tcPr>
            <w:tcW w:w="710" w:type="pct"/>
            <w:vAlign w:val="center"/>
          </w:tcPr>
          <w:p w14:paraId="437394E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0.10</w:t>
            </w:r>
          </w:p>
        </w:tc>
      </w:tr>
      <w:tr w14:paraId="35E6474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712A2BB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3000</w:t>
            </w:r>
          </w:p>
        </w:tc>
        <w:tc>
          <w:tcPr>
            <w:tcW w:w="742" w:type="pct"/>
            <w:vAlign w:val="center"/>
          </w:tcPr>
          <w:p w14:paraId="3B87D26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0.1829</w:t>
            </w:r>
          </w:p>
        </w:tc>
        <w:tc>
          <w:tcPr>
            <w:tcW w:w="703" w:type="pct"/>
            <w:vAlign w:val="center"/>
          </w:tcPr>
          <w:p w14:paraId="429EDEE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0.09</w:t>
            </w:r>
          </w:p>
        </w:tc>
        <w:tc>
          <w:tcPr>
            <w:tcW w:w="742" w:type="pct"/>
            <w:vAlign w:val="center"/>
          </w:tcPr>
          <w:p w14:paraId="3343E2C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0.0099</w:t>
            </w:r>
          </w:p>
        </w:tc>
        <w:tc>
          <w:tcPr>
            <w:tcW w:w="703" w:type="pct"/>
            <w:vAlign w:val="center"/>
          </w:tcPr>
          <w:p w14:paraId="70CBA3E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0.10</w:t>
            </w:r>
          </w:p>
        </w:tc>
        <w:tc>
          <w:tcPr>
            <w:tcW w:w="742" w:type="pct"/>
            <w:vAlign w:val="center"/>
          </w:tcPr>
          <w:p w14:paraId="0FF7808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1.3328</w:t>
            </w:r>
          </w:p>
        </w:tc>
        <w:tc>
          <w:tcPr>
            <w:tcW w:w="710" w:type="pct"/>
            <w:vAlign w:val="center"/>
          </w:tcPr>
          <w:p w14:paraId="7E08619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0.07</w:t>
            </w:r>
          </w:p>
        </w:tc>
      </w:tr>
      <w:tr w14:paraId="46153EA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1FA301D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4000</w:t>
            </w:r>
          </w:p>
        </w:tc>
        <w:tc>
          <w:tcPr>
            <w:tcW w:w="742" w:type="pct"/>
            <w:vAlign w:val="center"/>
          </w:tcPr>
          <w:p w14:paraId="1B4DFA5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0.1349</w:t>
            </w:r>
          </w:p>
        </w:tc>
        <w:tc>
          <w:tcPr>
            <w:tcW w:w="703" w:type="pct"/>
            <w:vAlign w:val="center"/>
          </w:tcPr>
          <w:p w14:paraId="1A1A83F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0.07</w:t>
            </w:r>
          </w:p>
        </w:tc>
        <w:tc>
          <w:tcPr>
            <w:tcW w:w="742" w:type="pct"/>
            <w:vAlign w:val="center"/>
          </w:tcPr>
          <w:p w14:paraId="4CD0D6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0.0073</w:t>
            </w:r>
          </w:p>
        </w:tc>
        <w:tc>
          <w:tcPr>
            <w:tcW w:w="703" w:type="pct"/>
            <w:vAlign w:val="center"/>
          </w:tcPr>
          <w:p w14:paraId="556E578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0.07</w:t>
            </w:r>
          </w:p>
        </w:tc>
        <w:tc>
          <w:tcPr>
            <w:tcW w:w="742" w:type="pct"/>
            <w:vAlign w:val="center"/>
          </w:tcPr>
          <w:p w14:paraId="0DC2AE9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0.9833</w:t>
            </w:r>
          </w:p>
        </w:tc>
        <w:tc>
          <w:tcPr>
            <w:tcW w:w="710" w:type="pct"/>
            <w:vAlign w:val="center"/>
          </w:tcPr>
          <w:p w14:paraId="33D04C3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w:t>
            </w:r>
          </w:p>
        </w:tc>
      </w:tr>
      <w:tr w14:paraId="4AD8F3A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650872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5000</w:t>
            </w:r>
          </w:p>
        </w:tc>
        <w:tc>
          <w:tcPr>
            <w:tcW w:w="742" w:type="pct"/>
            <w:vAlign w:val="center"/>
          </w:tcPr>
          <w:p w14:paraId="4940822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0.1076</w:t>
            </w:r>
          </w:p>
        </w:tc>
        <w:tc>
          <w:tcPr>
            <w:tcW w:w="703" w:type="pct"/>
            <w:vAlign w:val="center"/>
          </w:tcPr>
          <w:p w14:paraId="163390A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w:t>
            </w:r>
          </w:p>
        </w:tc>
        <w:tc>
          <w:tcPr>
            <w:tcW w:w="742" w:type="pct"/>
            <w:vAlign w:val="center"/>
          </w:tcPr>
          <w:p w14:paraId="2C4BC40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0.0058</w:t>
            </w:r>
          </w:p>
        </w:tc>
        <w:tc>
          <w:tcPr>
            <w:tcW w:w="703" w:type="pct"/>
            <w:vAlign w:val="center"/>
          </w:tcPr>
          <w:p w14:paraId="03B8766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w:t>
            </w:r>
          </w:p>
        </w:tc>
        <w:tc>
          <w:tcPr>
            <w:tcW w:w="742" w:type="pct"/>
            <w:vAlign w:val="center"/>
          </w:tcPr>
          <w:p w14:paraId="2A6645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0.7845</w:t>
            </w:r>
          </w:p>
        </w:tc>
        <w:tc>
          <w:tcPr>
            <w:tcW w:w="710" w:type="pct"/>
            <w:vAlign w:val="center"/>
          </w:tcPr>
          <w:p w14:paraId="6D00A17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0.04</w:t>
            </w:r>
          </w:p>
        </w:tc>
      </w:tr>
      <w:tr w14:paraId="711891C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6B3D94B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10000</w:t>
            </w:r>
          </w:p>
        </w:tc>
        <w:tc>
          <w:tcPr>
            <w:tcW w:w="742" w:type="pct"/>
            <w:vAlign w:val="center"/>
          </w:tcPr>
          <w:p w14:paraId="6E866D1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0.0512</w:t>
            </w:r>
          </w:p>
        </w:tc>
        <w:tc>
          <w:tcPr>
            <w:tcW w:w="703" w:type="pct"/>
            <w:vAlign w:val="center"/>
          </w:tcPr>
          <w:p w14:paraId="1ECDF1C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742" w:type="pct"/>
            <w:vAlign w:val="center"/>
          </w:tcPr>
          <w:p w14:paraId="774DC7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0.0028</w:t>
            </w:r>
          </w:p>
        </w:tc>
        <w:tc>
          <w:tcPr>
            <w:tcW w:w="703" w:type="pct"/>
            <w:vAlign w:val="center"/>
          </w:tcPr>
          <w:p w14:paraId="2AD8C3A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742" w:type="pct"/>
            <w:vAlign w:val="center"/>
          </w:tcPr>
          <w:p w14:paraId="64724AC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0.3730</w:t>
            </w:r>
          </w:p>
        </w:tc>
        <w:tc>
          <w:tcPr>
            <w:tcW w:w="710" w:type="pct"/>
            <w:vAlign w:val="center"/>
          </w:tcPr>
          <w:p w14:paraId="08B1EE7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w:t>
            </w:r>
          </w:p>
        </w:tc>
      </w:tr>
      <w:tr w14:paraId="2F5BD09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7C7F1A0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15000</w:t>
            </w:r>
          </w:p>
        </w:tc>
        <w:tc>
          <w:tcPr>
            <w:tcW w:w="742" w:type="pct"/>
            <w:vAlign w:val="center"/>
          </w:tcPr>
          <w:p w14:paraId="451838E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0.0322</w:t>
            </w:r>
          </w:p>
        </w:tc>
        <w:tc>
          <w:tcPr>
            <w:tcW w:w="703" w:type="pct"/>
            <w:vAlign w:val="center"/>
          </w:tcPr>
          <w:p w14:paraId="64004B4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742" w:type="pct"/>
            <w:vAlign w:val="center"/>
          </w:tcPr>
          <w:p w14:paraId="34D6C1A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0.0017</w:t>
            </w:r>
          </w:p>
        </w:tc>
        <w:tc>
          <w:tcPr>
            <w:tcW w:w="703" w:type="pct"/>
            <w:vAlign w:val="center"/>
          </w:tcPr>
          <w:p w14:paraId="4BB8B2B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742" w:type="pct"/>
            <w:vAlign w:val="center"/>
          </w:tcPr>
          <w:p w14:paraId="64237C6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0.2346</w:t>
            </w:r>
          </w:p>
        </w:tc>
        <w:tc>
          <w:tcPr>
            <w:tcW w:w="710" w:type="pct"/>
            <w:vAlign w:val="center"/>
          </w:tcPr>
          <w:p w14:paraId="1055958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r>
      <w:tr w14:paraId="10B7360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3A63B13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20000</w:t>
            </w:r>
          </w:p>
        </w:tc>
        <w:tc>
          <w:tcPr>
            <w:tcW w:w="742" w:type="pct"/>
            <w:vAlign w:val="center"/>
          </w:tcPr>
          <w:p w14:paraId="2108B94A">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0.0225</w:t>
            </w:r>
          </w:p>
        </w:tc>
        <w:tc>
          <w:tcPr>
            <w:tcW w:w="703" w:type="pct"/>
            <w:vAlign w:val="center"/>
          </w:tcPr>
          <w:p w14:paraId="598DA38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742" w:type="pct"/>
            <w:vAlign w:val="center"/>
          </w:tcPr>
          <w:p w14:paraId="502E0D5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0.0012</w:t>
            </w:r>
          </w:p>
        </w:tc>
        <w:tc>
          <w:tcPr>
            <w:tcW w:w="703" w:type="pct"/>
            <w:vAlign w:val="center"/>
          </w:tcPr>
          <w:p w14:paraId="4064094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742" w:type="pct"/>
            <w:vAlign w:val="center"/>
          </w:tcPr>
          <w:p w14:paraId="58712E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0.1639</w:t>
            </w:r>
          </w:p>
        </w:tc>
        <w:tc>
          <w:tcPr>
            <w:tcW w:w="710" w:type="pct"/>
            <w:vAlign w:val="center"/>
          </w:tcPr>
          <w:p w14:paraId="1A51B15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r>
      <w:tr w14:paraId="35193F5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6" w:type="pct"/>
            <w:vAlign w:val="center"/>
          </w:tcPr>
          <w:p w14:paraId="0D4D033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25000</w:t>
            </w:r>
          </w:p>
        </w:tc>
        <w:tc>
          <w:tcPr>
            <w:tcW w:w="742" w:type="pct"/>
            <w:vAlign w:val="center"/>
          </w:tcPr>
          <w:p w14:paraId="5E22359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0.0164</w:t>
            </w:r>
          </w:p>
        </w:tc>
        <w:tc>
          <w:tcPr>
            <w:tcW w:w="703" w:type="pct"/>
            <w:vAlign w:val="center"/>
          </w:tcPr>
          <w:p w14:paraId="3A116A0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742" w:type="pct"/>
            <w:vAlign w:val="center"/>
          </w:tcPr>
          <w:p w14:paraId="1F6E9A0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0.0009</w:t>
            </w:r>
          </w:p>
        </w:tc>
        <w:tc>
          <w:tcPr>
            <w:tcW w:w="703" w:type="pct"/>
            <w:vAlign w:val="center"/>
          </w:tcPr>
          <w:p w14:paraId="25E7FCC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742" w:type="pct"/>
            <w:vAlign w:val="center"/>
          </w:tcPr>
          <w:p w14:paraId="0F3AD7C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0.1193</w:t>
            </w:r>
          </w:p>
        </w:tc>
        <w:tc>
          <w:tcPr>
            <w:tcW w:w="710" w:type="pct"/>
            <w:vAlign w:val="center"/>
          </w:tcPr>
          <w:p w14:paraId="398047A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0.01</w:t>
            </w:r>
          </w:p>
        </w:tc>
      </w:tr>
      <w:tr w14:paraId="44F3A80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7FC887AA">
            <w:pPr>
              <w:pStyle w:val="68"/>
              <w:rPr>
                <w:rFonts w:hint="default" w:ascii="Times New Roman" w:hAnsi="Times New Roman" w:eastAsia="宋体" w:cs="Times New Roman"/>
                <w:i w:val="0"/>
                <w:iCs w:val="0"/>
                <w:color w:val="000000"/>
                <w:kern w:val="0"/>
                <w:sz w:val="21"/>
                <w:szCs w:val="21"/>
                <w:u w:val="none"/>
                <w:lang w:val="en-US" w:eastAsia="zh-CN" w:bidi="ar"/>
              </w:rPr>
            </w:pPr>
            <w:r>
              <w:rPr>
                <w:rFonts w:hint="eastAsia"/>
              </w:rPr>
              <w:t>下风向最大浓度</w:t>
            </w:r>
          </w:p>
        </w:tc>
        <w:tc>
          <w:tcPr>
            <w:tcW w:w="1265" w:type="dxa"/>
            <w:vAlign w:val="center"/>
          </w:tcPr>
          <w:p w14:paraId="70536E6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8.7361</w:t>
            </w:r>
          </w:p>
        </w:tc>
        <w:tc>
          <w:tcPr>
            <w:tcW w:w="1199" w:type="dxa"/>
            <w:vAlign w:val="center"/>
          </w:tcPr>
          <w:p w14:paraId="636E928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4.37</w:t>
            </w:r>
          </w:p>
        </w:tc>
        <w:tc>
          <w:tcPr>
            <w:tcW w:w="1266" w:type="dxa"/>
            <w:vAlign w:val="center"/>
          </w:tcPr>
          <w:p w14:paraId="4B81EF3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0.4723</w:t>
            </w:r>
          </w:p>
        </w:tc>
        <w:tc>
          <w:tcPr>
            <w:tcW w:w="1199" w:type="dxa"/>
            <w:vAlign w:val="center"/>
          </w:tcPr>
          <w:p w14:paraId="24CB75E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4.72</w:t>
            </w:r>
          </w:p>
        </w:tc>
        <w:tc>
          <w:tcPr>
            <w:tcW w:w="1266" w:type="dxa"/>
            <w:vAlign w:val="center"/>
          </w:tcPr>
          <w:p w14:paraId="04E8C8A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63.6714</w:t>
            </w:r>
          </w:p>
        </w:tc>
        <w:tc>
          <w:tcPr>
            <w:tcW w:w="1213" w:type="dxa"/>
            <w:vAlign w:val="center"/>
          </w:tcPr>
          <w:p w14:paraId="419E09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3.18</w:t>
            </w:r>
          </w:p>
        </w:tc>
      </w:tr>
      <w:tr w14:paraId="2758F91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744D32A4">
            <w:pPr>
              <w:pStyle w:val="68"/>
              <w:rPr>
                <w:rFonts w:hint="eastAsia" w:ascii="Times New Roman" w:hAnsi="Times New Roman" w:eastAsia="宋体" w:cs="Times New Roman"/>
                <w:i w:val="0"/>
                <w:iCs w:val="0"/>
                <w:color w:val="000000"/>
                <w:kern w:val="0"/>
                <w:sz w:val="21"/>
                <w:szCs w:val="21"/>
                <w:u w:val="none"/>
                <w:lang w:val="en-US" w:eastAsia="zh-CN" w:bidi="ar"/>
              </w:rPr>
            </w:pPr>
            <w:r>
              <w:rPr>
                <w:rFonts w:hint="eastAsia"/>
              </w:rPr>
              <w:t>下风向最大浓度出现距离</w:t>
            </w:r>
            <w:r>
              <w:rPr>
                <w:rFonts w:hint="eastAsia" w:eastAsia="宋体"/>
                <w:lang w:eastAsia="zh-CN"/>
              </w:rPr>
              <w:t>（</w:t>
            </w:r>
            <w:r>
              <w:rPr>
                <w:rFonts w:hint="eastAsia" w:eastAsia="宋体"/>
                <w:lang w:val="en-US" w:eastAsia="zh-CN"/>
              </w:rPr>
              <w:t>m</w:t>
            </w:r>
            <w:r>
              <w:rPr>
                <w:rFonts w:hint="eastAsia" w:eastAsia="宋体"/>
                <w:lang w:eastAsia="zh-CN"/>
              </w:rPr>
              <w:t>）</w:t>
            </w:r>
          </w:p>
        </w:tc>
        <w:tc>
          <w:tcPr>
            <w:tcW w:w="742" w:type="pct"/>
            <w:vAlign w:val="center"/>
          </w:tcPr>
          <w:p w14:paraId="2C0F4AD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94</w:t>
            </w:r>
          </w:p>
        </w:tc>
        <w:tc>
          <w:tcPr>
            <w:tcW w:w="1199" w:type="dxa"/>
            <w:vAlign w:val="center"/>
          </w:tcPr>
          <w:p w14:paraId="646BBE4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94</w:t>
            </w:r>
          </w:p>
        </w:tc>
        <w:tc>
          <w:tcPr>
            <w:tcW w:w="1266" w:type="dxa"/>
            <w:vAlign w:val="center"/>
          </w:tcPr>
          <w:p w14:paraId="0B04BE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94</w:t>
            </w:r>
          </w:p>
        </w:tc>
        <w:tc>
          <w:tcPr>
            <w:tcW w:w="1199" w:type="dxa"/>
            <w:vAlign w:val="center"/>
          </w:tcPr>
          <w:p w14:paraId="1D6218E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94</w:t>
            </w:r>
          </w:p>
        </w:tc>
        <w:tc>
          <w:tcPr>
            <w:tcW w:w="1266" w:type="dxa"/>
            <w:vAlign w:val="center"/>
          </w:tcPr>
          <w:p w14:paraId="6F7FF49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94</w:t>
            </w:r>
          </w:p>
        </w:tc>
        <w:tc>
          <w:tcPr>
            <w:tcW w:w="1213" w:type="dxa"/>
            <w:vAlign w:val="center"/>
          </w:tcPr>
          <w:p w14:paraId="085918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94</w:t>
            </w:r>
          </w:p>
        </w:tc>
      </w:tr>
      <w:tr w14:paraId="01C6589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6E956810">
            <w:pPr>
              <w:pStyle w:val="68"/>
              <w:rPr>
                <w:rFonts w:hint="eastAsia" w:ascii="Times New Roman" w:hAnsi="Times New Roman" w:eastAsia="宋体" w:cs="Times New Roman"/>
                <w:i w:val="0"/>
                <w:iCs w:val="0"/>
                <w:color w:val="000000"/>
                <w:kern w:val="0"/>
                <w:sz w:val="21"/>
                <w:szCs w:val="21"/>
                <w:u w:val="none"/>
                <w:lang w:val="en-US" w:eastAsia="zh-CN" w:bidi="ar"/>
              </w:rPr>
            </w:pPr>
            <w:r>
              <w:rPr>
                <w:rFonts w:hint="eastAsia"/>
              </w:rPr>
              <w:t>D10%最远距离</w:t>
            </w:r>
            <w:r>
              <w:rPr>
                <w:rFonts w:hint="eastAsia" w:eastAsia="宋体"/>
                <w:lang w:eastAsia="zh-CN"/>
              </w:rPr>
              <w:t>（</w:t>
            </w:r>
            <w:r>
              <w:rPr>
                <w:rFonts w:hint="eastAsia" w:eastAsia="宋体"/>
                <w:lang w:val="en-US" w:eastAsia="zh-CN"/>
              </w:rPr>
              <w:t>m</w:t>
            </w:r>
            <w:r>
              <w:rPr>
                <w:rFonts w:hint="eastAsia" w:eastAsia="宋体"/>
                <w:lang w:eastAsia="zh-CN"/>
              </w:rPr>
              <w:t>）</w:t>
            </w:r>
          </w:p>
        </w:tc>
        <w:tc>
          <w:tcPr>
            <w:tcW w:w="742" w:type="pct"/>
            <w:vAlign w:val="center"/>
          </w:tcPr>
          <w:p w14:paraId="3A28A6A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99" w:type="dxa"/>
            <w:vAlign w:val="center"/>
          </w:tcPr>
          <w:p w14:paraId="20F38D8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266" w:type="dxa"/>
            <w:vAlign w:val="center"/>
          </w:tcPr>
          <w:p w14:paraId="7EE38D8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99" w:type="dxa"/>
            <w:vAlign w:val="center"/>
          </w:tcPr>
          <w:p w14:paraId="0EF291A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266" w:type="dxa"/>
            <w:vAlign w:val="center"/>
          </w:tcPr>
          <w:p w14:paraId="3A97F49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213" w:type="dxa"/>
            <w:vAlign w:val="center"/>
          </w:tcPr>
          <w:p w14:paraId="6F67137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r>
    </w:tbl>
    <w:p w14:paraId="07C3457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26" w:charSpace="0"/>
        </w:sectPr>
      </w:pPr>
    </w:p>
    <w:p w14:paraId="49F3D7E9">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正常工况下生产车间无组织污染物估算模式计算结果表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117"/>
        <w:gridCol w:w="1264"/>
        <w:gridCol w:w="1199"/>
        <w:gridCol w:w="1265"/>
        <w:gridCol w:w="1199"/>
        <w:gridCol w:w="1265"/>
        <w:gridCol w:w="1216"/>
      </w:tblGrid>
      <w:tr w14:paraId="0380833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blHeader/>
          <w:jc w:val="center"/>
        </w:trPr>
        <w:tc>
          <w:tcPr>
            <w:tcW w:w="655" w:type="pct"/>
            <w:vMerge w:val="restart"/>
            <w:vAlign w:val="center"/>
          </w:tcPr>
          <w:p w14:paraId="69E7F108">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下风向距离（m）</w:t>
            </w:r>
          </w:p>
        </w:tc>
        <w:tc>
          <w:tcPr>
            <w:tcW w:w="4344" w:type="pct"/>
            <w:gridSpan w:val="6"/>
            <w:vAlign w:val="center"/>
          </w:tcPr>
          <w:p w14:paraId="7667B4F3">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生产车间</w:t>
            </w:r>
            <w:r>
              <w:rPr>
                <w:rFonts w:hint="eastAsia" w:eastAsia="宋体" w:cs="Times New Roman"/>
                <w:color w:val="000000" w:themeColor="text1"/>
                <w:sz w:val="21"/>
                <w:szCs w:val="21"/>
                <w:u w:val="none" w:color="auto"/>
                <w:lang w:val="en-US" w:eastAsia="zh-CN"/>
                <w14:textFill>
                  <w14:solidFill>
                    <w14:schemeClr w14:val="tx1"/>
                  </w14:solidFill>
                </w14:textFill>
              </w:rPr>
              <w:t>无组织废气</w:t>
            </w:r>
          </w:p>
        </w:tc>
      </w:tr>
      <w:tr w14:paraId="2F448EE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5" w:type="pct"/>
            <w:vMerge w:val="continue"/>
            <w:vAlign w:val="center"/>
          </w:tcPr>
          <w:p w14:paraId="194CF256">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Align w:val="center"/>
          </w:tcPr>
          <w:p w14:paraId="51B8DFC1">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NH</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浓度</w:t>
            </w:r>
            <w:r>
              <w:rPr>
                <w:rFonts w:hint="default" w:ascii="Times New Roman" w:hAnsi="Times New Roman" w:eastAsia="宋体" w:cs="Times New Roman"/>
                <w:color w:val="000000" w:themeColor="text1"/>
                <w:sz w:val="21"/>
                <w:szCs w:val="21"/>
                <w:u w:val="none" w:color="auto"/>
                <w14:textFill>
                  <w14:solidFill>
                    <w14:schemeClr w14:val="tx1"/>
                  </w14:solidFill>
                </w14:textFill>
              </w:rPr>
              <w:t>（μg/m³）</w:t>
            </w:r>
          </w:p>
        </w:tc>
        <w:tc>
          <w:tcPr>
            <w:tcW w:w="703" w:type="pct"/>
            <w:vAlign w:val="center"/>
          </w:tcPr>
          <w:p w14:paraId="5FFE7306">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占标率（%）</w:t>
            </w:r>
          </w:p>
        </w:tc>
        <w:tc>
          <w:tcPr>
            <w:tcW w:w="742" w:type="pct"/>
            <w:vAlign w:val="center"/>
          </w:tcPr>
          <w:p w14:paraId="79B576A1">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S浓度</w:t>
            </w:r>
            <w:r>
              <w:rPr>
                <w:rFonts w:hint="default" w:ascii="Times New Roman" w:hAnsi="Times New Roman" w:eastAsia="宋体" w:cs="Times New Roman"/>
                <w:color w:val="000000" w:themeColor="text1"/>
                <w:sz w:val="21"/>
                <w:szCs w:val="21"/>
                <w:u w:val="none" w:color="auto"/>
                <w14:textFill>
                  <w14:solidFill>
                    <w14:schemeClr w14:val="tx1"/>
                  </w14:solidFill>
                </w14:textFill>
              </w:rPr>
              <w:t>（μg/m³）</w:t>
            </w:r>
          </w:p>
        </w:tc>
        <w:tc>
          <w:tcPr>
            <w:tcW w:w="703" w:type="pct"/>
            <w:vAlign w:val="center"/>
          </w:tcPr>
          <w:p w14:paraId="487D7CED">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占标率（%）</w:t>
            </w:r>
          </w:p>
        </w:tc>
        <w:tc>
          <w:tcPr>
            <w:tcW w:w="742" w:type="pct"/>
            <w:vAlign w:val="center"/>
          </w:tcPr>
          <w:p w14:paraId="3A7B113B">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非甲烷总烃浓度</w:t>
            </w:r>
            <w:r>
              <w:rPr>
                <w:rFonts w:hint="default" w:ascii="Times New Roman" w:hAnsi="Times New Roman" w:eastAsia="宋体" w:cs="Times New Roman"/>
                <w:color w:val="000000" w:themeColor="text1"/>
                <w:sz w:val="21"/>
                <w:szCs w:val="21"/>
                <w:u w:val="none" w:color="auto"/>
                <w14:textFill>
                  <w14:solidFill>
                    <w14:schemeClr w14:val="tx1"/>
                  </w14:solidFill>
                </w14:textFill>
              </w:rPr>
              <w:t>（μg/m³）</w:t>
            </w:r>
          </w:p>
        </w:tc>
        <w:tc>
          <w:tcPr>
            <w:tcW w:w="711" w:type="pct"/>
            <w:vAlign w:val="center"/>
          </w:tcPr>
          <w:p w14:paraId="0AC1E9C4">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占标率（%）</w:t>
            </w:r>
          </w:p>
        </w:tc>
      </w:tr>
      <w:tr w14:paraId="724C32F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140DBED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w:t>
            </w:r>
          </w:p>
        </w:tc>
        <w:tc>
          <w:tcPr>
            <w:tcW w:w="1265" w:type="dxa"/>
            <w:vAlign w:val="center"/>
          </w:tcPr>
          <w:p w14:paraId="2C9B883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0.5190 </w:t>
            </w:r>
          </w:p>
        </w:tc>
        <w:tc>
          <w:tcPr>
            <w:tcW w:w="1199" w:type="dxa"/>
            <w:vAlign w:val="center"/>
          </w:tcPr>
          <w:p w14:paraId="389060F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0.26 </w:t>
            </w:r>
          </w:p>
        </w:tc>
        <w:tc>
          <w:tcPr>
            <w:tcW w:w="1266" w:type="dxa"/>
            <w:vAlign w:val="center"/>
          </w:tcPr>
          <w:p w14:paraId="53CB7F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0.0300 </w:t>
            </w:r>
          </w:p>
        </w:tc>
        <w:tc>
          <w:tcPr>
            <w:tcW w:w="1199" w:type="dxa"/>
            <w:vAlign w:val="center"/>
          </w:tcPr>
          <w:p w14:paraId="26614B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0.30 </w:t>
            </w:r>
          </w:p>
        </w:tc>
        <w:tc>
          <w:tcPr>
            <w:tcW w:w="1266" w:type="dxa"/>
            <w:vAlign w:val="center"/>
          </w:tcPr>
          <w:p w14:paraId="5436E69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3.7222 </w:t>
            </w:r>
          </w:p>
        </w:tc>
        <w:tc>
          <w:tcPr>
            <w:tcW w:w="1213" w:type="dxa"/>
            <w:vAlign w:val="center"/>
          </w:tcPr>
          <w:p w14:paraId="770B532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0.19 </w:t>
            </w:r>
          </w:p>
        </w:tc>
      </w:tr>
      <w:tr w14:paraId="1D28D3B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484BB11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w:t>
            </w:r>
          </w:p>
        </w:tc>
        <w:tc>
          <w:tcPr>
            <w:tcW w:w="1265" w:type="dxa"/>
            <w:vAlign w:val="center"/>
          </w:tcPr>
          <w:p w14:paraId="07257B9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0.6341 </w:t>
            </w:r>
          </w:p>
        </w:tc>
        <w:tc>
          <w:tcPr>
            <w:tcW w:w="1199" w:type="dxa"/>
            <w:vAlign w:val="center"/>
          </w:tcPr>
          <w:p w14:paraId="63CD6EC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0.32 </w:t>
            </w:r>
          </w:p>
        </w:tc>
        <w:tc>
          <w:tcPr>
            <w:tcW w:w="1266" w:type="dxa"/>
            <w:vAlign w:val="center"/>
          </w:tcPr>
          <w:p w14:paraId="303CBAF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0.0367 </w:t>
            </w:r>
          </w:p>
        </w:tc>
        <w:tc>
          <w:tcPr>
            <w:tcW w:w="1199" w:type="dxa"/>
            <w:vAlign w:val="center"/>
          </w:tcPr>
          <w:p w14:paraId="06D8279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0.37 </w:t>
            </w:r>
          </w:p>
        </w:tc>
        <w:tc>
          <w:tcPr>
            <w:tcW w:w="1266" w:type="dxa"/>
            <w:vAlign w:val="center"/>
          </w:tcPr>
          <w:p w14:paraId="102CD89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4.5477 </w:t>
            </w:r>
          </w:p>
        </w:tc>
        <w:tc>
          <w:tcPr>
            <w:tcW w:w="1213" w:type="dxa"/>
            <w:vAlign w:val="center"/>
          </w:tcPr>
          <w:p w14:paraId="5493969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0.23 </w:t>
            </w:r>
          </w:p>
        </w:tc>
      </w:tr>
      <w:tr w14:paraId="39306AB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0A758E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w:t>
            </w:r>
          </w:p>
        </w:tc>
        <w:tc>
          <w:tcPr>
            <w:tcW w:w="1265" w:type="dxa"/>
            <w:vAlign w:val="center"/>
          </w:tcPr>
          <w:p w14:paraId="3863BBB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0.4049 </w:t>
            </w:r>
          </w:p>
        </w:tc>
        <w:tc>
          <w:tcPr>
            <w:tcW w:w="1199" w:type="dxa"/>
            <w:vAlign w:val="center"/>
          </w:tcPr>
          <w:p w14:paraId="6201B65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0.20 </w:t>
            </w:r>
          </w:p>
        </w:tc>
        <w:tc>
          <w:tcPr>
            <w:tcW w:w="1266" w:type="dxa"/>
            <w:vAlign w:val="center"/>
          </w:tcPr>
          <w:p w14:paraId="5DE3F5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0.0234 </w:t>
            </w:r>
          </w:p>
        </w:tc>
        <w:tc>
          <w:tcPr>
            <w:tcW w:w="1199" w:type="dxa"/>
            <w:vAlign w:val="center"/>
          </w:tcPr>
          <w:p w14:paraId="1BD0D5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0.23 </w:t>
            </w:r>
          </w:p>
        </w:tc>
        <w:tc>
          <w:tcPr>
            <w:tcW w:w="1266" w:type="dxa"/>
            <w:vAlign w:val="center"/>
          </w:tcPr>
          <w:p w14:paraId="3270EF6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2.9041 </w:t>
            </w:r>
          </w:p>
        </w:tc>
        <w:tc>
          <w:tcPr>
            <w:tcW w:w="1213" w:type="dxa"/>
            <w:vAlign w:val="center"/>
          </w:tcPr>
          <w:p w14:paraId="610FD5B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0.15 </w:t>
            </w:r>
          </w:p>
        </w:tc>
      </w:tr>
      <w:tr w14:paraId="570B8A1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6445EB7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100</w:t>
            </w:r>
          </w:p>
        </w:tc>
        <w:tc>
          <w:tcPr>
            <w:tcW w:w="1265" w:type="dxa"/>
            <w:vAlign w:val="center"/>
          </w:tcPr>
          <w:p w14:paraId="0F9DF75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0.2668 </w:t>
            </w:r>
          </w:p>
        </w:tc>
        <w:tc>
          <w:tcPr>
            <w:tcW w:w="1199" w:type="dxa"/>
            <w:vAlign w:val="center"/>
          </w:tcPr>
          <w:p w14:paraId="480143C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0.13 </w:t>
            </w:r>
          </w:p>
        </w:tc>
        <w:tc>
          <w:tcPr>
            <w:tcW w:w="1266" w:type="dxa"/>
            <w:vAlign w:val="center"/>
          </w:tcPr>
          <w:p w14:paraId="2085713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0.0154 </w:t>
            </w:r>
          </w:p>
        </w:tc>
        <w:tc>
          <w:tcPr>
            <w:tcW w:w="1199" w:type="dxa"/>
            <w:vAlign w:val="center"/>
          </w:tcPr>
          <w:p w14:paraId="70B101D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0.15 </w:t>
            </w:r>
          </w:p>
        </w:tc>
        <w:tc>
          <w:tcPr>
            <w:tcW w:w="1266" w:type="dxa"/>
            <w:vAlign w:val="center"/>
          </w:tcPr>
          <w:p w14:paraId="0BDCC68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1.9134 </w:t>
            </w:r>
          </w:p>
        </w:tc>
        <w:tc>
          <w:tcPr>
            <w:tcW w:w="1213" w:type="dxa"/>
            <w:vAlign w:val="center"/>
          </w:tcPr>
          <w:p w14:paraId="59FC74C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0.10 </w:t>
            </w:r>
          </w:p>
        </w:tc>
      </w:tr>
      <w:tr w14:paraId="201BBDB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5EE1E14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125</w:t>
            </w:r>
          </w:p>
        </w:tc>
        <w:tc>
          <w:tcPr>
            <w:tcW w:w="1265" w:type="dxa"/>
            <w:vAlign w:val="center"/>
          </w:tcPr>
          <w:p w14:paraId="1BBD58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0.2415</w:t>
            </w:r>
          </w:p>
        </w:tc>
        <w:tc>
          <w:tcPr>
            <w:tcW w:w="1199" w:type="dxa"/>
            <w:vAlign w:val="center"/>
          </w:tcPr>
          <w:p w14:paraId="7DF384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0.12</w:t>
            </w:r>
          </w:p>
        </w:tc>
        <w:tc>
          <w:tcPr>
            <w:tcW w:w="1266" w:type="dxa"/>
            <w:vAlign w:val="center"/>
          </w:tcPr>
          <w:p w14:paraId="7DEDEF8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0.0140</w:t>
            </w:r>
          </w:p>
        </w:tc>
        <w:tc>
          <w:tcPr>
            <w:tcW w:w="1199" w:type="dxa"/>
            <w:vAlign w:val="center"/>
          </w:tcPr>
          <w:p w14:paraId="7E2F89A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0.14</w:t>
            </w:r>
          </w:p>
        </w:tc>
        <w:tc>
          <w:tcPr>
            <w:tcW w:w="1266" w:type="dxa"/>
            <w:vAlign w:val="center"/>
          </w:tcPr>
          <w:p w14:paraId="13949BE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1.7322</w:t>
            </w:r>
          </w:p>
        </w:tc>
        <w:tc>
          <w:tcPr>
            <w:tcW w:w="1213" w:type="dxa"/>
            <w:vAlign w:val="center"/>
          </w:tcPr>
          <w:p w14:paraId="7FF5C61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0.09</w:t>
            </w:r>
          </w:p>
        </w:tc>
      </w:tr>
      <w:tr w14:paraId="33540E2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7989B37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200</w:t>
            </w:r>
          </w:p>
        </w:tc>
        <w:tc>
          <w:tcPr>
            <w:tcW w:w="1265" w:type="dxa"/>
            <w:vAlign w:val="center"/>
          </w:tcPr>
          <w:p w14:paraId="710367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0.1799 </w:t>
            </w:r>
          </w:p>
        </w:tc>
        <w:tc>
          <w:tcPr>
            <w:tcW w:w="1199" w:type="dxa"/>
            <w:vAlign w:val="center"/>
          </w:tcPr>
          <w:p w14:paraId="6A1A36A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0.09 </w:t>
            </w:r>
          </w:p>
        </w:tc>
        <w:tc>
          <w:tcPr>
            <w:tcW w:w="1266" w:type="dxa"/>
            <w:vAlign w:val="center"/>
          </w:tcPr>
          <w:p w14:paraId="7433B9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0.0104 </w:t>
            </w:r>
          </w:p>
        </w:tc>
        <w:tc>
          <w:tcPr>
            <w:tcW w:w="1199" w:type="dxa"/>
            <w:vAlign w:val="center"/>
          </w:tcPr>
          <w:p w14:paraId="28E49B4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0.10 </w:t>
            </w:r>
          </w:p>
        </w:tc>
        <w:tc>
          <w:tcPr>
            <w:tcW w:w="1266" w:type="dxa"/>
            <w:vAlign w:val="center"/>
          </w:tcPr>
          <w:p w14:paraId="0404EA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1.2904 </w:t>
            </w:r>
          </w:p>
        </w:tc>
        <w:tc>
          <w:tcPr>
            <w:tcW w:w="1213" w:type="dxa"/>
            <w:vAlign w:val="center"/>
          </w:tcPr>
          <w:p w14:paraId="4CFDDF5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0.06 </w:t>
            </w:r>
          </w:p>
        </w:tc>
      </w:tr>
      <w:tr w14:paraId="52BACC6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2BAD270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300</w:t>
            </w:r>
          </w:p>
        </w:tc>
        <w:tc>
          <w:tcPr>
            <w:tcW w:w="1265" w:type="dxa"/>
            <w:vAlign w:val="center"/>
          </w:tcPr>
          <w:p w14:paraId="6DFAD8D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0.1351 </w:t>
            </w:r>
          </w:p>
        </w:tc>
        <w:tc>
          <w:tcPr>
            <w:tcW w:w="1199" w:type="dxa"/>
            <w:vAlign w:val="center"/>
          </w:tcPr>
          <w:p w14:paraId="07A8F8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0.07 </w:t>
            </w:r>
          </w:p>
        </w:tc>
        <w:tc>
          <w:tcPr>
            <w:tcW w:w="1266" w:type="dxa"/>
            <w:vAlign w:val="center"/>
          </w:tcPr>
          <w:p w14:paraId="650715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0.0078 </w:t>
            </w:r>
          </w:p>
        </w:tc>
        <w:tc>
          <w:tcPr>
            <w:tcW w:w="1199" w:type="dxa"/>
            <w:vAlign w:val="center"/>
          </w:tcPr>
          <w:p w14:paraId="03081BC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0.08 </w:t>
            </w:r>
          </w:p>
        </w:tc>
        <w:tc>
          <w:tcPr>
            <w:tcW w:w="1266" w:type="dxa"/>
            <w:vAlign w:val="center"/>
          </w:tcPr>
          <w:p w14:paraId="6B7434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0.9688 </w:t>
            </w:r>
          </w:p>
        </w:tc>
        <w:tc>
          <w:tcPr>
            <w:tcW w:w="1213" w:type="dxa"/>
            <w:vAlign w:val="center"/>
          </w:tcPr>
          <w:p w14:paraId="5CAA4E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0.05 </w:t>
            </w:r>
          </w:p>
        </w:tc>
      </w:tr>
      <w:tr w14:paraId="7D6C068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7FC21F4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400</w:t>
            </w:r>
          </w:p>
        </w:tc>
        <w:tc>
          <w:tcPr>
            <w:tcW w:w="1265" w:type="dxa"/>
            <w:vAlign w:val="center"/>
          </w:tcPr>
          <w:p w14:paraId="0A2FB29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0.1099 </w:t>
            </w:r>
          </w:p>
        </w:tc>
        <w:tc>
          <w:tcPr>
            <w:tcW w:w="1199" w:type="dxa"/>
            <w:vAlign w:val="center"/>
          </w:tcPr>
          <w:p w14:paraId="63D88AE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0.05 </w:t>
            </w:r>
          </w:p>
        </w:tc>
        <w:tc>
          <w:tcPr>
            <w:tcW w:w="1266" w:type="dxa"/>
            <w:vAlign w:val="center"/>
          </w:tcPr>
          <w:p w14:paraId="55FED00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0.0064 </w:t>
            </w:r>
          </w:p>
        </w:tc>
        <w:tc>
          <w:tcPr>
            <w:tcW w:w="1199" w:type="dxa"/>
            <w:vAlign w:val="center"/>
          </w:tcPr>
          <w:p w14:paraId="0DA92F1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0.06 </w:t>
            </w:r>
          </w:p>
        </w:tc>
        <w:tc>
          <w:tcPr>
            <w:tcW w:w="1266" w:type="dxa"/>
            <w:vAlign w:val="center"/>
          </w:tcPr>
          <w:p w14:paraId="23E2696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0.7880 </w:t>
            </w:r>
          </w:p>
        </w:tc>
        <w:tc>
          <w:tcPr>
            <w:tcW w:w="1213" w:type="dxa"/>
            <w:vAlign w:val="center"/>
          </w:tcPr>
          <w:p w14:paraId="7A440F7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0.04 </w:t>
            </w:r>
          </w:p>
        </w:tc>
      </w:tr>
      <w:tr w14:paraId="1FFC17D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49442FD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500</w:t>
            </w:r>
          </w:p>
        </w:tc>
        <w:tc>
          <w:tcPr>
            <w:tcW w:w="1265" w:type="dxa"/>
            <w:vAlign w:val="center"/>
          </w:tcPr>
          <w:p w14:paraId="542D61D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0.0918 </w:t>
            </w:r>
          </w:p>
        </w:tc>
        <w:tc>
          <w:tcPr>
            <w:tcW w:w="1199" w:type="dxa"/>
            <w:vAlign w:val="center"/>
          </w:tcPr>
          <w:p w14:paraId="288B4DE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0.05 </w:t>
            </w:r>
          </w:p>
        </w:tc>
        <w:tc>
          <w:tcPr>
            <w:tcW w:w="1266" w:type="dxa"/>
            <w:vAlign w:val="center"/>
          </w:tcPr>
          <w:p w14:paraId="57CF603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0.0053 </w:t>
            </w:r>
          </w:p>
        </w:tc>
        <w:tc>
          <w:tcPr>
            <w:tcW w:w="1199" w:type="dxa"/>
            <w:vAlign w:val="center"/>
          </w:tcPr>
          <w:p w14:paraId="56A3FF2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0.05 </w:t>
            </w:r>
          </w:p>
        </w:tc>
        <w:tc>
          <w:tcPr>
            <w:tcW w:w="1266" w:type="dxa"/>
            <w:vAlign w:val="center"/>
          </w:tcPr>
          <w:p w14:paraId="3D93412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0.6587 </w:t>
            </w:r>
          </w:p>
        </w:tc>
        <w:tc>
          <w:tcPr>
            <w:tcW w:w="1213" w:type="dxa"/>
            <w:vAlign w:val="center"/>
          </w:tcPr>
          <w:p w14:paraId="0AC9282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0.03 </w:t>
            </w:r>
          </w:p>
        </w:tc>
      </w:tr>
      <w:tr w14:paraId="707BF18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04518D2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1000</w:t>
            </w:r>
          </w:p>
        </w:tc>
        <w:tc>
          <w:tcPr>
            <w:tcW w:w="1265" w:type="dxa"/>
            <w:vAlign w:val="center"/>
          </w:tcPr>
          <w:p w14:paraId="290F97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0.0464 </w:t>
            </w:r>
          </w:p>
        </w:tc>
        <w:tc>
          <w:tcPr>
            <w:tcW w:w="1199" w:type="dxa"/>
            <w:vAlign w:val="center"/>
          </w:tcPr>
          <w:p w14:paraId="58997EC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0.02 </w:t>
            </w:r>
          </w:p>
        </w:tc>
        <w:tc>
          <w:tcPr>
            <w:tcW w:w="1266" w:type="dxa"/>
            <w:vAlign w:val="center"/>
          </w:tcPr>
          <w:p w14:paraId="53381E5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0.0027 </w:t>
            </w:r>
          </w:p>
        </w:tc>
        <w:tc>
          <w:tcPr>
            <w:tcW w:w="1199" w:type="dxa"/>
            <w:vAlign w:val="center"/>
          </w:tcPr>
          <w:p w14:paraId="1828C40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0.03 </w:t>
            </w:r>
          </w:p>
        </w:tc>
        <w:tc>
          <w:tcPr>
            <w:tcW w:w="1266" w:type="dxa"/>
            <w:vAlign w:val="center"/>
          </w:tcPr>
          <w:p w14:paraId="072801F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0.3330 </w:t>
            </w:r>
          </w:p>
        </w:tc>
        <w:tc>
          <w:tcPr>
            <w:tcW w:w="1213" w:type="dxa"/>
            <w:vAlign w:val="center"/>
          </w:tcPr>
          <w:p w14:paraId="4E206D7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0.02 </w:t>
            </w:r>
          </w:p>
        </w:tc>
      </w:tr>
      <w:tr w14:paraId="1233207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6A51F3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2000</w:t>
            </w:r>
          </w:p>
        </w:tc>
        <w:tc>
          <w:tcPr>
            <w:tcW w:w="1265" w:type="dxa"/>
            <w:vAlign w:val="center"/>
          </w:tcPr>
          <w:p w14:paraId="0EB6F6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0.0208 </w:t>
            </w:r>
          </w:p>
        </w:tc>
        <w:tc>
          <w:tcPr>
            <w:tcW w:w="1199" w:type="dxa"/>
            <w:vAlign w:val="center"/>
          </w:tcPr>
          <w:p w14:paraId="7933BFC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266" w:type="dxa"/>
            <w:vAlign w:val="center"/>
          </w:tcPr>
          <w:p w14:paraId="53EAE58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0.0012 </w:t>
            </w:r>
          </w:p>
        </w:tc>
        <w:tc>
          <w:tcPr>
            <w:tcW w:w="1199" w:type="dxa"/>
            <w:vAlign w:val="center"/>
          </w:tcPr>
          <w:p w14:paraId="59B5EEB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266" w:type="dxa"/>
            <w:vAlign w:val="center"/>
          </w:tcPr>
          <w:p w14:paraId="15125AC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0.1493 </w:t>
            </w:r>
          </w:p>
        </w:tc>
        <w:tc>
          <w:tcPr>
            <w:tcW w:w="1213" w:type="dxa"/>
            <w:vAlign w:val="center"/>
          </w:tcPr>
          <w:p w14:paraId="62D1380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r>
      <w:tr w14:paraId="7A2151C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14B4D9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3000</w:t>
            </w:r>
          </w:p>
        </w:tc>
        <w:tc>
          <w:tcPr>
            <w:tcW w:w="1265" w:type="dxa"/>
            <w:vAlign w:val="center"/>
          </w:tcPr>
          <w:p w14:paraId="5F7D7A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0.0126 </w:t>
            </w:r>
          </w:p>
        </w:tc>
        <w:tc>
          <w:tcPr>
            <w:tcW w:w="1199" w:type="dxa"/>
            <w:vAlign w:val="center"/>
          </w:tcPr>
          <w:p w14:paraId="7527B52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266" w:type="dxa"/>
            <w:vAlign w:val="center"/>
          </w:tcPr>
          <w:p w14:paraId="0CC9EEE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0.0007 </w:t>
            </w:r>
          </w:p>
        </w:tc>
        <w:tc>
          <w:tcPr>
            <w:tcW w:w="1199" w:type="dxa"/>
            <w:vAlign w:val="center"/>
          </w:tcPr>
          <w:p w14:paraId="0816D42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266" w:type="dxa"/>
            <w:vAlign w:val="center"/>
          </w:tcPr>
          <w:p w14:paraId="3CE300B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0.0906 </w:t>
            </w:r>
          </w:p>
        </w:tc>
        <w:tc>
          <w:tcPr>
            <w:tcW w:w="1213" w:type="dxa"/>
            <w:vAlign w:val="center"/>
          </w:tcPr>
          <w:p w14:paraId="0E3B899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72EB0D7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2995C75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4000</w:t>
            </w:r>
          </w:p>
        </w:tc>
        <w:tc>
          <w:tcPr>
            <w:tcW w:w="1265" w:type="dxa"/>
            <w:vAlign w:val="center"/>
          </w:tcPr>
          <w:p w14:paraId="1393F68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0.0088 </w:t>
            </w:r>
          </w:p>
        </w:tc>
        <w:tc>
          <w:tcPr>
            <w:tcW w:w="1199" w:type="dxa"/>
            <w:vAlign w:val="center"/>
          </w:tcPr>
          <w:p w14:paraId="51D47D4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3688C5E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0.0005 </w:t>
            </w:r>
          </w:p>
        </w:tc>
        <w:tc>
          <w:tcPr>
            <w:tcW w:w="1199" w:type="dxa"/>
            <w:vAlign w:val="center"/>
          </w:tcPr>
          <w:p w14:paraId="075B80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266" w:type="dxa"/>
            <w:vAlign w:val="center"/>
          </w:tcPr>
          <w:p w14:paraId="1ACE14E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0.0630 </w:t>
            </w:r>
          </w:p>
        </w:tc>
        <w:tc>
          <w:tcPr>
            <w:tcW w:w="1213" w:type="dxa"/>
            <w:vAlign w:val="center"/>
          </w:tcPr>
          <w:p w14:paraId="6EF5E4A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690EBA6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28781ED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5000</w:t>
            </w:r>
          </w:p>
        </w:tc>
        <w:tc>
          <w:tcPr>
            <w:tcW w:w="1265" w:type="dxa"/>
            <w:vAlign w:val="center"/>
          </w:tcPr>
          <w:p w14:paraId="33CDE49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0.0066 </w:t>
            </w:r>
          </w:p>
        </w:tc>
        <w:tc>
          <w:tcPr>
            <w:tcW w:w="1199" w:type="dxa"/>
            <w:vAlign w:val="center"/>
          </w:tcPr>
          <w:p w14:paraId="102704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22DC385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0.0004 </w:t>
            </w:r>
          </w:p>
        </w:tc>
        <w:tc>
          <w:tcPr>
            <w:tcW w:w="1199" w:type="dxa"/>
            <w:vAlign w:val="center"/>
          </w:tcPr>
          <w:p w14:paraId="48C4A6F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56E41C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0.0474 </w:t>
            </w:r>
          </w:p>
        </w:tc>
        <w:tc>
          <w:tcPr>
            <w:tcW w:w="1213" w:type="dxa"/>
            <w:vAlign w:val="center"/>
          </w:tcPr>
          <w:p w14:paraId="48E972E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3F03F57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09F57A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10000</w:t>
            </w:r>
          </w:p>
        </w:tc>
        <w:tc>
          <w:tcPr>
            <w:tcW w:w="1265" w:type="dxa"/>
            <w:vAlign w:val="center"/>
          </w:tcPr>
          <w:p w14:paraId="687DB9F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0.0027 </w:t>
            </w:r>
          </w:p>
        </w:tc>
        <w:tc>
          <w:tcPr>
            <w:tcW w:w="1199" w:type="dxa"/>
            <w:vAlign w:val="center"/>
          </w:tcPr>
          <w:p w14:paraId="2741704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5E330D3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0.0002 </w:t>
            </w:r>
          </w:p>
        </w:tc>
        <w:tc>
          <w:tcPr>
            <w:tcW w:w="1199" w:type="dxa"/>
            <w:vAlign w:val="center"/>
          </w:tcPr>
          <w:p w14:paraId="310B4D6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000791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0.0193 </w:t>
            </w:r>
          </w:p>
        </w:tc>
        <w:tc>
          <w:tcPr>
            <w:tcW w:w="1213" w:type="dxa"/>
            <w:vAlign w:val="center"/>
          </w:tcPr>
          <w:p w14:paraId="1EC2E72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0FF10DE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63715F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20000</w:t>
            </w:r>
          </w:p>
        </w:tc>
        <w:tc>
          <w:tcPr>
            <w:tcW w:w="1265" w:type="dxa"/>
            <w:vAlign w:val="center"/>
          </w:tcPr>
          <w:p w14:paraId="49AAFD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0.0012 </w:t>
            </w:r>
          </w:p>
        </w:tc>
        <w:tc>
          <w:tcPr>
            <w:tcW w:w="1199" w:type="dxa"/>
            <w:vAlign w:val="center"/>
          </w:tcPr>
          <w:p w14:paraId="4B284DC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4AB8E48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0.0001 </w:t>
            </w:r>
          </w:p>
        </w:tc>
        <w:tc>
          <w:tcPr>
            <w:tcW w:w="1199" w:type="dxa"/>
            <w:vAlign w:val="center"/>
          </w:tcPr>
          <w:p w14:paraId="5A7DA4C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43C344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0.0086 </w:t>
            </w:r>
          </w:p>
        </w:tc>
        <w:tc>
          <w:tcPr>
            <w:tcW w:w="1213" w:type="dxa"/>
            <w:vAlign w:val="center"/>
          </w:tcPr>
          <w:p w14:paraId="5DC9C30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57E5516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118" w:type="dxa"/>
            <w:vAlign w:val="center"/>
          </w:tcPr>
          <w:p w14:paraId="2889913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25000</w:t>
            </w:r>
          </w:p>
        </w:tc>
        <w:tc>
          <w:tcPr>
            <w:tcW w:w="1265" w:type="dxa"/>
            <w:vAlign w:val="center"/>
          </w:tcPr>
          <w:p w14:paraId="1859DAC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0.0010 </w:t>
            </w:r>
          </w:p>
        </w:tc>
        <w:tc>
          <w:tcPr>
            <w:tcW w:w="1199" w:type="dxa"/>
            <w:vAlign w:val="center"/>
          </w:tcPr>
          <w:p w14:paraId="2B7BDED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34B32A9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0.0001 </w:t>
            </w:r>
          </w:p>
        </w:tc>
        <w:tc>
          <w:tcPr>
            <w:tcW w:w="1199" w:type="dxa"/>
            <w:vAlign w:val="center"/>
          </w:tcPr>
          <w:p w14:paraId="07E9950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266" w:type="dxa"/>
            <w:vAlign w:val="center"/>
          </w:tcPr>
          <w:p w14:paraId="4B82DAA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0.0074 </w:t>
            </w:r>
          </w:p>
        </w:tc>
        <w:tc>
          <w:tcPr>
            <w:tcW w:w="1213" w:type="dxa"/>
            <w:vAlign w:val="center"/>
          </w:tcPr>
          <w:p w14:paraId="01BD19E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0FDF179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5" w:type="pct"/>
            <w:vAlign w:val="center"/>
          </w:tcPr>
          <w:p w14:paraId="689F3B7A">
            <w:pPr>
              <w:pStyle w:val="68"/>
              <w:rPr>
                <w:rFonts w:hint="default" w:ascii="Times New Roman" w:hAnsi="Times New Roman" w:eastAsia="宋体" w:cs="Times New Roman"/>
                <w:i w:val="0"/>
                <w:iCs w:val="0"/>
                <w:color w:val="000000"/>
                <w:kern w:val="0"/>
                <w:sz w:val="21"/>
                <w:szCs w:val="21"/>
                <w:u w:val="none"/>
                <w:lang w:val="en-US" w:eastAsia="zh-CN" w:bidi="ar"/>
              </w:rPr>
            </w:pPr>
            <w:r>
              <w:rPr>
                <w:rFonts w:hint="eastAsia"/>
              </w:rPr>
              <w:t>下风向最大浓度</w:t>
            </w:r>
          </w:p>
        </w:tc>
        <w:tc>
          <w:tcPr>
            <w:tcW w:w="1264" w:type="dxa"/>
            <w:vAlign w:val="center"/>
          </w:tcPr>
          <w:p w14:paraId="761D15B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0.6341 </w:t>
            </w:r>
          </w:p>
        </w:tc>
        <w:tc>
          <w:tcPr>
            <w:tcW w:w="1199" w:type="dxa"/>
            <w:vAlign w:val="center"/>
          </w:tcPr>
          <w:p w14:paraId="3098EC7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0.32 </w:t>
            </w:r>
          </w:p>
        </w:tc>
        <w:tc>
          <w:tcPr>
            <w:tcW w:w="1265" w:type="dxa"/>
            <w:vAlign w:val="center"/>
          </w:tcPr>
          <w:p w14:paraId="76BE3CF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0.0367 </w:t>
            </w:r>
          </w:p>
        </w:tc>
        <w:tc>
          <w:tcPr>
            <w:tcW w:w="1199" w:type="dxa"/>
            <w:vAlign w:val="center"/>
          </w:tcPr>
          <w:p w14:paraId="148A6F2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0.37 </w:t>
            </w:r>
          </w:p>
        </w:tc>
        <w:tc>
          <w:tcPr>
            <w:tcW w:w="1265" w:type="dxa"/>
            <w:vAlign w:val="center"/>
          </w:tcPr>
          <w:p w14:paraId="542850D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4.5477 </w:t>
            </w:r>
          </w:p>
        </w:tc>
        <w:tc>
          <w:tcPr>
            <w:tcW w:w="1216" w:type="dxa"/>
            <w:vAlign w:val="center"/>
          </w:tcPr>
          <w:p w14:paraId="25E4DC3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0.23 </w:t>
            </w:r>
          </w:p>
        </w:tc>
      </w:tr>
      <w:tr w14:paraId="7C4BE87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5" w:type="pct"/>
            <w:vAlign w:val="center"/>
          </w:tcPr>
          <w:p w14:paraId="7C2312B9">
            <w:pPr>
              <w:pStyle w:val="68"/>
              <w:rPr>
                <w:rFonts w:hint="eastAsia" w:ascii="Times New Roman" w:hAnsi="Times New Roman" w:eastAsia="宋体" w:cs="Times New Roman"/>
                <w:i w:val="0"/>
                <w:iCs w:val="0"/>
                <w:color w:val="000000"/>
                <w:kern w:val="0"/>
                <w:sz w:val="21"/>
                <w:szCs w:val="21"/>
                <w:u w:val="none"/>
                <w:lang w:val="en-US" w:eastAsia="zh-CN" w:bidi="ar"/>
              </w:rPr>
            </w:pPr>
            <w:r>
              <w:rPr>
                <w:rFonts w:hint="eastAsia"/>
              </w:rPr>
              <w:t>下风向最大浓度出现距离</w:t>
            </w:r>
            <w:r>
              <w:rPr>
                <w:rFonts w:hint="eastAsia" w:eastAsia="宋体"/>
                <w:lang w:eastAsia="zh-CN"/>
              </w:rPr>
              <w:t>（</w:t>
            </w:r>
            <w:r>
              <w:rPr>
                <w:rFonts w:hint="eastAsia" w:eastAsia="宋体"/>
                <w:lang w:val="en-US" w:eastAsia="zh-CN"/>
              </w:rPr>
              <w:t>m</w:t>
            </w:r>
            <w:r>
              <w:rPr>
                <w:rFonts w:hint="eastAsia" w:eastAsia="宋体"/>
                <w:lang w:eastAsia="zh-CN"/>
              </w:rPr>
              <w:t>）</w:t>
            </w:r>
          </w:p>
        </w:tc>
        <w:tc>
          <w:tcPr>
            <w:tcW w:w="741" w:type="pct"/>
            <w:vAlign w:val="center"/>
          </w:tcPr>
          <w:p w14:paraId="6474609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w:t>
            </w:r>
          </w:p>
        </w:tc>
        <w:tc>
          <w:tcPr>
            <w:tcW w:w="1199" w:type="dxa"/>
            <w:vAlign w:val="center"/>
          </w:tcPr>
          <w:p w14:paraId="193E8C2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w:t>
            </w:r>
          </w:p>
        </w:tc>
        <w:tc>
          <w:tcPr>
            <w:tcW w:w="1265" w:type="dxa"/>
            <w:vAlign w:val="center"/>
          </w:tcPr>
          <w:p w14:paraId="787FF8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w:t>
            </w:r>
          </w:p>
        </w:tc>
        <w:tc>
          <w:tcPr>
            <w:tcW w:w="1199" w:type="dxa"/>
            <w:vAlign w:val="center"/>
          </w:tcPr>
          <w:p w14:paraId="7D66286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w:t>
            </w:r>
          </w:p>
        </w:tc>
        <w:tc>
          <w:tcPr>
            <w:tcW w:w="1265" w:type="dxa"/>
            <w:vAlign w:val="center"/>
          </w:tcPr>
          <w:p w14:paraId="0E06FF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w:t>
            </w:r>
          </w:p>
        </w:tc>
        <w:tc>
          <w:tcPr>
            <w:tcW w:w="1216" w:type="dxa"/>
            <w:vAlign w:val="center"/>
          </w:tcPr>
          <w:p w14:paraId="676A26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w:t>
            </w:r>
          </w:p>
        </w:tc>
      </w:tr>
      <w:tr w14:paraId="64CBEE3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55" w:type="pct"/>
            <w:vAlign w:val="center"/>
          </w:tcPr>
          <w:p w14:paraId="76C20EC5">
            <w:pPr>
              <w:pStyle w:val="68"/>
              <w:rPr>
                <w:rFonts w:hint="eastAsia" w:ascii="Times New Roman" w:hAnsi="Times New Roman" w:eastAsia="宋体" w:cs="Times New Roman"/>
                <w:i w:val="0"/>
                <w:iCs w:val="0"/>
                <w:color w:val="000000"/>
                <w:kern w:val="0"/>
                <w:sz w:val="21"/>
                <w:szCs w:val="21"/>
                <w:u w:val="none"/>
                <w:lang w:val="en-US" w:eastAsia="zh-CN" w:bidi="ar"/>
              </w:rPr>
            </w:pPr>
            <w:r>
              <w:rPr>
                <w:rFonts w:hint="eastAsia"/>
              </w:rPr>
              <w:t>D10%最远距离</w:t>
            </w:r>
            <w:r>
              <w:rPr>
                <w:rFonts w:hint="eastAsia" w:eastAsia="宋体"/>
                <w:lang w:eastAsia="zh-CN"/>
              </w:rPr>
              <w:t>（</w:t>
            </w:r>
            <w:r>
              <w:rPr>
                <w:rFonts w:hint="eastAsia" w:eastAsia="宋体"/>
                <w:lang w:val="en-US" w:eastAsia="zh-CN"/>
              </w:rPr>
              <w:t>m</w:t>
            </w:r>
            <w:r>
              <w:rPr>
                <w:rFonts w:hint="eastAsia" w:eastAsia="宋体"/>
                <w:lang w:eastAsia="zh-CN"/>
              </w:rPr>
              <w:t>）</w:t>
            </w:r>
          </w:p>
        </w:tc>
        <w:tc>
          <w:tcPr>
            <w:tcW w:w="741" w:type="pct"/>
            <w:vAlign w:val="center"/>
          </w:tcPr>
          <w:p w14:paraId="6152A26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703" w:type="pct"/>
            <w:vAlign w:val="center"/>
          </w:tcPr>
          <w:p w14:paraId="5D7B97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742" w:type="pct"/>
            <w:vAlign w:val="center"/>
          </w:tcPr>
          <w:p w14:paraId="343F86F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703" w:type="pct"/>
            <w:vAlign w:val="center"/>
          </w:tcPr>
          <w:p w14:paraId="6986455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742" w:type="pct"/>
            <w:vAlign w:val="center"/>
          </w:tcPr>
          <w:p w14:paraId="095B1F3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711" w:type="pct"/>
            <w:vAlign w:val="center"/>
          </w:tcPr>
          <w:p w14:paraId="4058125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r>
    </w:tbl>
    <w:p w14:paraId="30CDC90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26" w:charSpace="0"/>
        </w:sectPr>
      </w:pPr>
    </w:p>
    <w:p w14:paraId="49C2A55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正常工况下污水处理设施无组织污染物估算模式计算结果表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740"/>
        <w:gridCol w:w="1861"/>
        <w:gridCol w:w="1528"/>
        <w:gridCol w:w="1883"/>
        <w:gridCol w:w="1513"/>
      </w:tblGrid>
      <w:tr w14:paraId="1CE88DB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blHeader/>
          <w:jc w:val="center"/>
        </w:trPr>
        <w:tc>
          <w:tcPr>
            <w:tcW w:w="1021" w:type="pct"/>
            <w:vMerge w:val="restart"/>
            <w:vAlign w:val="center"/>
          </w:tcPr>
          <w:p w14:paraId="45E4D263">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下风向距离（m）</w:t>
            </w:r>
          </w:p>
        </w:tc>
        <w:tc>
          <w:tcPr>
            <w:tcW w:w="3978" w:type="pct"/>
            <w:gridSpan w:val="4"/>
            <w:vAlign w:val="center"/>
          </w:tcPr>
          <w:p w14:paraId="6D5231AF">
            <w:pPr>
              <w:pStyle w:val="68"/>
              <w:keepNext w:val="0"/>
              <w:keepLines w:val="0"/>
              <w:pageBreakBefore w:val="0"/>
              <w:widowControl w:val="0"/>
              <w:kinsoku/>
              <w:wordWrap/>
              <w:overflowPunct/>
              <w:topLinePunct w:val="0"/>
              <w:bidi w:val="0"/>
              <w:jc w:val="center"/>
              <w:rPr>
                <w:rFonts w:hint="eastAsia"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污水处理设施无组织废气</w:t>
            </w:r>
          </w:p>
        </w:tc>
      </w:tr>
      <w:tr w14:paraId="34B4A93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Merge w:val="continue"/>
            <w:vAlign w:val="center"/>
          </w:tcPr>
          <w:p w14:paraId="6A138F36">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91" w:type="pct"/>
            <w:vAlign w:val="center"/>
          </w:tcPr>
          <w:p w14:paraId="7FBAF38A">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NH</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浓度</w:t>
            </w:r>
            <w:r>
              <w:rPr>
                <w:rFonts w:hint="default" w:ascii="Times New Roman" w:hAnsi="Times New Roman" w:eastAsia="宋体" w:cs="Times New Roman"/>
                <w:color w:val="000000" w:themeColor="text1"/>
                <w:sz w:val="21"/>
                <w:szCs w:val="21"/>
                <w:u w:val="none" w:color="auto"/>
                <w14:textFill>
                  <w14:solidFill>
                    <w14:schemeClr w14:val="tx1"/>
                  </w14:solidFill>
                </w14:textFill>
              </w:rPr>
              <w:t>（μg/m³）</w:t>
            </w:r>
          </w:p>
        </w:tc>
        <w:tc>
          <w:tcPr>
            <w:tcW w:w="896" w:type="pct"/>
            <w:vAlign w:val="center"/>
          </w:tcPr>
          <w:p w14:paraId="0424668E">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占标率（%）</w:t>
            </w:r>
          </w:p>
        </w:tc>
        <w:tc>
          <w:tcPr>
            <w:tcW w:w="1104" w:type="pct"/>
            <w:vAlign w:val="center"/>
          </w:tcPr>
          <w:p w14:paraId="24A68768">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sz w:val="21"/>
                <w:szCs w:val="21"/>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S浓度</w:t>
            </w:r>
            <w:r>
              <w:rPr>
                <w:rFonts w:hint="default" w:ascii="Times New Roman" w:hAnsi="Times New Roman" w:eastAsia="宋体" w:cs="Times New Roman"/>
                <w:color w:val="000000" w:themeColor="text1"/>
                <w:sz w:val="21"/>
                <w:szCs w:val="21"/>
                <w:u w:val="none" w:color="auto"/>
                <w14:textFill>
                  <w14:solidFill>
                    <w14:schemeClr w14:val="tx1"/>
                  </w14:solidFill>
                </w14:textFill>
              </w:rPr>
              <w:t>（μg/m³）</w:t>
            </w:r>
          </w:p>
        </w:tc>
        <w:tc>
          <w:tcPr>
            <w:tcW w:w="886" w:type="pct"/>
            <w:vAlign w:val="center"/>
          </w:tcPr>
          <w:p w14:paraId="14A21DBE">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占标率（%）</w:t>
            </w:r>
          </w:p>
        </w:tc>
      </w:tr>
      <w:tr w14:paraId="062D37A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500030C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w:t>
            </w:r>
          </w:p>
        </w:tc>
        <w:tc>
          <w:tcPr>
            <w:tcW w:w="1091" w:type="pct"/>
            <w:vAlign w:val="center"/>
          </w:tcPr>
          <w:p w14:paraId="4F0DD1C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0.1057 </w:t>
            </w:r>
          </w:p>
        </w:tc>
        <w:tc>
          <w:tcPr>
            <w:tcW w:w="896" w:type="pct"/>
            <w:vAlign w:val="center"/>
          </w:tcPr>
          <w:p w14:paraId="4F8BD28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0.05 </w:t>
            </w:r>
          </w:p>
        </w:tc>
        <w:tc>
          <w:tcPr>
            <w:tcW w:w="1104" w:type="pct"/>
            <w:vAlign w:val="center"/>
          </w:tcPr>
          <w:p w14:paraId="128512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0.0042 </w:t>
            </w:r>
          </w:p>
        </w:tc>
        <w:tc>
          <w:tcPr>
            <w:tcW w:w="886" w:type="pct"/>
            <w:vAlign w:val="center"/>
          </w:tcPr>
          <w:p w14:paraId="5BD45E0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0.04 </w:t>
            </w:r>
          </w:p>
        </w:tc>
      </w:tr>
      <w:tr w14:paraId="17F1CC4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59709C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w:t>
            </w:r>
          </w:p>
        </w:tc>
        <w:tc>
          <w:tcPr>
            <w:tcW w:w="1091" w:type="pct"/>
            <w:vAlign w:val="center"/>
          </w:tcPr>
          <w:p w14:paraId="26E20B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0.0388 </w:t>
            </w:r>
          </w:p>
        </w:tc>
        <w:tc>
          <w:tcPr>
            <w:tcW w:w="896" w:type="pct"/>
            <w:vAlign w:val="center"/>
          </w:tcPr>
          <w:p w14:paraId="1DED0C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0.02 </w:t>
            </w:r>
          </w:p>
        </w:tc>
        <w:tc>
          <w:tcPr>
            <w:tcW w:w="1104" w:type="pct"/>
            <w:vAlign w:val="center"/>
          </w:tcPr>
          <w:p w14:paraId="636B109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0.0015 </w:t>
            </w:r>
          </w:p>
        </w:tc>
        <w:tc>
          <w:tcPr>
            <w:tcW w:w="886" w:type="pct"/>
            <w:vAlign w:val="center"/>
          </w:tcPr>
          <w:p w14:paraId="0F19357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0.02 </w:t>
            </w:r>
          </w:p>
        </w:tc>
      </w:tr>
      <w:tr w14:paraId="2C2C012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55D2D4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100</w:t>
            </w:r>
          </w:p>
        </w:tc>
        <w:tc>
          <w:tcPr>
            <w:tcW w:w="1091" w:type="pct"/>
            <w:vAlign w:val="center"/>
          </w:tcPr>
          <w:p w14:paraId="0484D14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0.0254 </w:t>
            </w:r>
          </w:p>
        </w:tc>
        <w:tc>
          <w:tcPr>
            <w:tcW w:w="896" w:type="pct"/>
            <w:vAlign w:val="center"/>
          </w:tcPr>
          <w:p w14:paraId="25A46A6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104" w:type="pct"/>
            <w:vAlign w:val="center"/>
          </w:tcPr>
          <w:p w14:paraId="4604C6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0.0010 </w:t>
            </w:r>
          </w:p>
        </w:tc>
        <w:tc>
          <w:tcPr>
            <w:tcW w:w="886" w:type="pct"/>
            <w:vAlign w:val="center"/>
          </w:tcPr>
          <w:p w14:paraId="790EB76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r>
      <w:tr w14:paraId="21AC8BF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6B6B1F2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125</w:t>
            </w:r>
          </w:p>
        </w:tc>
        <w:tc>
          <w:tcPr>
            <w:tcW w:w="1091" w:type="pct"/>
            <w:vAlign w:val="center"/>
          </w:tcPr>
          <w:p w14:paraId="07A63F2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0.0229</w:t>
            </w:r>
          </w:p>
        </w:tc>
        <w:tc>
          <w:tcPr>
            <w:tcW w:w="896" w:type="pct"/>
            <w:vAlign w:val="center"/>
          </w:tcPr>
          <w:p w14:paraId="63D3BB8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0.01</w:t>
            </w:r>
          </w:p>
        </w:tc>
        <w:tc>
          <w:tcPr>
            <w:tcW w:w="1104" w:type="pct"/>
            <w:vAlign w:val="center"/>
          </w:tcPr>
          <w:p w14:paraId="1FAFEC1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0.0009</w:t>
            </w:r>
          </w:p>
        </w:tc>
        <w:tc>
          <w:tcPr>
            <w:tcW w:w="886" w:type="pct"/>
            <w:vAlign w:val="center"/>
          </w:tcPr>
          <w:p w14:paraId="7425582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0.01</w:t>
            </w:r>
          </w:p>
        </w:tc>
      </w:tr>
      <w:tr w14:paraId="34945D3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01EBD60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200</w:t>
            </w:r>
          </w:p>
        </w:tc>
        <w:tc>
          <w:tcPr>
            <w:tcW w:w="1091" w:type="pct"/>
            <w:vAlign w:val="center"/>
          </w:tcPr>
          <w:p w14:paraId="391AD8F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0.0170 </w:t>
            </w:r>
          </w:p>
        </w:tc>
        <w:tc>
          <w:tcPr>
            <w:tcW w:w="896" w:type="pct"/>
            <w:vAlign w:val="center"/>
          </w:tcPr>
          <w:p w14:paraId="73C7DE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104" w:type="pct"/>
            <w:vAlign w:val="center"/>
          </w:tcPr>
          <w:p w14:paraId="4CF634C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0.0007 </w:t>
            </w:r>
          </w:p>
        </w:tc>
        <w:tc>
          <w:tcPr>
            <w:tcW w:w="886" w:type="pct"/>
            <w:vAlign w:val="center"/>
          </w:tcPr>
          <w:p w14:paraId="525D50B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r>
      <w:tr w14:paraId="6062468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79A091B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300</w:t>
            </w:r>
          </w:p>
        </w:tc>
        <w:tc>
          <w:tcPr>
            <w:tcW w:w="1091" w:type="pct"/>
            <w:vAlign w:val="center"/>
          </w:tcPr>
          <w:p w14:paraId="6DD4B92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0.0128 </w:t>
            </w:r>
          </w:p>
        </w:tc>
        <w:tc>
          <w:tcPr>
            <w:tcW w:w="896" w:type="pct"/>
            <w:vAlign w:val="center"/>
          </w:tcPr>
          <w:p w14:paraId="126066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104" w:type="pct"/>
            <w:vAlign w:val="center"/>
          </w:tcPr>
          <w:p w14:paraId="405684F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0.0005 </w:t>
            </w:r>
          </w:p>
        </w:tc>
        <w:tc>
          <w:tcPr>
            <w:tcW w:w="886" w:type="pct"/>
            <w:vAlign w:val="center"/>
          </w:tcPr>
          <w:p w14:paraId="3C6F2CB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r>
      <w:tr w14:paraId="7D4DF69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077A8A1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400</w:t>
            </w:r>
          </w:p>
        </w:tc>
        <w:tc>
          <w:tcPr>
            <w:tcW w:w="1091" w:type="pct"/>
            <w:vAlign w:val="center"/>
          </w:tcPr>
          <w:p w14:paraId="7E3C46B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0.0104 </w:t>
            </w:r>
          </w:p>
        </w:tc>
        <w:tc>
          <w:tcPr>
            <w:tcW w:w="896" w:type="pct"/>
            <w:vAlign w:val="center"/>
          </w:tcPr>
          <w:p w14:paraId="4836324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 </w:t>
            </w:r>
          </w:p>
        </w:tc>
        <w:tc>
          <w:tcPr>
            <w:tcW w:w="1104" w:type="pct"/>
            <w:vAlign w:val="center"/>
          </w:tcPr>
          <w:p w14:paraId="68A6F55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0.0004 </w:t>
            </w:r>
          </w:p>
        </w:tc>
        <w:tc>
          <w:tcPr>
            <w:tcW w:w="886" w:type="pct"/>
            <w:vAlign w:val="center"/>
          </w:tcPr>
          <w:p w14:paraId="256C396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0FD9344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67CAC87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500</w:t>
            </w:r>
          </w:p>
        </w:tc>
        <w:tc>
          <w:tcPr>
            <w:tcW w:w="1091" w:type="pct"/>
            <w:vAlign w:val="center"/>
          </w:tcPr>
          <w:p w14:paraId="4094340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0.0087 </w:t>
            </w:r>
          </w:p>
        </w:tc>
        <w:tc>
          <w:tcPr>
            <w:tcW w:w="896" w:type="pct"/>
            <w:vAlign w:val="center"/>
          </w:tcPr>
          <w:p w14:paraId="268E6F4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104" w:type="pct"/>
            <w:vAlign w:val="center"/>
          </w:tcPr>
          <w:p w14:paraId="147E144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0.0003 </w:t>
            </w:r>
          </w:p>
        </w:tc>
        <w:tc>
          <w:tcPr>
            <w:tcW w:w="886" w:type="pct"/>
            <w:vAlign w:val="center"/>
          </w:tcPr>
          <w:p w14:paraId="74742AE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7ACD518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3FF1D8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1000</w:t>
            </w:r>
          </w:p>
        </w:tc>
        <w:tc>
          <w:tcPr>
            <w:tcW w:w="1091" w:type="pct"/>
            <w:vAlign w:val="center"/>
          </w:tcPr>
          <w:p w14:paraId="25E484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0.0044 </w:t>
            </w:r>
          </w:p>
        </w:tc>
        <w:tc>
          <w:tcPr>
            <w:tcW w:w="896" w:type="pct"/>
            <w:vAlign w:val="center"/>
          </w:tcPr>
          <w:p w14:paraId="6C991E2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104" w:type="pct"/>
            <w:vAlign w:val="center"/>
          </w:tcPr>
          <w:p w14:paraId="4721565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0.0002 </w:t>
            </w:r>
          </w:p>
        </w:tc>
        <w:tc>
          <w:tcPr>
            <w:tcW w:w="886" w:type="pct"/>
            <w:vAlign w:val="center"/>
          </w:tcPr>
          <w:p w14:paraId="387E52B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3C3D0C3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1D88280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5000</w:t>
            </w:r>
          </w:p>
        </w:tc>
        <w:tc>
          <w:tcPr>
            <w:tcW w:w="1091" w:type="pct"/>
            <w:vAlign w:val="center"/>
          </w:tcPr>
          <w:p w14:paraId="42EBFEB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0.0006 </w:t>
            </w:r>
          </w:p>
        </w:tc>
        <w:tc>
          <w:tcPr>
            <w:tcW w:w="896" w:type="pct"/>
            <w:vAlign w:val="center"/>
          </w:tcPr>
          <w:p w14:paraId="322BB3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104" w:type="pct"/>
            <w:vAlign w:val="center"/>
          </w:tcPr>
          <w:p w14:paraId="4A48E07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0.0000 </w:t>
            </w:r>
          </w:p>
        </w:tc>
        <w:tc>
          <w:tcPr>
            <w:tcW w:w="886" w:type="pct"/>
            <w:vAlign w:val="center"/>
          </w:tcPr>
          <w:p w14:paraId="0186C00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53E447E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66A6D64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10000</w:t>
            </w:r>
          </w:p>
        </w:tc>
        <w:tc>
          <w:tcPr>
            <w:tcW w:w="1091" w:type="pct"/>
            <w:vAlign w:val="center"/>
          </w:tcPr>
          <w:p w14:paraId="05D787E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0.0003 </w:t>
            </w:r>
          </w:p>
        </w:tc>
        <w:tc>
          <w:tcPr>
            <w:tcW w:w="896" w:type="pct"/>
            <w:vAlign w:val="center"/>
          </w:tcPr>
          <w:p w14:paraId="1B271A3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104" w:type="pct"/>
            <w:vAlign w:val="center"/>
          </w:tcPr>
          <w:p w14:paraId="4E7AF7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0.0000 </w:t>
            </w:r>
          </w:p>
        </w:tc>
        <w:tc>
          <w:tcPr>
            <w:tcW w:w="886" w:type="pct"/>
            <w:vAlign w:val="center"/>
          </w:tcPr>
          <w:p w14:paraId="6913D6F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0842796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2132CF6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20000</w:t>
            </w:r>
          </w:p>
        </w:tc>
        <w:tc>
          <w:tcPr>
            <w:tcW w:w="1091" w:type="pct"/>
            <w:vAlign w:val="center"/>
          </w:tcPr>
          <w:p w14:paraId="76226D3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0.0001 </w:t>
            </w:r>
          </w:p>
        </w:tc>
        <w:tc>
          <w:tcPr>
            <w:tcW w:w="896" w:type="pct"/>
            <w:vAlign w:val="center"/>
          </w:tcPr>
          <w:p w14:paraId="6701B08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104" w:type="pct"/>
            <w:vAlign w:val="center"/>
          </w:tcPr>
          <w:p w14:paraId="3B7EBE2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0.0000 </w:t>
            </w:r>
          </w:p>
        </w:tc>
        <w:tc>
          <w:tcPr>
            <w:tcW w:w="886" w:type="pct"/>
            <w:vAlign w:val="center"/>
          </w:tcPr>
          <w:p w14:paraId="041CC9C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3EA2168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33BCDBB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25000</w:t>
            </w:r>
          </w:p>
        </w:tc>
        <w:tc>
          <w:tcPr>
            <w:tcW w:w="1091" w:type="pct"/>
            <w:vAlign w:val="center"/>
          </w:tcPr>
          <w:p w14:paraId="02D6E11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0.0001 </w:t>
            </w:r>
          </w:p>
        </w:tc>
        <w:tc>
          <w:tcPr>
            <w:tcW w:w="896" w:type="pct"/>
            <w:vAlign w:val="center"/>
          </w:tcPr>
          <w:p w14:paraId="37797B2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c>
          <w:tcPr>
            <w:tcW w:w="1104" w:type="pct"/>
            <w:vAlign w:val="center"/>
          </w:tcPr>
          <w:p w14:paraId="05CB1D8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0.0000 </w:t>
            </w:r>
          </w:p>
        </w:tc>
        <w:tc>
          <w:tcPr>
            <w:tcW w:w="886" w:type="pct"/>
            <w:vAlign w:val="center"/>
          </w:tcPr>
          <w:p w14:paraId="43EE1E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 </w:t>
            </w:r>
          </w:p>
        </w:tc>
      </w:tr>
      <w:tr w14:paraId="7C2C91B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788675F8">
            <w:pPr>
              <w:pStyle w:val="68"/>
              <w:rPr>
                <w:rFonts w:hint="default" w:ascii="Times New Roman" w:hAnsi="Times New Roman" w:eastAsia="宋体" w:cs="Times New Roman"/>
                <w:i w:val="0"/>
                <w:iCs w:val="0"/>
                <w:color w:val="000000"/>
                <w:kern w:val="0"/>
                <w:sz w:val="21"/>
                <w:szCs w:val="21"/>
                <w:u w:val="none"/>
                <w:lang w:val="en-US" w:eastAsia="zh-CN" w:bidi="ar"/>
              </w:rPr>
            </w:pPr>
            <w:r>
              <w:rPr>
                <w:rFonts w:hint="eastAsia"/>
              </w:rPr>
              <w:t>下风向最大浓度</w:t>
            </w:r>
          </w:p>
        </w:tc>
        <w:tc>
          <w:tcPr>
            <w:tcW w:w="1091" w:type="pct"/>
            <w:vAlign w:val="center"/>
          </w:tcPr>
          <w:p w14:paraId="7A3C2DC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0.1057 </w:t>
            </w:r>
          </w:p>
        </w:tc>
        <w:tc>
          <w:tcPr>
            <w:tcW w:w="896" w:type="pct"/>
            <w:vAlign w:val="center"/>
          </w:tcPr>
          <w:p w14:paraId="2705E0A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0.05 </w:t>
            </w:r>
          </w:p>
        </w:tc>
        <w:tc>
          <w:tcPr>
            <w:tcW w:w="1104" w:type="pct"/>
            <w:vAlign w:val="center"/>
          </w:tcPr>
          <w:p w14:paraId="0CBB160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0.0042 </w:t>
            </w:r>
          </w:p>
        </w:tc>
        <w:tc>
          <w:tcPr>
            <w:tcW w:w="886" w:type="pct"/>
            <w:vAlign w:val="center"/>
          </w:tcPr>
          <w:p w14:paraId="08E8DFF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0.04 </w:t>
            </w:r>
          </w:p>
        </w:tc>
      </w:tr>
      <w:tr w14:paraId="32B8BD4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00D03458">
            <w:pPr>
              <w:pStyle w:val="68"/>
              <w:rPr>
                <w:rFonts w:hint="eastAsia" w:ascii="Times New Roman" w:hAnsi="Times New Roman" w:eastAsia="宋体" w:cs="Times New Roman"/>
                <w:i w:val="0"/>
                <w:iCs w:val="0"/>
                <w:color w:val="000000"/>
                <w:kern w:val="0"/>
                <w:sz w:val="21"/>
                <w:szCs w:val="21"/>
                <w:u w:val="none"/>
                <w:lang w:val="en-US" w:eastAsia="zh-CN" w:bidi="ar"/>
              </w:rPr>
            </w:pPr>
            <w:r>
              <w:rPr>
                <w:rFonts w:hint="eastAsia"/>
              </w:rPr>
              <w:t>下风向最大浓度出现距离</w:t>
            </w:r>
            <w:r>
              <w:rPr>
                <w:rFonts w:hint="eastAsia" w:eastAsia="宋体"/>
                <w:lang w:eastAsia="zh-CN"/>
              </w:rPr>
              <w:t>（</w:t>
            </w:r>
            <w:r>
              <w:rPr>
                <w:rFonts w:hint="eastAsia" w:eastAsia="宋体"/>
                <w:lang w:val="en-US" w:eastAsia="zh-CN"/>
              </w:rPr>
              <w:t>m</w:t>
            </w:r>
            <w:r>
              <w:rPr>
                <w:rFonts w:hint="eastAsia" w:eastAsia="宋体"/>
                <w:lang w:eastAsia="zh-CN"/>
              </w:rPr>
              <w:t>）</w:t>
            </w:r>
          </w:p>
        </w:tc>
        <w:tc>
          <w:tcPr>
            <w:tcW w:w="1091" w:type="pct"/>
            <w:vAlign w:val="center"/>
          </w:tcPr>
          <w:p w14:paraId="38C3B83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w:t>
            </w:r>
          </w:p>
        </w:tc>
        <w:tc>
          <w:tcPr>
            <w:tcW w:w="896" w:type="pct"/>
            <w:vAlign w:val="center"/>
          </w:tcPr>
          <w:p w14:paraId="27F1A4A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w:t>
            </w:r>
          </w:p>
        </w:tc>
        <w:tc>
          <w:tcPr>
            <w:tcW w:w="1104" w:type="pct"/>
            <w:vAlign w:val="center"/>
          </w:tcPr>
          <w:p w14:paraId="1E6B3CE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w:t>
            </w:r>
          </w:p>
        </w:tc>
        <w:tc>
          <w:tcPr>
            <w:tcW w:w="886" w:type="pct"/>
            <w:vAlign w:val="center"/>
          </w:tcPr>
          <w:p w14:paraId="01D6FFD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w:t>
            </w:r>
          </w:p>
        </w:tc>
      </w:tr>
      <w:tr w14:paraId="6FE6692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021" w:type="pct"/>
            <w:vAlign w:val="center"/>
          </w:tcPr>
          <w:p w14:paraId="61C8733C">
            <w:pPr>
              <w:pStyle w:val="68"/>
              <w:rPr>
                <w:rFonts w:hint="eastAsia" w:ascii="Times New Roman" w:hAnsi="Times New Roman" w:eastAsia="宋体" w:cs="Times New Roman"/>
                <w:i w:val="0"/>
                <w:iCs w:val="0"/>
                <w:color w:val="000000"/>
                <w:kern w:val="0"/>
                <w:sz w:val="21"/>
                <w:szCs w:val="21"/>
                <w:u w:val="none"/>
                <w:lang w:val="en-US" w:eastAsia="zh-CN" w:bidi="ar"/>
              </w:rPr>
            </w:pPr>
            <w:r>
              <w:rPr>
                <w:rFonts w:hint="eastAsia"/>
              </w:rPr>
              <w:t>D10%最远距离</w:t>
            </w:r>
            <w:r>
              <w:rPr>
                <w:rFonts w:hint="eastAsia" w:eastAsia="宋体"/>
                <w:lang w:eastAsia="zh-CN"/>
              </w:rPr>
              <w:t>（</w:t>
            </w:r>
            <w:r>
              <w:rPr>
                <w:rFonts w:hint="eastAsia" w:eastAsia="宋体"/>
                <w:lang w:val="en-US" w:eastAsia="zh-CN"/>
              </w:rPr>
              <w:t>m</w:t>
            </w:r>
            <w:r>
              <w:rPr>
                <w:rFonts w:hint="eastAsia" w:eastAsia="宋体"/>
                <w:lang w:eastAsia="zh-CN"/>
              </w:rPr>
              <w:t>）</w:t>
            </w:r>
          </w:p>
        </w:tc>
        <w:tc>
          <w:tcPr>
            <w:tcW w:w="1091" w:type="pct"/>
            <w:vAlign w:val="center"/>
          </w:tcPr>
          <w:p w14:paraId="4ACFF39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896" w:type="pct"/>
            <w:vAlign w:val="center"/>
          </w:tcPr>
          <w:p w14:paraId="1248F31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1104" w:type="pct"/>
            <w:vAlign w:val="center"/>
          </w:tcPr>
          <w:p w14:paraId="122706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886" w:type="pct"/>
            <w:vAlign w:val="center"/>
          </w:tcPr>
          <w:p w14:paraId="1D7B50A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r>
    </w:tbl>
    <w:p w14:paraId="335FD15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12" w:name="_Toc29889"/>
      <w:r>
        <w:rPr>
          <w:rFonts w:hint="eastAsia" w:ascii="Times New Roman" w:hAnsi="Times New Roman" w:eastAsia="宋体" w:cs="Times New Roman"/>
          <w:color w:val="000000" w:themeColor="text1"/>
          <w:u w:val="none" w:color="auto"/>
          <w:lang w:val="en-US" w:eastAsia="zh-CN"/>
          <w14:textFill>
            <w14:solidFill>
              <w14:schemeClr w14:val="tx1"/>
            </w14:solidFill>
          </w14:textFill>
        </w:rPr>
        <w:t>6.2.2 项目废气对环境影响分析</w:t>
      </w:r>
      <w:bookmarkEnd w:id="312"/>
    </w:p>
    <w:p w14:paraId="0662EB55">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项目废气主要来自废弃油脂转运、加工、成品油贮存，以及污水处理设施运行产生的恶臭及挥发性有机气体。</w:t>
      </w:r>
    </w:p>
    <w:p w14:paraId="351483E5">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废弃油脂转运过程容器密闭，且废弃油脂来自园区内食品企业，转运路线上没有居民，对外环境影响很小。</w:t>
      </w:r>
    </w:p>
    <w:p w14:paraId="378A865F">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项目运营期</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有组织排放的氨、硫化氢、臭气浓度执行《恶臭污染物排放标准》（GB 14554-93）表2排放标准要求；非甲烷总烃执行《</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》（GB 16297-1996）表2标准限值要求。无组织排放氨、硫化氢、臭气浓度执行《恶臭污染物排放标准》（GB 14554-93）表1中</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二级新改扩建</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项目的要求；非甲烷总烃执行《</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》（GB 16297-1996）表2标准限值要求</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。对外环境影响很小。</w:t>
      </w:r>
    </w:p>
    <w:p w14:paraId="0DD64D7D">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恶臭污染具有大气污染的一般特性，但是臭感不仅与物质结构、官能团、碳链、极性有关，同时与个人神经系统息息相关，由于大部分恶臭物质嗅阈值低，会出现恶臭污染“达标投诉”的现象。参考《</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餐厨垃圾生化处理机工艺恶臭污染特征研究</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环境工程技术学报</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2023</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年），本项目恶臭特征污染物NH</w:t>
      </w:r>
      <w:r>
        <w:rPr>
          <w:rFonts w:hint="eastAsia" w:ascii="Times New Roman" w:hAnsi="Times New Roman" w:eastAsia="宋体" w:cs="Times New Roman"/>
          <w:color w:val="000000" w:themeColor="text1"/>
          <w:szCs w:val="24"/>
          <w:u w:val="none" w:color="auto"/>
          <w:vertAlign w:val="subscript"/>
          <w:lang w:val="en-US" w:eastAsia="zh-CN"/>
          <w14:textFill>
            <w14:solidFill>
              <w14:schemeClr w14:val="tx1"/>
            </w14:solidFill>
          </w14:textFill>
        </w:rPr>
        <w:t>3</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、H</w:t>
      </w:r>
      <w:r>
        <w:rPr>
          <w:rFonts w:hint="eastAsia" w:ascii="Times New Roman" w:hAnsi="Times New Roman" w:eastAsia="宋体" w:cs="Times New Roman"/>
          <w:color w:val="000000" w:themeColor="text1"/>
          <w:szCs w:val="24"/>
          <w:u w:val="none" w:color="auto"/>
          <w:vertAlign w:val="subscript"/>
          <w:lang w:val="en-US" w:eastAsia="zh-CN"/>
          <w14:textFill>
            <w14:solidFill>
              <w14:schemeClr w14:val="tx1"/>
            </w14:solidFill>
          </w14:textFill>
        </w:rPr>
        <w:t>2</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S嗅阈值见下表。</w:t>
      </w:r>
    </w:p>
    <w:p w14:paraId="1910476A">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恶臭污染物嗅阈值参照表</w:t>
      </w:r>
    </w:p>
    <w:tbl>
      <w:tblPr>
        <w:tblStyle w:val="3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1AF990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4" w:type="dxa"/>
            <w:tcBorders>
              <w:tl2br w:val="nil"/>
              <w:tr2bl w:val="nil"/>
            </w:tcBorders>
            <w:vAlign w:val="center"/>
          </w:tcPr>
          <w:p w14:paraId="2D02C55F">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污染物名称</w:t>
            </w:r>
          </w:p>
        </w:tc>
        <w:tc>
          <w:tcPr>
            <w:tcW w:w="4264" w:type="dxa"/>
            <w:tcBorders>
              <w:tl2br w:val="nil"/>
              <w:tr2bl w:val="nil"/>
            </w:tcBorders>
            <w:vAlign w:val="center"/>
          </w:tcPr>
          <w:p w14:paraId="245A287F">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none" w:color="auto"/>
                <w:vertAlign w:val="baseline"/>
                <w:lang w:val="en-US" w:eastAsia="zh-CN"/>
                <w14:textFill>
                  <w14:solidFill>
                    <w14:schemeClr w14:val="tx1"/>
                  </w14:solidFill>
                </w14:textFill>
              </w:rPr>
              <w:t>嗅阈值/10</w:t>
            </w:r>
            <w:r>
              <w:rPr>
                <w:rFonts w:hint="default" w:ascii="Times New Roman" w:hAnsi="Times New Roman" w:eastAsia="宋体" w:cs="Times New Roman"/>
                <w:b/>
                <w:bCs/>
                <w:color w:val="000000" w:themeColor="text1"/>
                <w:sz w:val="21"/>
                <w:szCs w:val="21"/>
                <w:u w:val="none" w:color="auto"/>
                <w:vertAlign w:val="superscript"/>
                <w:lang w:val="en-US" w:eastAsia="zh-CN"/>
                <w14:textFill>
                  <w14:solidFill>
                    <w14:schemeClr w14:val="tx1"/>
                  </w14:solidFill>
                </w14:textFill>
              </w:rPr>
              <w:t>-6</w:t>
            </w:r>
          </w:p>
        </w:tc>
      </w:tr>
      <w:tr w14:paraId="3FF635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4" w:type="dxa"/>
            <w:tcBorders>
              <w:tl2br w:val="nil"/>
              <w:tr2bl w:val="nil"/>
            </w:tcBorders>
            <w:vAlign w:val="center"/>
          </w:tcPr>
          <w:p w14:paraId="1D6147DC">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氨气</w:t>
            </w:r>
          </w:p>
        </w:tc>
        <w:tc>
          <w:tcPr>
            <w:tcW w:w="4264" w:type="dxa"/>
            <w:tcBorders>
              <w:tl2br w:val="nil"/>
              <w:tr2bl w:val="nil"/>
            </w:tcBorders>
            <w:vAlign w:val="center"/>
          </w:tcPr>
          <w:p w14:paraId="5436DBB5">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0.3</w:t>
            </w:r>
          </w:p>
        </w:tc>
      </w:tr>
      <w:tr w14:paraId="09DEF9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4" w:type="dxa"/>
            <w:tcBorders>
              <w:tl2br w:val="nil"/>
              <w:tr2bl w:val="nil"/>
            </w:tcBorders>
            <w:vAlign w:val="center"/>
          </w:tcPr>
          <w:p w14:paraId="51930AB8">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硫化氢</w:t>
            </w:r>
          </w:p>
        </w:tc>
        <w:tc>
          <w:tcPr>
            <w:tcW w:w="4264" w:type="dxa"/>
            <w:tcBorders>
              <w:tl2br w:val="nil"/>
              <w:tr2bl w:val="nil"/>
            </w:tcBorders>
            <w:vAlign w:val="center"/>
          </w:tcPr>
          <w:p w14:paraId="4461E203">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vertAlign w:val="baseline"/>
                <w:lang w:val="en-US" w:eastAsia="zh-CN"/>
                <w14:textFill>
                  <w14:solidFill>
                    <w14:schemeClr w14:val="tx1"/>
                  </w14:solidFill>
                </w14:textFill>
              </w:rPr>
              <w:t>0.0012</w:t>
            </w:r>
          </w:p>
        </w:tc>
      </w:tr>
    </w:tbl>
    <w:p w14:paraId="2903EAE6">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项目最近居民点</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（约</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125 m处</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NH</w:t>
      </w:r>
      <w:r>
        <w:rPr>
          <w:rFonts w:hint="default" w:ascii="Times New Roman" w:hAnsi="Times New Roman" w:eastAsia="宋体" w:cs="Times New Roman"/>
          <w:color w:val="000000" w:themeColor="text1"/>
          <w:szCs w:val="24"/>
          <w:u w:val="none" w:color="auto"/>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浓度为6.0388 μg/m</w:t>
      </w:r>
      <w:r>
        <w:rPr>
          <w:rFonts w:hint="eastAsia" w:ascii="Times New Roman" w:hAnsi="Times New Roman" w:eastAsia="宋体" w:cs="Times New Roman"/>
          <w:color w:val="000000" w:themeColor="text1"/>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（折合0.008675</w:t>
      </w:r>
      <w:r>
        <w:rPr>
          <w:rFonts w:hint="default" w:ascii="Arial" w:hAnsi="Arial" w:eastAsia="宋体" w:cs="Arial"/>
          <w:color w:val="000000" w:themeColor="text1"/>
          <w:szCs w:val="24"/>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10</w:t>
      </w:r>
      <w:r>
        <w:rPr>
          <w:rFonts w:hint="eastAsia" w:ascii="Times New Roman" w:hAnsi="Times New Roman" w:eastAsia="宋体" w:cs="Times New Roman"/>
          <w:color w:val="000000" w:themeColor="text1"/>
          <w:szCs w:val="24"/>
          <w:u w:val="none" w:color="auto"/>
          <w:vertAlign w:val="superscript"/>
          <w:lang w:val="en-US" w:eastAsia="zh-CN"/>
          <w14:textFill>
            <w14:solidFill>
              <w14:schemeClr w14:val="tx1"/>
            </w14:solidFill>
          </w14:textFill>
        </w:rPr>
        <w:t>-6</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，H</w:t>
      </w:r>
      <w:r>
        <w:rPr>
          <w:rFonts w:hint="default" w:ascii="Times New Roman" w:hAnsi="Times New Roman" w:eastAsia="宋体" w:cs="Times New Roman"/>
          <w:color w:val="000000" w:themeColor="text1"/>
          <w:szCs w:val="24"/>
          <w:u w:val="none" w:color="auto"/>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S浓度为0.3265 μg/m</w:t>
      </w:r>
      <w:r>
        <w:rPr>
          <w:rFonts w:hint="eastAsia" w:ascii="Times New Roman" w:hAnsi="Times New Roman" w:eastAsia="宋体" w:cs="Times New Roman"/>
          <w:color w:val="000000" w:themeColor="text1"/>
          <w:szCs w:val="24"/>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（折合0.000233</w:t>
      </w:r>
      <w:r>
        <w:rPr>
          <w:rFonts w:hint="default" w:ascii="Arial" w:hAnsi="Arial" w:eastAsia="宋体" w:cs="Arial"/>
          <w:color w:val="000000" w:themeColor="text1"/>
          <w:szCs w:val="24"/>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10</w:t>
      </w:r>
      <w:r>
        <w:rPr>
          <w:rFonts w:hint="eastAsia" w:ascii="Times New Roman" w:hAnsi="Times New Roman" w:eastAsia="宋体" w:cs="Times New Roman"/>
          <w:color w:val="000000" w:themeColor="text1"/>
          <w:szCs w:val="24"/>
          <w:u w:val="none" w:color="auto"/>
          <w:vertAlign w:val="superscript"/>
          <w:lang w:val="en-US" w:eastAsia="zh-CN"/>
          <w14:textFill>
            <w14:solidFill>
              <w14:schemeClr w14:val="tx1"/>
            </w14:solidFill>
          </w14:textFill>
        </w:rPr>
        <w:t>-6</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均低于嗅阈值。因此，本项目对周边居民影响较小。</w:t>
      </w:r>
    </w:p>
    <w:p w14:paraId="79E7492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13" w:name="_Toc2913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大气污染源核算</w:t>
      </w:r>
      <w:bookmarkEnd w:id="310"/>
      <w:bookmarkEnd w:id="311"/>
      <w:bookmarkEnd w:id="313"/>
    </w:p>
    <w:p w14:paraId="38EF4B58">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（1）有组织排放量核算</w:t>
      </w:r>
    </w:p>
    <w:p w14:paraId="4F2A3C85">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项目有组织废气污染物排放量核算见下表。</w:t>
      </w:r>
    </w:p>
    <w:p w14:paraId="22609415">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 xml:space="preserve">  大气污染物有组织排放量核算表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584"/>
        <w:gridCol w:w="1920"/>
        <w:gridCol w:w="1506"/>
        <w:gridCol w:w="1277"/>
        <w:gridCol w:w="1516"/>
      </w:tblGrid>
      <w:tr w14:paraId="0711D3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4" w:type="pct"/>
            <w:vAlign w:val="center"/>
          </w:tcPr>
          <w:p w14:paraId="6E1DB4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929" w:type="pct"/>
            <w:vAlign w:val="center"/>
          </w:tcPr>
          <w:p w14:paraId="049BFE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排放口编号</w:t>
            </w:r>
          </w:p>
        </w:tc>
        <w:tc>
          <w:tcPr>
            <w:tcW w:w="1126" w:type="pct"/>
            <w:vAlign w:val="center"/>
          </w:tcPr>
          <w:p w14:paraId="6F7B10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w:t>
            </w:r>
          </w:p>
        </w:tc>
        <w:tc>
          <w:tcPr>
            <w:tcW w:w="883" w:type="pct"/>
            <w:vAlign w:val="center"/>
          </w:tcPr>
          <w:p w14:paraId="5F2883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核算排放浓度/（mg/m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748" w:type="pct"/>
            <w:vAlign w:val="center"/>
          </w:tcPr>
          <w:p w14:paraId="305C3B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核算排放速率（kg/h）</w:t>
            </w:r>
          </w:p>
        </w:tc>
        <w:tc>
          <w:tcPr>
            <w:tcW w:w="887" w:type="pct"/>
            <w:vAlign w:val="center"/>
          </w:tcPr>
          <w:p w14:paraId="5D5AFF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核算排放量（t/a）</w:t>
            </w:r>
          </w:p>
        </w:tc>
      </w:tr>
      <w:tr w14:paraId="1C5C4E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vAlign w:val="center"/>
          </w:tcPr>
          <w:p w14:paraId="51ED6C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一般</w:t>
            </w:r>
            <w:r>
              <w:rPr>
                <w:rFonts w:hint="default" w:ascii="Times New Roman" w:hAnsi="Times New Roman" w:eastAsia="宋体" w:cs="Times New Roman"/>
                <w:color w:val="000000" w:themeColor="text1"/>
                <w:u w:val="none" w:color="auto"/>
                <w14:textFill>
                  <w14:solidFill>
                    <w14:schemeClr w14:val="tx1"/>
                  </w14:solidFill>
                </w14:textFill>
              </w:rPr>
              <w:t>排放口</w:t>
            </w:r>
          </w:p>
        </w:tc>
      </w:tr>
      <w:tr w14:paraId="668D91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4" w:type="pct"/>
            <w:vMerge w:val="restart"/>
            <w:vAlign w:val="center"/>
          </w:tcPr>
          <w:p w14:paraId="2CE26C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p>
        </w:tc>
        <w:tc>
          <w:tcPr>
            <w:tcW w:w="929" w:type="pct"/>
            <w:vMerge w:val="restart"/>
            <w:vAlign w:val="center"/>
          </w:tcPr>
          <w:p w14:paraId="057109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DA00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p>
        </w:tc>
        <w:tc>
          <w:tcPr>
            <w:tcW w:w="1126" w:type="pct"/>
            <w:vAlign w:val="center"/>
          </w:tcPr>
          <w:p w14:paraId="5C93256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1506" w:type="dxa"/>
            <w:vAlign w:val="center"/>
          </w:tcPr>
          <w:p w14:paraId="140F491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0.4529225 </w:t>
            </w:r>
          </w:p>
        </w:tc>
        <w:tc>
          <w:tcPr>
            <w:tcW w:w="1277" w:type="dxa"/>
            <w:vAlign w:val="center"/>
          </w:tcPr>
          <w:p w14:paraId="29731128">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0.0090585 </w:t>
            </w:r>
          </w:p>
        </w:tc>
        <w:tc>
          <w:tcPr>
            <w:tcW w:w="1516" w:type="dxa"/>
            <w:vAlign w:val="center"/>
          </w:tcPr>
          <w:p w14:paraId="3E65E84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0.0652208 </w:t>
            </w:r>
          </w:p>
        </w:tc>
      </w:tr>
      <w:tr w14:paraId="32F703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4" w:type="pct"/>
            <w:vMerge w:val="continue"/>
            <w:vAlign w:val="center"/>
          </w:tcPr>
          <w:p w14:paraId="600E69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9" w:type="pct"/>
            <w:vMerge w:val="continue"/>
            <w:vAlign w:val="center"/>
          </w:tcPr>
          <w:p w14:paraId="2400FF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26" w:type="pct"/>
            <w:vAlign w:val="center"/>
          </w:tcPr>
          <w:p w14:paraId="55617F16">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1506" w:type="dxa"/>
            <w:vAlign w:val="center"/>
          </w:tcPr>
          <w:p w14:paraId="18554A4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0.0244850 </w:t>
            </w:r>
          </w:p>
        </w:tc>
        <w:tc>
          <w:tcPr>
            <w:tcW w:w="1277" w:type="dxa"/>
            <w:vAlign w:val="center"/>
          </w:tcPr>
          <w:p w14:paraId="1B0E8299">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0.0004897 </w:t>
            </w:r>
          </w:p>
        </w:tc>
        <w:tc>
          <w:tcPr>
            <w:tcW w:w="1516" w:type="dxa"/>
            <w:vAlign w:val="center"/>
          </w:tcPr>
          <w:p w14:paraId="16B4D90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0.0035258 </w:t>
            </w:r>
          </w:p>
        </w:tc>
      </w:tr>
      <w:tr w14:paraId="3607F4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4" w:type="pct"/>
            <w:vMerge w:val="continue"/>
            <w:vAlign w:val="center"/>
          </w:tcPr>
          <w:p w14:paraId="495273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9" w:type="pct"/>
            <w:vMerge w:val="continue"/>
            <w:vAlign w:val="center"/>
          </w:tcPr>
          <w:p w14:paraId="7B29C5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26" w:type="pct"/>
            <w:vAlign w:val="center"/>
          </w:tcPr>
          <w:p w14:paraId="0C8777F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1506" w:type="dxa"/>
            <w:vAlign w:val="center"/>
          </w:tcPr>
          <w:p w14:paraId="4412B76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277" w:type="dxa"/>
            <w:vAlign w:val="center"/>
          </w:tcPr>
          <w:p w14:paraId="1D13588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1516" w:type="dxa"/>
            <w:vAlign w:val="center"/>
          </w:tcPr>
          <w:p w14:paraId="0A3889B7">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53 </w:t>
            </w:r>
          </w:p>
        </w:tc>
      </w:tr>
      <w:tr w14:paraId="401A74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4" w:type="pct"/>
            <w:vMerge w:val="continue"/>
            <w:vAlign w:val="center"/>
          </w:tcPr>
          <w:p w14:paraId="6A34A2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29" w:type="pct"/>
            <w:vMerge w:val="continue"/>
            <w:vAlign w:val="center"/>
          </w:tcPr>
          <w:p w14:paraId="003DFD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26" w:type="pct"/>
            <w:vAlign w:val="center"/>
          </w:tcPr>
          <w:p w14:paraId="653F55F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1506" w:type="dxa"/>
            <w:vAlign w:val="center"/>
          </w:tcPr>
          <w:p w14:paraId="49D1445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3.3010525 </w:t>
            </w:r>
          </w:p>
        </w:tc>
        <w:tc>
          <w:tcPr>
            <w:tcW w:w="1277" w:type="dxa"/>
            <w:vAlign w:val="center"/>
          </w:tcPr>
          <w:p w14:paraId="7C387A06">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0.0660211 </w:t>
            </w:r>
          </w:p>
        </w:tc>
        <w:tc>
          <w:tcPr>
            <w:tcW w:w="1516" w:type="dxa"/>
            <w:vAlign w:val="center"/>
          </w:tcPr>
          <w:p w14:paraId="1DAE3B0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0.4753516 </w:t>
            </w:r>
          </w:p>
        </w:tc>
      </w:tr>
      <w:tr w14:paraId="09231B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53" w:type="pct"/>
            <w:gridSpan w:val="2"/>
            <w:vMerge w:val="restart"/>
            <w:vAlign w:val="center"/>
          </w:tcPr>
          <w:p w14:paraId="4A8696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排放口合计</w:t>
            </w:r>
          </w:p>
        </w:tc>
        <w:tc>
          <w:tcPr>
            <w:tcW w:w="2758" w:type="pct"/>
            <w:gridSpan w:val="3"/>
            <w:shd w:val="clear" w:color="auto" w:fill="auto"/>
            <w:vAlign w:val="center"/>
          </w:tcPr>
          <w:p w14:paraId="283A169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4"/>
                <w:szCs w:val="22"/>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1516" w:type="dxa"/>
            <w:shd w:val="clear" w:color="auto" w:fill="auto"/>
            <w:vAlign w:val="center"/>
          </w:tcPr>
          <w:p w14:paraId="5780F425">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0.0652208 </w:t>
            </w:r>
          </w:p>
        </w:tc>
      </w:tr>
      <w:tr w14:paraId="653314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53" w:type="pct"/>
            <w:gridSpan w:val="2"/>
            <w:vMerge w:val="continue"/>
            <w:vAlign w:val="center"/>
          </w:tcPr>
          <w:p w14:paraId="22D402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758" w:type="pct"/>
            <w:gridSpan w:val="3"/>
            <w:shd w:val="clear" w:color="auto" w:fill="auto"/>
            <w:vAlign w:val="center"/>
          </w:tcPr>
          <w:p w14:paraId="3A5F706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4"/>
                <w:szCs w:val="22"/>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1516" w:type="dxa"/>
            <w:shd w:val="clear" w:color="auto" w:fill="auto"/>
            <w:vAlign w:val="center"/>
          </w:tcPr>
          <w:p w14:paraId="7A673A4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0.0035258 </w:t>
            </w:r>
          </w:p>
        </w:tc>
      </w:tr>
      <w:tr w14:paraId="589A4E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53" w:type="pct"/>
            <w:gridSpan w:val="2"/>
            <w:vMerge w:val="continue"/>
            <w:vAlign w:val="center"/>
          </w:tcPr>
          <w:p w14:paraId="739EA0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758" w:type="pct"/>
            <w:gridSpan w:val="3"/>
            <w:shd w:val="clear" w:color="auto" w:fill="auto"/>
            <w:vAlign w:val="center"/>
          </w:tcPr>
          <w:p w14:paraId="277EF4E9">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4"/>
                <w:szCs w:val="22"/>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1516" w:type="dxa"/>
            <w:shd w:val="clear" w:color="auto" w:fill="auto"/>
            <w:vAlign w:val="center"/>
          </w:tcPr>
          <w:p w14:paraId="4C8655E7">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53 </w:t>
            </w:r>
          </w:p>
        </w:tc>
      </w:tr>
      <w:tr w14:paraId="47BCEF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53" w:type="pct"/>
            <w:gridSpan w:val="2"/>
            <w:vMerge w:val="continue"/>
            <w:vAlign w:val="center"/>
          </w:tcPr>
          <w:p w14:paraId="32CD8D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758" w:type="pct"/>
            <w:gridSpan w:val="3"/>
            <w:shd w:val="clear" w:color="auto" w:fill="auto"/>
            <w:vAlign w:val="center"/>
          </w:tcPr>
          <w:p w14:paraId="12B473B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4"/>
                <w:szCs w:val="22"/>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1516" w:type="dxa"/>
            <w:shd w:val="clear" w:color="auto" w:fill="auto"/>
            <w:vAlign w:val="center"/>
          </w:tcPr>
          <w:p w14:paraId="2FC8DC6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0.4753516 </w:t>
            </w:r>
          </w:p>
        </w:tc>
      </w:tr>
    </w:tbl>
    <w:p w14:paraId="470C9DC1">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（2）无组织排放量核算</w:t>
      </w:r>
    </w:p>
    <w:p w14:paraId="4A0CDD43">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项目无组织废气污染物排放量核算见下表。</w:t>
      </w:r>
    </w:p>
    <w:p w14:paraId="6A913F9C">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 xml:space="preserve">  大气污染物无组织排放量核算表</w:t>
      </w:r>
    </w:p>
    <w:tbl>
      <w:tblPr>
        <w:tblStyle w:val="3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1"/>
        <w:gridCol w:w="805"/>
        <w:gridCol w:w="2041"/>
        <w:gridCol w:w="877"/>
        <w:gridCol w:w="1841"/>
        <w:gridCol w:w="1131"/>
        <w:gridCol w:w="1117"/>
      </w:tblGrid>
      <w:tr w14:paraId="7ADA3F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restart"/>
            <w:vAlign w:val="center"/>
          </w:tcPr>
          <w:p w14:paraId="61422F9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472" w:type="pct"/>
            <w:vMerge w:val="restart"/>
            <w:vAlign w:val="center"/>
          </w:tcPr>
          <w:p w14:paraId="4327BD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产污环节</w:t>
            </w:r>
          </w:p>
        </w:tc>
        <w:tc>
          <w:tcPr>
            <w:tcW w:w="1197" w:type="pct"/>
            <w:vMerge w:val="restart"/>
            <w:vAlign w:val="center"/>
          </w:tcPr>
          <w:p w14:paraId="668E1F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w:t>
            </w:r>
          </w:p>
        </w:tc>
        <w:tc>
          <w:tcPr>
            <w:tcW w:w="514" w:type="pct"/>
            <w:vMerge w:val="restart"/>
            <w:vAlign w:val="center"/>
          </w:tcPr>
          <w:p w14:paraId="7556A8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主要污染防治措施</w:t>
            </w:r>
          </w:p>
        </w:tc>
        <w:tc>
          <w:tcPr>
            <w:tcW w:w="1743" w:type="pct"/>
            <w:gridSpan w:val="2"/>
            <w:vAlign w:val="center"/>
          </w:tcPr>
          <w:p w14:paraId="1878DB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国家污染物排放标准</w:t>
            </w:r>
          </w:p>
        </w:tc>
        <w:tc>
          <w:tcPr>
            <w:tcW w:w="655" w:type="pct"/>
            <w:vMerge w:val="restart"/>
            <w:vAlign w:val="center"/>
          </w:tcPr>
          <w:p w14:paraId="6F8C77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年排放量（t/a）</w:t>
            </w:r>
          </w:p>
        </w:tc>
      </w:tr>
      <w:tr w14:paraId="77D19B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vAlign w:val="center"/>
          </w:tcPr>
          <w:p w14:paraId="21B9D0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2" w:type="pct"/>
            <w:vMerge w:val="continue"/>
            <w:vAlign w:val="center"/>
          </w:tcPr>
          <w:p w14:paraId="708AF0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97" w:type="pct"/>
            <w:vMerge w:val="continue"/>
            <w:vAlign w:val="center"/>
          </w:tcPr>
          <w:p w14:paraId="1D48B7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14" w:type="pct"/>
            <w:vMerge w:val="continue"/>
            <w:vAlign w:val="center"/>
          </w:tcPr>
          <w:p w14:paraId="09C293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80" w:type="pct"/>
            <w:vAlign w:val="center"/>
          </w:tcPr>
          <w:p w14:paraId="08A12C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标准名称</w:t>
            </w:r>
          </w:p>
        </w:tc>
        <w:tc>
          <w:tcPr>
            <w:tcW w:w="663" w:type="pct"/>
            <w:vAlign w:val="center"/>
          </w:tcPr>
          <w:p w14:paraId="2A3241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浓度限值（mg/m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655" w:type="pct"/>
            <w:vMerge w:val="continue"/>
            <w:vAlign w:val="center"/>
          </w:tcPr>
          <w:p w14:paraId="6511D2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46D93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restart"/>
            <w:vAlign w:val="center"/>
          </w:tcPr>
          <w:p w14:paraId="3F3CF1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472" w:type="pct"/>
            <w:vMerge w:val="restart"/>
            <w:vAlign w:val="center"/>
          </w:tcPr>
          <w:p w14:paraId="1FFE89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w:t>
            </w:r>
          </w:p>
        </w:tc>
        <w:tc>
          <w:tcPr>
            <w:tcW w:w="1197" w:type="pct"/>
            <w:shd w:val="clear" w:color="auto" w:fill="auto"/>
            <w:vAlign w:val="center"/>
          </w:tcPr>
          <w:p w14:paraId="02E40D8F">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514" w:type="pct"/>
            <w:vMerge w:val="restart"/>
            <w:vAlign w:val="center"/>
          </w:tcPr>
          <w:p w14:paraId="01E8C7FF">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密闭车间阻隔</w:t>
            </w:r>
          </w:p>
        </w:tc>
        <w:tc>
          <w:tcPr>
            <w:tcW w:w="1080" w:type="pct"/>
            <w:vMerge w:val="restart"/>
            <w:vAlign w:val="center"/>
          </w:tcPr>
          <w:p w14:paraId="5A4D39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表1中</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二级新改扩建</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项目的要求</w:t>
            </w:r>
          </w:p>
        </w:tc>
        <w:tc>
          <w:tcPr>
            <w:tcW w:w="663" w:type="pct"/>
            <w:vAlign w:val="center"/>
          </w:tcPr>
          <w:p w14:paraId="5F93DB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117" w:type="dxa"/>
            <w:shd w:val="clear" w:color="auto" w:fill="auto"/>
            <w:vAlign w:val="center"/>
          </w:tcPr>
          <w:p w14:paraId="4652E02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0.0036824 </w:t>
            </w:r>
          </w:p>
        </w:tc>
      </w:tr>
      <w:tr w14:paraId="26C7FE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vAlign w:val="center"/>
          </w:tcPr>
          <w:p w14:paraId="2ACA22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2" w:type="pct"/>
            <w:vMerge w:val="continue"/>
            <w:vAlign w:val="center"/>
          </w:tcPr>
          <w:p w14:paraId="279330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97" w:type="pct"/>
            <w:shd w:val="clear" w:color="auto" w:fill="auto"/>
            <w:vAlign w:val="center"/>
          </w:tcPr>
          <w:p w14:paraId="54C21FD9">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514" w:type="pct"/>
            <w:vMerge w:val="continue"/>
            <w:vAlign w:val="center"/>
          </w:tcPr>
          <w:p w14:paraId="364CA9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80" w:type="pct"/>
            <w:vMerge w:val="continue"/>
            <w:vAlign w:val="center"/>
          </w:tcPr>
          <w:p w14:paraId="360E07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63" w:type="pct"/>
            <w:vAlign w:val="center"/>
          </w:tcPr>
          <w:p w14:paraId="534A7D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0.06</w:t>
            </w:r>
          </w:p>
        </w:tc>
        <w:tc>
          <w:tcPr>
            <w:tcW w:w="1117" w:type="dxa"/>
            <w:shd w:val="clear" w:color="auto" w:fill="auto"/>
            <w:vAlign w:val="center"/>
          </w:tcPr>
          <w:p w14:paraId="6BBF590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0.0002132 </w:t>
            </w:r>
          </w:p>
        </w:tc>
      </w:tr>
      <w:tr w14:paraId="0A84F3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vAlign w:val="center"/>
          </w:tcPr>
          <w:p w14:paraId="617B1F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2" w:type="pct"/>
            <w:vMerge w:val="continue"/>
            <w:vAlign w:val="center"/>
          </w:tcPr>
          <w:p w14:paraId="4B7781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97" w:type="pct"/>
            <w:shd w:val="clear" w:color="auto" w:fill="auto"/>
            <w:vAlign w:val="center"/>
          </w:tcPr>
          <w:p w14:paraId="42C22E69">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514" w:type="pct"/>
            <w:vMerge w:val="continue"/>
            <w:vAlign w:val="center"/>
          </w:tcPr>
          <w:p w14:paraId="2E7B3C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80" w:type="pct"/>
            <w:vMerge w:val="continue"/>
            <w:vAlign w:val="center"/>
          </w:tcPr>
          <w:p w14:paraId="48D74E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63" w:type="pct"/>
            <w:vAlign w:val="center"/>
          </w:tcPr>
          <w:p w14:paraId="06EA49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20</w:t>
            </w:r>
          </w:p>
        </w:tc>
        <w:tc>
          <w:tcPr>
            <w:tcW w:w="1117" w:type="dxa"/>
            <w:shd w:val="clear" w:color="auto" w:fill="auto"/>
            <w:vAlign w:val="center"/>
          </w:tcPr>
          <w:p w14:paraId="6522FE5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3 </w:t>
            </w:r>
          </w:p>
        </w:tc>
      </w:tr>
      <w:tr w14:paraId="6F7410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vAlign w:val="center"/>
          </w:tcPr>
          <w:p w14:paraId="297F4F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2" w:type="pct"/>
            <w:vMerge w:val="continue"/>
            <w:vAlign w:val="center"/>
          </w:tcPr>
          <w:p w14:paraId="1411D4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97" w:type="pct"/>
            <w:shd w:val="clear" w:color="auto" w:fill="auto"/>
            <w:vAlign w:val="center"/>
          </w:tcPr>
          <w:p w14:paraId="0B120DB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514" w:type="pct"/>
            <w:vMerge w:val="continue"/>
            <w:vAlign w:val="center"/>
          </w:tcPr>
          <w:p w14:paraId="4EA3F4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80" w:type="pct"/>
            <w:vAlign w:val="center"/>
          </w:tcPr>
          <w:p w14:paraId="02F8EA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c>
          <w:tcPr>
            <w:tcW w:w="663" w:type="pct"/>
            <w:vAlign w:val="center"/>
          </w:tcPr>
          <w:p w14:paraId="223E14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w:t>
            </w:r>
          </w:p>
        </w:tc>
        <w:tc>
          <w:tcPr>
            <w:tcW w:w="1117" w:type="dxa"/>
            <w:shd w:val="clear" w:color="auto" w:fill="auto"/>
            <w:vAlign w:val="center"/>
          </w:tcPr>
          <w:p w14:paraId="42B6875F">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0.0264084 </w:t>
            </w:r>
          </w:p>
        </w:tc>
      </w:tr>
      <w:tr w14:paraId="2E5A06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417" w:type="pct"/>
            <w:vMerge w:val="restart"/>
            <w:vAlign w:val="center"/>
          </w:tcPr>
          <w:p w14:paraId="2A769B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472" w:type="pct"/>
            <w:vMerge w:val="restart"/>
            <w:vAlign w:val="center"/>
          </w:tcPr>
          <w:p w14:paraId="233514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w:t>
            </w:r>
          </w:p>
        </w:tc>
        <w:tc>
          <w:tcPr>
            <w:tcW w:w="1197" w:type="pct"/>
            <w:shd w:val="clear" w:color="auto" w:fill="auto"/>
            <w:vAlign w:val="center"/>
          </w:tcPr>
          <w:p w14:paraId="465FD73A">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514" w:type="pct"/>
            <w:vMerge w:val="restart"/>
            <w:vAlign w:val="center"/>
          </w:tcPr>
          <w:p w14:paraId="65D0A169">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加盖密闭</w:t>
            </w:r>
          </w:p>
        </w:tc>
        <w:tc>
          <w:tcPr>
            <w:tcW w:w="1080" w:type="pct"/>
            <w:vMerge w:val="restart"/>
            <w:vAlign w:val="center"/>
          </w:tcPr>
          <w:p w14:paraId="0FCD35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表1中</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二级新改扩建</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项目的要求</w:t>
            </w:r>
          </w:p>
        </w:tc>
        <w:tc>
          <w:tcPr>
            <w:tcW w:w="663" w:type="pct"/>
            <w:shd w:val="clear" w:color="auto" w:fill="auto"/>
            <w:vAlign w:val="center"/>
          </w:tcPr>
          <w:p w14:paraId="4E7A04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117" w:type="dxa"/>
            <w:shd w:val="clear" w:color="auto" w:fill="auto"/>
            <w:vAlign w:val="center"/>
          </w:tcPr>
          <w:p w14:paraId="3A06B4F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0.0003469 </w:t>
            </w:r>
          </w:p>
        </w:tc>
      </w:tr>
      <w:tr w14:paraId="585CCD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vAlign w:val="center"/>
          </w:tcPr>
          <w:p w14:paraId="4EC2FB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72" w:type="pct"/>
            <w:vMerge w:val="continue"/>
            <w:vAlign w:val="center"/>
          </w:tcPr>
          <w:p w14:paraId="293082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97" w:type="pct"/>
            <w:shd w:val="clear" w:color="auto" w:fill="auto"/>
            <w:vAlign w:val="center"/>
          </w:tcPr>
          <w:p w14:paraId="4514292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514" w:type="pct"/>
            <w:vMerge w:val="continue"/>
            <w:vAlign w:val="center"/>
          </w:tcPr>
          <w:p w14:paraId="317AD8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80" w:type="pct"/>
            <w:vMerge w:val="continue"/>
            <w:vAlign w:val="center"/>
          </w:tcPr>
          <w:p w14:paraId="50C0C2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63" w:type="pct"/>
            <w:shd w:val="clear" w:color="auto" w:fill="auto"/>
            <w:vAlign w:val="center"/>
          </w:tcPr>
          <w:p w14:paraId="0E02A6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0.06</w:t>
            </w:r>
          </w:p>
        </w:tc>
        <w:tc>
          <w:tcPr>
            <w:tcW w:w="1117" w:type="dxa"/>
            <w:shd w:val="clear" w:color="auto" w:fill="auto"/>
            <w:vAlign w:val="center"/>
          </w:tcPr>
          <w:p w14:paraId="16A879F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 xml:space="preserve">0.0000134 </w:t>
            </w:r>
          </w:p>
        </w:tc>
      </w:tr>
      <w:tr w14:paraId="0EB605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9" w:type="pct"/>
            <w:gridSpan w:val="2"/>
            <w:vMerge w:val="restart"/>
            <w:vAlign w:val="center"/>
          </w:tcPr>
          <w:p w14:paraId="3DF97F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无组织排放总计</w:t>
            </w:r>
          </w:p>
        </w:tc>
        <w:tc>
          <w:tcPr>
            <w:tcW w:w="3455" w:type="pct"/>
            <w:gridSpan w:val="4"/>
            <w:vAlign w:val="center"/>
          </w:tcPr>
          <w:p w14:paraId="279F357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1117" w:type="dxa"/>
            <w:vAlign w:val="center"/>
          </w:tcPr>
          <w:p w14:paraId="21D1F5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0.0040293</w:t>
            </w:r>
          </w:p>
        </w:tc>
      </w:tr>
      <w:tr w14:paraId="326707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9" w:type="pct"/>
            <w:gridSpan w:val="2"/>
            <w:vMerge w:val="continue"/>
            <w:vAlign w:val="center"/>
          </w:tcPr>
          <w:p w14:paraId="77F711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455" w:type="pct"/>
            <w:gridSpan w:val="4"/>
            <w:vAlign w:val="center"/>
          </w:tcPr>
          <w:p w14:paraId="5C5AC4E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1117" w:type="dxa"/>
            <w:vAlign w:val="center"/>
          </w:tcPr>
          <w:p w14:paraId="214014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0.0002266</w:t>
            </w:r>
          </w:p>
        </w:tc>
      </w:tr>
      <w:tr w14:paraId="7EEA8C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9" w:type="pct"/>
            <w:gridSpan w:val="2"/>
            <w:vMerge w:val="continue"/>
            <w:vAlign w:val="center"/>
          </w:tcPr>
          <w:p w14:paraId="35A5BE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455" w:type="pct"/>
            <w:gridSpan w:val="4"/>
            <w:vAlign w:val="center"/>
          </w:tcPr>
          <w:p w14:paraId="328E8D9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655" w:type="pct"/>
            <w:vAlign w:val="center"/>
          </w:tcPr>
          <w:p w14:paraId="21DB8E30">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3</w:t>
            </w:r>
          </w:p>
        </w:tc>
      </w:tr>
      <w:tr w14:paraId="40DF8D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9" w:type="pct"/>
            <w:gridSpan w:val="2"/>
            <w:vMerge w:val="continue"/>
            <w:vAlign w:val="center"/>
          </w:tcPr>
          <w:p w14:paraId="071236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455" w:type="pct"/>
            <w:gridSpan w:val="4"/>
            <w:vAlign w:val="center"/>
          </w:tcPr>
          <w:p w14:paraId="60CD5D6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655" w:type="pct"/>
            <w:vAlign w:val="center"/>
          </w:tcPr>
          <w:p w14:paraId="4185B0E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0.0264084</w:t>
            </w:r>
          </w:p>
        </w:tc>
      </w:tr>
    </w:tbl>
    <w:p w14:paraId="0507D9E3">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（3）项目大气污染物年排放量核算</w:t>
      </w:r>
    </w:p>
    <w:p w14:paraId="193E9350">
      <w:pPr>
        <w:keepNext w:val="0"/>
        <w:keepLines w:val="0"/>
        <w:pageBreakBefore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bidi w:val="0"/>
        <w:adjustRightInd w:val="0"/>
        <w:snapToGrid w:val="0"/>
        <w:spacing w:line="360" w:lineRule="auto"/>
        <w:ind w:firstLine="480" w:firstLineChars="200"/>
        <w:jc w:val="left"/>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项目大气污染物年排放量核算见下表。</w:t>
      </w:r>
    </w:p>
    <w:p w14:paraId="417BE58B">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 xml:space="preserve">  大气污染物年排放量核算表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16"/>
        <w:gridCol w:w="3664"/>
        <w:gridCol w:w="3345"/>
      </w:tblGrid>
      <w:tr w14:paraId="374486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89" w:type="pct"/>
            <w:vAlign w:val="center"/>
          </w:tcPr>
          <w:p w14:paraId="4921D8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2148" w:type="pct"/>
            <w:vAlign w:val="center"/>
          </w:tcPr>
          <w:p w14:paraId="3287A3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w:t>
            </w:r>
          </w:p>
        </w:tc>
        <w:tc>
          <w:tcPr>
            <w:tcW w:w="1961" w:type="pct"/>
            <w:vAlign w:val="center"/>
          </w:tcPr>
          <w:p w14:paraId="188B68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年排放量（t/a）</w:t>
            </w:r>
          </w:p>
        </w:tc>
      </w:tr>
      <w:tr w14:paraId="3C4F45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9" w:type="pct"/>
            <w:vAlign w:val="center"/>
          </w:tcPr>
          <w:p w14:paraId="5AEE0C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2148" w:type="pct"/>
            <w:vAlign w:val="center"/>
          </w:tcPr>
          <w:p w14:paraId="796E22C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3345" w:type="dxa"/>
            <w:vAlign w:val="center"/>
          </w:tcPr>
          <w:p w14:paraId="11386A36">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0.0692501</w:t>
            </w:r>
          </w:p>
        </w:tc>
      </w:tr>
      <w:tr w14:paraId="02BF68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9" w:type="pct"/>
            <w:vAlign w:val="center"/>
          </w:tcPr>
          <w:p w14:paraId="482270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2148" w:type="pct"/>
            <w:vAlign w:val="center"/>
          </w:tcPr>
          <w:p w14:paraId="6C4FC816">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3345" w:type="dxa"/>
            <w:vAlign w:val="center"/>
          </w:tcPr>
          <w:p w14:paraId="4BBBE7FB">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0.0037524</w:t>
            </w:r>
          </w:p>
        </w:tc>
      </w:tr>
      <w:tr w14:paraId="180341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9" w:type="pct"/>
            <w:vAlign w:val="center"/>
          </w:tcPr>
          <w:p w14:paraId="0428C5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2148" w:type="pct"/>
            <w:vAlign w:val="center"/>
          </w:tcPr>
          <w:p w14:paraId="2B3EFF88">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3345" w:type="dxa"/>
            <w:vAlign w:val="center"/>
          </w:tcPr>
          <w:p w14:paraId="2ADDBF5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56</w:t>
            </w:r>
          </w:p>
        </w:tc>
      </w:tr>
      <w:tr w14:paraId="3D000E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9" w:type="pct"/>
            <w:vAlign w:val="center"/>
          </w:tcPr>
          <w:p w14:paraId="5002B3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2148" w:type="pct"/>
            <w:vAlign w:val="center"/>
          </w:tcPr>
          <w:p w14:paraId="129EFA81">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3345" w:type="dxa"/>
            <w:vAlign w:val="center"/>
          </w:tcPr>
          <w:p w14:paraId="77FCEC3E">
            <w:pPr>
              <w:keepNext w:val="0"/>
              <w:keepLines w:val="0"/>
              <w:pageBreakBefore w:val="0"/>
              <w:widowControl w:val="0"/>
              <w:suppressLineNumbers w:val="0"/>
              <w:kinsoku/>
              <w:wordWrap/>
              <w:overflowPunct/>
              <w:topLinePunct w:val="0"/>
              <w:bidi w:val="0"/>
              <w:jc w:val="center"/>
              <w:textAlignment w:val="cente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0.50176</w:t>
            </w:r>
          </w:p>
        </w:tc>
      </w:tr>
    </w:tbl>
    <w:p w14:paraId="44C3B897">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14" w:name="_Toc204350740"/>
      <w:bookmarkStart w:id="315" w:name="_Toc199517547"/>
      <w:bookmarkStart w:id="316" w:name="_Toc30457"/>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3 运营期地表水环境影响分析</w:t>
      </w:r>
      <w:bookmarkEnd w:id="314"/>
      <w:bookmarkEnd w:id="315"/>
      <w:bookmarkEnd w:id="316"/>
    </w:p>
    <w:p w14:paraId="238D638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本项目地表水评价等级为水污染影响型三级B，根据《环境影响评价技术导则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地表水环境》（HJ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2.3-2018），水污染影响型三级B评价可不进行水环境影响预测，主要评价内容包括：</w:t>
      </w:r>
    </w:p>
    <w:p w14:paraId="02310B3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fldChar w:fldCharType="begin"/>
      </w:r>
      <w:r>
        <w:rPr>
          <w:rFonts w:hint="default" w:ascii="Times New Roman" w:hAnsi="Times New Roman" w:eastAsia="宋体" w:cs="Times New Roman"/>
          <w:color w:val="000000" w:themeColor="text1"/>
          <w:u w:val="none" w:color="auto"/>
          <w14:textFill>
            <w14:solidFill>
              <w14:schemeClr w14:val="tx1"/>
            </w14:solidFill>
          </w14:textFill>
        </w:rPr>
        <w:instrText xml:space="preserve"> = 1 \* GB3 </w:instrText>
      </w:r>
      <w:r>
        <w:rPr>
          <w:rFonts w:hint="default" w:ascii="Times New Roman" w:hAnsi="Times New Roman" w:eastAsia="宋体" w:cs="Times New Roman"/>
          <w:color w:val="000000" w:themeColor="text1"/>
          <w:u w:val="none" w:color="auto"/>
          <w14:textFill>
            <w14:solidFill>
              <w14:schemeClr w14:val="tx1"/>
            </w14:solidFill>
          </w14:textFill>
        </w:rPr>
        <w:fldChar w:fldCharType="separate"/>
      </w:r>
      <w:r>
        <w:rPr>
          <w:rFonts w:hint="default" w:ascii="Times New Roman" w:hAnsi="Times New Roman" w:eastAsia="宋体" w:cs="Times New Roman"/>
          <w:color w:val="000000" w:themeColor="text1"/>
          <w:u w:val="none" w:color="auto"/>
          <w14:textFill>
            <w14:solidFill>
              <w14:schemeClr w14:val="tx1"/>
            </w14:solidFill>
          </w14:textFill>
        </w:rPr>
        <w:t>①</w:t>
      </w:r>
      <w:r>
        <w:rPr>
          <w:rFonts w:hint="default" w:ascii="Times New Roman" w:hAnsi="Times New Roman" w:eastAsia="宋体" w:cs="Times New Roman"/>
          <w:color w:val="000000" w:themeColor="text1"/>
          <w:u w:val="none" w:color="auto"/>
          <w14:textFill>
            <w14:solidFill>
              <w14:schemeClr w14:val="tx1"/>
            </w14:solidFill>
          </w14:textFill>
        </w:rPr>
        <w:fldChar w:fldCharType="end"/>
      </w:r>
      <w:r>
        <w:rPr>
          <w:rFonts w:hint="default" w:ascii="Times New Roman" w:hAnsi="Times New Roman" w:eastAsia="宋体" w:cs="Times New Roman"/>
          <w:color w:val="000000" w:themeColor="text1"/>
          <w:u w:val="none" w:color="auto"/>
          <w14:textFill>
            <w14:solidFill>
              <w14:schemeClr w14:val="tx1"/>
            </w14:solidFill>
          </w14:textFill>
        </w:rPr>
        <w:t>水污染控制和水环境影响减缓措施有效性评价；</w:t>
      </w:r>
    </w:p>
    <w:p w14:paraId="2E88F60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fldChar w:fldCharType="begin"/>
      </w:r>
      <w:r>
        <w:rPr>
          <w:rFonts w:hint="default" w:ascii="Times New Roman" w:hAnsi="Times New Roman" w:eastAsia="宋体" w:cs="Times New Roman"/>
          <w:color w:val="000000" w:themeColor="text1"/>
          <w:u w:val="none" w:color="auto"/>
          <w14:textFill>
            <w14:solidFill>
              <w14:schemeClr w14:val="tx1"/>
            </w14:solidFill>
          </w14:textFill>
        </w:rPr>
        <w:instrText xml:space="preserve"> = 2 \* GB3 </w:instrText>
      </w:r>
      <w:r>
        <w:rPr>
          <w:rFonts w:hint="default" w:ascii="Times New Roman" w:hAnsi="Times New Roman" w:eastAsia="宋体" w:cs="Times New Roman"/>
          <w:color w:val="000000" w:themeColor="text1"/>
          <w:u w:val="none" w:color="auto"/>
          <w14:textFill>
            <w14:solidFill>
              <w14:schemeClr w14:val="tx1"/>
            </w14:solidFill>
          </w14:textFill>
        </w:rPr>
        <w:fldChar w:fldCharType="separate"/>
      </w:r>
      <w:r>
        <w:rPr>
          <w:rFonts w:hint="default" w:ascii="Times New Roman" w:hAnsi="Times New Roman" w:eastAsia="宋体" w:cs="Times New Roman"/>
          <w:color w:val="000000" w:themeColor="text1"/>
          <w:u w:val="none" w:color="auto"/>
          <w14:textFill>
            <w14:solidFill>
              <w14:schemeClr w14:val="tx1"/>
            </w14:solidFill>
          </w14:textFill>
        </w:rPr>
        <w:t>②</w:t>
      </w:r>
      <w:r>
        <w:rPr>
          <w:rFonts w:hint="default" w:ascii="Times New Roman" w:hAnsi="Times New Roman" w:eastAsia="宋体" w:cs="Times New Roman"/>
          <w:color w:val="000000" w:themeColor="text1"/>
          <w:u w:val="none" w:color="auto"/>
          <w14:textFill>
            <w14:solidFill>
              <w14:schemeClr w14:val="tx1"/>
            </w14:solidFill>
          </w14:textFill>
        </w:rPr>
        <w:fldChar w:fldCharType="end"/>
      </w:r>
      <w:r>
        <w:rPr>
          <w:rFonts w:hint="default" w:ascii="Times New Roman" w:hAnsi="Times New Roman" w:eastAsia="宋体" w:cs="Times New Roman"/>
          <w:color w:val="000000" w:themeColor="text1"/>
          <w:u w:val="none" w:color="auto"/>
          <w14:textFill>
            <w14:solidFill>
              <w14:schemeClr w14:val="tx1"/>
            </w14:solidFill>
          </w14:textFill>
        </w:rPr>
        <w:t>依托污水处理设施的环境可行性评价。</w:t>
      </w:r>
    </w:p>
    <w:p w14:paraId="575366B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17" w:name="_Toc204350741"/>
      <w:bookmarkStart w:id="318" w:name="_Toc188005883"/>
      <w:bookmarkStart w:id="319" w:name="_Toc199517548"/>
      <w:bookmarkStart w:id="320" w:name="_Toc26291"/>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3.1 水污染控制和水环境影响减缓措施有效性分析</w:t>
      </w:r>
      <w:bookmarkEnd w:id="317"/>
      <w:bookmarkEnd w:id="318"/>
      <w:bookmarkEnd w:id="319"/>
      <w:bookmarkEnd w:id="320"/>
    </w:p>
    <w:p w14:paraId="5DD2027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项目运营期产生的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废水主要包括生活废水、生产废水，其中生产废水包括废弃油脂加工工序产生的废水、地面拖洗废水、车辆清洗废水、设备管道清洗废水、喷淋塔循环废水。</w:t>
      </w:r>
    </w:p>
    <w:p w14:paraId="1C3B820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生活污水经园区化粪池处理</w:t>
      </w:r>
      <w:r>
        <w:rPr>
          <w:rFonts w:hint="default" w:ascii="Times New Roman" w:hAnsi="Times New Roman" w:eastAsia="宋体" w:cs="Times New Roman"/>
          <w:color w:val="000000" w:themeColor="text1"/>
          <w:u w:val="none" w:color="auto"/>
          <w14:textFill>
            <w14:solidFill>
              <w14:schemeClr w14:val="tx1"/>
            </w14:solidFill>
          </w14:textFill>
        </w:rPr>
        <w:t>达到《污水综合排放标准》（GB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8978-1996）表4三级标准及平江高新技术产业园污水处理厂进水水质要求中的较严值后，经园区污水管网排入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p>
    <w:p w14:paraId="31F89AD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生产废水经密闭管道收集汇入隔油池+A/O预处理</w:t>
      </w:r>
      <w:r>
        <w:rPr>
          <w:rFonts w:hint="default" w:ascii="Times New Roman" w:hAnsi="Times New Roman" w:eastAsia="宋体" w:cs="Times New Roman"/>
          <w:color w:val="000000" w:themeColor="text1"/>
          <w:u w:val="none" w:color="auto"/>
          <w14:textFill>
            <w14:solidFill>
              <w14:schemeClr w14:val="tx1"/>
            </w14:solidFill>
          </w14:textFill>
        </w:rPr>
        <w:t>达到《污水综合排放标准》（GB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8978-1996）表4三级标准及平江高新技术产业园污水处理厂进水水质要求中的较严值后，经园区污水管网排入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2F1DAF3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21" w:name="_Toc32047"/>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3.2 </w:t>
      </w:r>
      <w:bookmarkStart w:id="322" w:name="_Toc188005884"/>
      <w:bookmarkStart w:id="323" w:name="_Toc204350742"/>
      <w:bookmarkStart w:id="324" w:name="_Toc199517549"/>
      <w:r>
        <w:rPr>
          <w:rFonts w:hint="default" w:ascii="Times New Roman" w:hAnsi="Times New Roman" w:eastAsia="宋体" w:cs="Times New Roman"/>
          <w:color w:val="000000" w:themeColor="text1"/>
          <w:u w:val="none" w:color="auto"/>
          <w14:textFill>
            <w14:solidFill>
              <w14:schemeClr w14:val="tx1"/>
            </w14:solidFill>
          </w14:textFill>
        </w:rPr>
        <w:t>依托平江高新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处理可行性分析</w:t>
      </w:r>
      <w:bookmarkEnd w:id="321"/>
      <w:bookmarkEnd w:id="322"/>
      <w:bookmarkEnd w:id="323"/>
      <w:bookmarkEnd w:id="324"/>
    </w:p>
    <w:p w14:paraId="20D79CE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（原湖南平江工业园污水处理厂）位于颜家铺路和兴旺路交汇处西北角，纳污范围为平江高新区伍市片区（东西两组团）。</w:t>
      </w:r>
    </w:p>
    <w:p w14:paraId="0AAA640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一期：2007</w:t>
      </w:r>
      <w:r>
        <w:rPr>
          <w:rFonts w:hint="default" w:ascii="Times New Roman" w:hAnsi="Times New Roman" w:eastAsia="宋体" w:cs="Times New Roman"/>
          <w:bCs/>
          <w:color w:val="000000" w:themeColor="text1"/>
          <w:u w:val="none" w:color="auto"/>
          <w14:textFill>
            <w14:solidFill>
              <w14:schemeClr w14:val="tx1"/>
            </w14:solidFill>
          </w14:textFill>
        </w:rPr>
        <w:t>年，取得湖南省环境保护局的批复（湘环评</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2007</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79</w:t>
      </w:r>
      <w:r>
        <w:rPr>
          <w:rFonts w:hint="default" w:ascii="Times New Roman" w:hAnsi="Times New Roman" w:eastAsia="宋体" w:cs="Times New Roman"/>
          <w:bCs/>
          <w:color w:val="000000" w:themeColor="text1"/>
          <w:u w:val="none" w:color="auto"/>
          <w14:textFill>
            <w14:solidFill>
              <w14:schemeClr w14:val="tx1"/>
            </w14:solidFill>
          </w14:textFill>
        </w:rPr>
        <w:t>号），</w:t>
      </w:r>
      <w:r>
        <w:rPr>
          <w:rFonts w:hint="default" w:ascii="Times New Roman" w:hAnsi="Times New Roman" w:eastAsia="宋体" w:cs="Times New Roman"/>
          <w:color w:val="000000" w:themeColor="text1"/>
          <w:u w:val="none" w:color="auto"/>
          <w14:textFill>
            <w14:solidFill>
              <w14:schemeClr w14:val="tx1"/>
            </w14:solidFill>
          </w14:textFill>
        </w:rPr>
        <w:t>2009</w:t>
      </w:r>
      <w:r>
        <w:rPr>
          <w:rFonts w:hint="default" w:ascii="Times New Roman" w:hAnsi="Times New Roman" w:eastAsia="宋体" w:cs="Times New Roman"/>
          <w:bCs/>
          <w:color w:val="000000" w:themeColor="text1"/>
          <w:u w:val="none" w:color="auto"/>
          <w14:textFill>
            <w14:solidFill>
              <w14:schemeClr w14:val="tx1"/>
            </w14:solidFill>
          </w14:textFill>
        </w:rPr>
        <w:t>年开工建设，</w:t>
      </w:r>
      <w:r>
        <w:rPr>
          <w:rFonts w:hint="default" w:ascii="Times New Roman" w:hAnsi="Times New Roman" w:eastAsia="宋体" w:cs="Times New Roman"/>
          <w:color w:val="000000" w:themeColor="text1"/>
          <w:u w:val="none" w:color="auto"/>
          <w14:textFill>
            <w14:solidFill>
              <w14:schemeClr w14:val="tx1"/>
            </w14:solidFill>
          </w14:textFill>
        </w:rPr>
        <w:t>2010</w:t>
      </w:r>
      <w:r>
        <w:rPr>
          <w:rFonts w:hint="default" w:ascii="Times New Roman" w:hAnsi="Times New Roman" w:eastAsia="宋体" w:cs="Times New Roman"/>
          <w:bCs/>
          <w:color w:val="000000" w:themeColor="text1"/>
          <w:u w:val="none" w:color="auto"/>
          <w14:textFill>
            <w14:solidFill>
              <w14:schemeClr w14:val="tx1"/>
            </w14:solidFill>
          </w14:textFill>
        </w:rPr>
        <w:t>年建成运营，建设时因园区入驻企业较少，污水量较少，污水处理厂一期工程建设处理规模为</w:t>
      </w:r>
      <w:r>
        <w:rPr>
          <w:rFonts w:hint="default" w:ascii="Times New Roman" w:hAnsi="Times New Roman" w:eastAsia="宋体" w:cs="Times New Roman"/>
          <w:color w:val="000000" w:themeColor="text1"/>
          <w:u w:val="none" w:color="auto"/>
          <w14:textFill>
            <w14:solidFill>
              <w14:schemeClr w14:val="tx1"/>
            </w14:solidFill>
          </w14:textFill>
        </w:rPr>
        <w:t>0.5万m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/d，出水执行</w:t>
      </w:r>
      <w:r>
        <w:rPr>
          <w:rFonts w:hint="default" w:ascii="Times New Roman" w:hAnsi="Times New Roman" w:eastAsia="宋体" w:cs="Times New Roman"/>
          <w:bCs/>
          <w:color w:val="000000" w:themeColor="text1"/>
          <w:u w:val="none" w:color="auto"/>
          <w14:textFill>
            <w14:solidFill>
              <w14:schemeClr w14:val="tx1"/>
            </w14:solidFill>
          </w14:textFill>
        </w:rPr>
        <w:t>《城镇污水处理厂污染物排放标准》</w:t>
      </w: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18918-2002）</w:t>
      </w:r>
      <w:r>
        <w:rPr>
          <w:rFonts w:hint="default" w:ascii="Times New Roman" w:hAnsi="Times New Roman" w:eastAsia="宋体" w:cs="Times New Roman"/>
          <w:bCs/>
          <w:color w:val="000000" w:themeColor="text1"/>
          <w:u w:val="none" w:color="auto"/>
          <w14:textFill>
            <w14:solidFill>
              <w14:schemeClr w14:val="tx1"/>
            </w14:solidFill>
          </w14:textFill>
        </w:rPr>
        <w:t>一级</w:t>
      </w:r>
      <w:r>
        <w:rPr>
          <w:rFonts w:hint="default" w:ascii="Times New Roman" w:hAnsi="Times New Roman" w:eastAsia="宋体" w:cs="Times New Roman"/>
          <w:color w:val="000000" w:themeColor="text1"/>
          <w:u w:val="none" w:color="auto"/>
          <w14:textFill>
            <w14:solidFill>
              <w14:schemeClr w14:val="tx1"/>
            </w14:solidFill>
          </w14:textFill>
        </w:rPr>
        <w:t>B</w:t>
      </w:r>
      <w:r>
        <w:rPr>
          <w:rFonts w:hint="default" w:ascii="Times New Roman" w:hAnsi="Times New Roman" w:eastAsia="宋体" w:cs="Times New Roman"/>
          <w:bCs/>
          <w:color w:val="000000" w:themeColor="text1"/>
          <w:u w:val="none" w:color="auto"/>
          <w14:textFill>
            <w14:solidFill>
              <w14:schemeClr w14:val="tx1"/>
            </w14:solidFill>
          </w14:textFill>
        </w:rPr>
        <w:t>标准。</w:t>
      </w:r>
      <w:r>
        <w:rPr>
          <w:rFonts w:hint="default" w:ascii="Times New Roman" w:hAnsi="Times New Roman" w:eastAsia="宋体" w:cs="Times New Roman"/>
          <w:color w:val="000000" w:themeColor="text1"/>
          <w:u w:val="none" w:color="auto"/>
          <w14:textFill>
            <w14:solidFill>
              <w14:schemeClr w14:val="tx1"/>
            </w14:solidFill>
          </w14:textFill>
        </w:rPr>
        <w:t>2010年5月，湖南省环境保护厅通过湖南平江工业园污水处理工程（5000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/d）阶段性竣工环保验收（湘环评验</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2010</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47号）。2019年一期工程开展提标改造，2019年7月，平江县环境保护局对提标改造工程进行了批复（平环批园字</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2019</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71102号），2019年9月提标改造工程投产运行，出水</w:t>
      </w:r>
      <w:r>
        <w:rPr>
          <w:rFonts w:hint="default" w:ascii="Times New Roman" w:hAnsi="Times New Roman" w:eastAsia="宋体" w:cs="Times New Roman"/>
          <w:bCs/>
          <w:color w:val="000000" w:themeColor="text1"/>
          <w:u w:val="none" w:color="auto"/>
          <w14:textFill>
            <w14:solidFill>
              <w14:schemeClr w14:val="tx1"/>
            </w14:solidFill>
          </w14:textFill>
        </w:rPr>
        <w:t>由《城镇污水处理厂污染物排放标准》</w:t>
      </w: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18918-2002）</w:t>
      </w:r>
      <w:r>
        <w:rPr>
          <w:rFonts w:hint="default" w:ascii="Times New Roman" w:hAnsi="Times New Roman" w:eastAsia="宋体" w:cs="Times New Roman"/>
          <w:bCs/>
          <w:color w:val="000000" w:themeColor="text1"/>
          <w:u w:val="none" w:color="auto"/>
          <w14:textFill>
            <w14:solidFill>
              <w14:schemeClr w14:val="tx1"/>
            </w14:solidFill>
          </w14:textFill>
        </w:rPr>
        <w:t>一级</w:t>
      </w:r>
      <w:r>
        <w:rPr>
          <w:rFonts w:hint="default" w:ascii="Times New Roman" w:hAnsi="Times New Roman" w:eastAsia="宋体" w:cs="Times New Roman"/>
          <w:color w:val="000000" w:themeColor="text1"/>
          <w:u w:val="none" w:color="auto"/>
          <w14:textFill>
            <w14:solidFill>
              <w14:schemeClr w14:val="tx1"/>
            </w14:solidFill>
          </w14:textFill>
        </w:rPr>
        <w:t>B</w:t>
      </w:r>
      <w:r>
        <w:rPr>
          <w:rFonts w:hint="default" w:ascii="Times New Roman" w:hAnsi="Times New Roman" w:eastAsia="宋体" w:cs="Times New Roman"/>
          <w:bCs/>
          <w:color w:val="000000" w:themeColor="text1"/>
          <w:u w:val="none" w:color="auto"/>
          <w14:textFill>
            <w14:solidFill>
              <w14:schemeClr w14:val="tx1"/>
            </w14:solidFill>
          </w14:textFill>
        </w:rPr>
        <w:t>标准提标改造至一级A标准。</w:t>
      </w:r>
    </w:p>
    <w:p w14:paraId="45CBC61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二期：2017年，园区启动了湖南平江工业园</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二期增容扩建，扩建规模为0.5万m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bCs/>
          <w:color w:val="000000" w:themeColor="text1"/>
          <w:u w:val="none" w:color="auto"/>
          <w14:textFill>
            <w14:solidFill>
              <w14:schemeClr w14:val="tx1"/>
            </w14:solidFill>
          </w14:textFill>
        </w:rPr>
        <w:t>采用</w:t>
      </w:r>
      <w:r>
        <w:rPr>
          <w:rFonts w:hint="default" w:ascii="Times New Roman" w:hAnsi="Times New Roman" w:eastAsia="宋体" w:cs="Times New Roman"/>
          <w:color w:val="000000" w:themeColor="text1"/>
          <w:u w:val="none" w:color="auto"/>
          <w14:textFill>
            <w14:solidFill>
              <w14:schemeClr w14:val="tx1"/>
            </w14:solidFill>
          </w14:textFill>
        </w:rPr>
        <w:t>预处理+</w:t>
      </w:r>
      <w:r>
        <w:rPr>
          <w:rFonts w:hint="default" w:ascii="Times New Roman" w:hAnsi="Times New Roman" w:eastAsia="宋体" w:cs="Times New Roman"/>
          <w:bCs/>
          <w:color w:val="000000" w:themeColor="text1"/>
          <w:u w:val="none" w:color="auto"/>
          <w14:textFill>
            <w14:solidFill>
              <w14:schemeClr w14:val="tx1"/>
            </w14:solidFill>
          </w14:textFill>
        </w:rPr>
        <w:t>A</w:t>
      </w:r>
      <w:r>
        <w:rPr>
          <w:rFonts w:hint="default" w:ascii="Times New Roman" w:hAnsi="Times New Roman" w:eastAsia="宋体" w:cs="Times New Roman"/>
          <w:bCs/>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bCs/>
          <w:color w:val="000000" w:themeColor="text1"/>
          <w:u w:val="none" w:color="auto"/>
          <w14:textFill>
            <w14:solidFill>
              <w14:schemeClr w14:val="tx1"/>
            </w14:solidFill>
          </w14:textFill>
        </w:rPr>
        <w:t>O+MBR+紫外线消毒排放</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bCs/>
          <w:color w:val="000000" w:themeColor="text1"/>
          <w:u w:val="none" w:color="auto"/>
          <w14:textFill>
            <w14:solidFill>
              <w14:schemeClr w14:val="tx1"/>
            </w14:solidFill>
          </w14:textFill>
        </w:rPr>
        <w:t>尾水执行《城镇污水处理厂污染物排放标准》</w:t>
      </w: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18918-2002）</w:t>
      </w:r>
      <w:r>
        <w:rPr>
          <w:rFonts w:hint="default" w:ascii="Times New Roman" w:hAnsi="Times New Roman" w:eastAsia="宋体" w:cs="Times New Roman"/>
          <w:bCs/>
          <w:color w:val="000000" w:themeColor="text1"/>
          <w:u w:val="none" w:color="auto"/>
          <w14:textFill>
            <w14:solidFill>
              <w14:schemeClr w14:val="tx1"/>
            </w14:solidFill>
          </w14:textFill>
        </w:rPr>
        <w:t>一级</w:t>
      </w:r>
      <w:r>
        <w:rPr>
          <w:rFonts w:hint="default" w:ascii="Times New Roman" w:hAnsi="Times New Roman" w:eastAsia="宋体" w:cs="Times New Roman"/>
          <w:color w:val="000000" w:themeColor="text1"/>
          <w:u w:val="none" w:color="auto"/>
          <w14:textFill>
            <w14:solidFill>
              <w14:schemeClr w14:val="tx1"/>
            </w14:solidFill>
          </w14:textFill>
        </w:rPr>
        <w:t>A</w:t>
      </w:r>
      <w:r>
        <w:rPr>
          <w:rFonts w:hint="default" w:ascii="Times New Roman" w:hAnsi="Times New Roman" w:eastAsia="宋体" w:cs="Times New Roman"/>
          <w:bCs/>
          <w:color w:val="000000" w:themeColor="text1"/>
          <w:u w:val="none" w:color="auto"/>
          <w14:textFill>
            <w14:solidFill>
              <w14:schemeClr w14:val="tx1"/>
            </w14:solidFill>
          </w14:textFill>
        </w:rPr>
        <w:t>标准</w:t>
      </w:r>
      <w:r>
        <w:rPr>
          <w:rFonts w:hint="default" w:ascii="Times New Roman" w:hAnsi="Times New Roman" w:eastAsia="宋体" w:cs="Times New Roman"/>
          <w:color w:val="000000" w:themeColor="text1"/>
          <w:u w:val="none" w:color="auto"/>
          <w14:textFill>
            <w14:solidFill>
              <w14:schemeClr w14:val="tx1"/>
            </w14:solidFill>
          </w14:textFill>
        </w:rPr>
        <w:t>。2017年8月，平江县环保局批复了《关于湖南平江工业园</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增容扩建项目项目环境影响报告书的批复》平环批字</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2017</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81033号。2018年12月建成运营，2019年5月8日，进行了竣工环境保护自主验收。</w:t>
      </w:r>
    </w:p>
    <w:p w14:paraId="357B5BF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三期：2024年启动三期扩建工程，三期扩建规模</w:t>
      </w:r>
      <w:r>
        <w:rPr>
          <w:rFonts w:hint="default" w:ascii="Times New Roman" w:hAnsi="Times New Roman" w:eastAsia="宋体" w:cs="Times New Roman"/>
          <w:color w:val="000000" w:themeColor="text1"/>
          <w:u w:val="none" w:color="auto"/>
          <w14:textFill>
            <w14:solidFill>
              <w14:schemeClr w14:val="tx1"/>
            </w14:solidFill>
          </w14:textFill>
        </w:rPr>
        <w:t>10000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bCs/>
          <w:color w:val="000000" w:themeColor="text1"/>
          <w:u w:val="none" w:color="auto"/>
          <w14:textFill>
            <w14:solidFill>
              <w14:schemeClr w14:val="tx1"/>
            </w14:solidFill>
          </w14:textFill>
        </w:rPr>
        <w:t>，三期扩建投产后污水处理厂总处理规模</w:t>
      </w:r>
      <w:r>
        <w:rPr>
          <w:rFonts w:hint="default" w:ascii="Times New Roman" w:hAnsi="Times New Roman" w:eastAsia="宋体" w:cs="Times New Roman"/>
          <w:color w:val="000000" w:themeColor="text1"/>
          <w:u w:val="none" w:color="auto"/>
          <w14:textFill>
            <w14:solidFill>
              <w14:schemeClr w14:val="tx1"/>
            </w14:solidFill>
          </w14:textFill>
        </w:rPr>
        <w:t>20000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bCs/>
          <w:color w:val="000000" w:themeColor="text1"/>
          <w:u w:val="none" w:color="auto"/>
          <w14:textFill>
            <w14:solidFill>
              <w14:schemeClr w14:val="tx1"/>
            </w14:solidFill>
          </w14:textFill>
        </w:rPr>
        <w:t>，其中一、二期规模</w:t>
      </w:r>
      <w:r>
        <w:rPr>
          <w:rFonts w:hint="default" w:ascii="Times New Roman" w:hAnsi="Times New Roman" w:eastAsia="宋体" w:cs="Times New Roman"/>
          <w:color w:val="000000" w:themeColor="text1"/>
          <w:u w:val="none" w:color="auto"/>
          <w14:textFill>
            <w14:solidFill>
              <w14:schemeClr w14:val="tx1"/>
            </w14:solidFill>
          </w14:textFill>
        </w:rPr>
        <w:t>10000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/d，三期</w:t>
      </w:r>
      <w:r>
        <w:rPr>
          <w:rFonts w:hint="default" w:ascii="Times New Roman" w:hAnsi="Times New Roman" w:eastAsia="宋体" w:cs="Times New Roman"/>
          <w:bCs/>
          <w:color w:val="000000" w:themeColor="text1"/>
          <w:u w:val="none" w:color="auto"/>
          <w14:textFill>
            <w14:solidFill>
              <w14:schemeClr w14:val="tx1"/>
            </w14:solidFill>
          </w14:textFill>
        </w:rPr>
        <w:t>规模</w:t>
      </w:r>
      <w:r>
        <w:rPr>
          <w:rFonts w:hint="default" w:ascii="Times New Roman" w:hAnsi="Times New Roman" w:eastAsia="宋体" w:cs="Times New Roman"/>
          <w:color w:val="000000" w:themeColor="text1"/>
          <w:u w:val="none" w:color="auto"/>
          <w14:textFill>
            <w14:solidFill>
              <w14:schemeClr w14:val="tx1"/>
            </w14:solidFill>
          </w14:textFill>
        </w:rPr>
        <w:t>10000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bCs/>
          <w:color w:val="000000" w:themeColor="text1"/>
          <w:u w:val="none" w:color="auto"/>
          <w14:textFill>
            <w14:solidFill>
              <w14:schemeClr w14:val="tx1"/>
            </w14:solidFill>
          </w14:textFill>
        </w:rPr>
        <w:t>三期生化处理规模</w:t>
      </w:r>
      <w:r>
        <w:rPr>
          <w:rFonts w:hint="default" w:ascii="Times New Roman" w:hAnsi="Times New Roman" w:eastAsia="宋体" w:cs="Times New Roman"/>
          <w:color w:val="000000" w:themeColor="text1"/>
          <w:u w:val="none" w:color="auto"/>
          <w14:textFill>
            <w14:solidFill>
              <w14:schemeClr w14:val="tx1"/>
            </w14:solidFill>
          </w14:textFill>
        </w:rPr>
        <w:t>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m³/d</w:t>
      </w:r>
      <w:r>
        <w:rPr>
          <w:rFonts w:hint="default" w:ascii="Times New Roman" w:hAnsi="Times New Roman" w:eastAsia="宋体" w:cs="Times New Roman"/>
          <w:bCs/>
          <w:color w:val="000000" w:themeColor="text1"/>
          <w:u w:val="none" w:color="auto"/>
          <w14:textFill>
            <w14:solidFill>
              <w14:schemeClr w14:val="tx1"/>
            </w14:solidFill>
          </w14:textFill>
        </w:rPr>
        <w:t>，主要工艺为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A</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O-MBR</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bCs/>
          <w:color w:val="000000" w:themeColor="text1"/>
          <w:u w:val="none" w:color="auto"/>
          <w14:textFill>
            <w14:solidFill>
              <w14:schemeClr w14:val="tx1"/>
            </w14:solidFill>
          </w14:textFill>
        </w:rPr>
        <w:t>，处理园区生产生活废水；物理处理规模</w:t>
      </w:r>
      <w:r>
        <w:rPr>
          <w:rFonts w:hint="default" w:ascii="Times New Roman" w:hAnsi="Times New Roman" w:eastAsia="宋体" w:cs="Times New Roman"/>
          <w:color w:val="000000" w:themeColor="text1"/>
          <w:u w:val="none" w:color="auto"/>
          <w14:textFill>
            <w14:solidFill>
              <w14:schemeClr w14:val="tx1"/>
            </w14:solidFill>
          </w14:textFill>
        </w:rPr>
        <w:t>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m³/d</w:t>
      </w:r>
      <w:r>
        <w:rPr>
          <w:rFonts w:hint="default" w:ascii="Times New Roman" w:hAnsi="Times New Roman" w:eastAsia="宋体" w:cs="Times New Roman"/>
          <w:bCs/>
          <w:color w:val="000000" w:themeColor="text1"/>
          <w:u w:val="none" w:color="auto"/>
          <w14:textFill>
            <w14:solidFill>
              <w14:schemeClr w14:val="tx1"/>
            </w14:solidFill>
          </w14:textFill>
        </w:rPr>
        <w:t>，主要工艺为沉淀，处理废水主要为湖南荣泰新材料科技有限公司预处理废水。三期增加</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bCs/>
          <w:color w:val="000000" w:themeColor="text1"/>
          <w:u w:val="none" w:color="auto"/>
          <w14:textFill>
            <w14:solidFill>
              <w14:schemeClr w14:val="tx1"/>
            </w14:solidFill>
          </w14:textFill>
        </w:rPr>
        <w:t>高效沉淀</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bCs/>
          <w:color w:val="000000" w:themeColor="text1"/>
          <w:u w:val="none" w:color="auto"/>
          <w14:textFill>
            <w14:solidFill>
              <w14:schemeClr w14:val="tx1"/>
            </w14:solidFill>
          </w14:textFill>
        </w:rPr>
        <w:t>反硝化滤池工艺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bCs/>
          <w:color w:val="000000" w:themeColor="text1"/>
          <w:u w:val="none" w:color="auto"/>
          <w14:textFill>
            <w14:solidFill>
              <w14:schemeClr w14:val="tx1"/>
            </w14:solidFill>
          </w14:textFill>
        </w:rPr>
        <w:t>深度处理规模</w:t>
      </w:r>
      <w:r>
        <w:rPr>
          <w:rFonts w:hint="default" w:ascii="Times New Roman" w:hAnsi="Times New Roman" w:eastAsia="宋体" w:cs="Times New Roman"/>
          <w:color w:val="000000" w:themeColor="text1"/>
          <w:u w:val="none" w:color="auto"/>
          <w14:textFill>
            <w14:solidFill>
              <w14:schemeClr w14:val="tx1"/>
            </w14:solidFill>
          </w14:textFill>
        </w:rPr>
        <w:t>15000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bCs/>
          <w:color w:val="000000" w:themeColor="text1"/>
          <w:u w:val="none" w:color="auto"/>
          <w14:textFill>
            <w14:solidFill>
              <w14:schemeClr w14:val="tx1"/>
            </w14:solidFill>
          </w14:textFill>
        </w:rPr>
        <w:t>，一、二、三期经生化处理后的污水一并引入</w:t>
      </w:r>
      <w:r>
        <w:rPr>
          <w:rFonts w:hint="default" w:ascii="Times New Roman" w:hAnsi="Times New Roman" w:eastAsia="宋体" w:cs="Times New Roman"/>
          <w:color w:val="000000" w:themeColor="text1"/>
          <w:u w:val="none" w:color="auto"/>
          <w14:textFill>
            <w14:solidFill>
              <w14:schemeClr w14:val="tx1"/>
            </w14:solidFill>
          </w14:textFill>
        </w:rPr>
        <w:t>15000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bCs/>
          <w:color w:val="000000" w:themeColor="text1"/>
          <w:u w:val="none" w:color="auto"/>
          <w14:textFill>
            <w14:solidFill>
              <w14:schemeClr w14:val="tx1"/>
            </w14:solidFill>
          </w14:textFill>
        </w:rPr>
        <w:t>的深度处理段处理再同来自湖南荣泰新材料科技有限公司</w:t>
      </w:r>
      <w:r>
        <w:rPr>
          <w:rFonts w:hint="default" w:ascii="Times New Roman" w:hAnsi="Times New Roman" w:eastAsia="宋体" w:cs="Times New Roman"/>
          <w:color w:val="000000" w:themeColor="text1"/>
          <w:u w:val="none" w:color="auto"/>
          <w14:textFill>
            <w14:solidFill>
              <w14:schemeClr w14:val="tx1"/>
            </w14:solidFill>
          </w14:textFill>
        </w:rPr>
        <w:t>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bCs/>
          <w:color w:val="000000" w:themeColor="text1"/>
          <w:u w:val="none" w:color="auto"/>
          <w14:textFill>
            <w14:solidFill>
              <w14:schemeClr w14:val="tx1"/>
            </w14:solidFill>
          </w14:textFill>
        </w:rPr>
        <w:t>废水一起通过紫外消毒处理</w:t>
      </w:r>
      <w:r>
        <w:rPr>
          <w:rFonts w:hint="default" w:ascii="Times New Roman" w:hAnsi="Times New Roman" w:eastAsia="宋体" w:cs="Times New Roman"/>
          <w:color w:val="000000" w:themeColor="text1"/>
          <w:u w:val="none" w:color="auto"/>
          <w14:textFill>
            <w14:solidFill>
              <w14:schemeClr w14:val="tx1"/>
            </w14:solidFill>
          </w14:textFill>
        </w:rPr>
        <w:t>COD、NH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-N、TP、TN达到《湖南省城镇污水处理厂主要水污染物排放标准（DB43/T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1546-2018）》表1中二级标准，其它污染物达到《城镇污水处理厂污染物排放标准》（GB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18918-2002）一级A标准排放，排污口位于</w:t>
      </w:r>
      <w:r>
        <w:rPr>
          <w:rFonts w:hint="default" w:ascii="Times New Roman" w:hAnsi="Times New Roman" w:eastAsia="宋体" w:cs="Times New Roman"/>
          <w:bCs/>
          <w:color w:val="000000" w:themeColor="text1"/>
          <w:u w:val="none" w:color="auto"/>
          <w14:textFill>
            <w14:solidFill>
              <w14:schemeClr w14:val="tx1"/>
            </w14:solidFill>
          </w14:textFill>
        </w:rPr>
        <w:t>凌公桥河右岸（坐标东经</w:t>
      </w:r>
      <w:r>
        <w:rPr>
          <w:rFonts w:hint="default" w:ascii="Times New Roman" w:hAnsi="Times New Roman" w:eastAsia="宋体" w:cs="Times New Roman"/>
          <w:color w:val="000000" w:themeColor="text1"/>
          <w:u w:val="none" w:color="auto"/>
          <w14:textFill>
            <w14:solidFill>
              <w14:schemeClr w14:val="tx1"/>
            </w14:solidFill>
          </w14:textFill>
        </w:rPr>
        <w:t>113°16′14.638″</w:t>
      </w:r>
      <w:r>
        <w:rPr>
          <w:rFonts w:hint="default" w:ascii="Times New Roman" w:hAnsi="Times New Roman" w:eastAsia="宋体" w:cs="Times New Roman"/>
          <w:bCs/>
          <w:color w:val="000000" w:themeColor="text1"/>
          <w:u w:val="none" w:color="auto"/>
          <w14:textFill>
            <w14:solidFill>
              <w14:schemeClr w14:val="tx1"/>
            </w14:solidFill>
          </w14:textFill>
        </w:rPr>
        <w:t>，北纬</w:t>
      </w:r>
      <w:r>
        <w:rPr>
          <w:rFonts w:hint="default" w:ascii="Times New Roman" w:hAnsi="Times New Roman" w:eastAsia="宋体" w:cs="Times New Roman"/>
          <w:color w:val="000000" w:themeColor="text1"/>
          <w:u w:val="none" w:color="auto"/>
          <w14:textFill>
            <w14:solidFill>
              <w14:schemeClr w14:val="tx1"/>
            </w14:solidFill>
          </w14:textFill>
        </w:rPr>
        <w:t>28°46′55.787″</w:t>
      </w:r>
      <w:r>
        <w:rPr>
          <w:rFonts w:hint="default" w:ascii="Times New Roman" w:hAnsi="Times New Roman" w:eastAsia="宋体" w:cs="Times New Roman"/>
          <w:bCs/>
          <w:color w:val="000000" w:themeColor="text1"/>
          <w:u w:val="none" w:color="auto"/>
          <w14:textFill>
            <w14:solidFill>
              <w14:schemeClr w14:val="tx1"/>
            </w14:solidFill>
          </w14:textFill>
        </w:rPr>
        <w:t>）。</w:t>
      </w:r>
    </w:p>
    <w:p w14:paraId="5884C78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15000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/d生化处理已建成，5000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/d物理沉淀处理在建，建成后取缔湖南荣泰新材料科技有限公司现有排污口，生产废水通过新建专用管道排入平江高新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处理，不再直接排放。</w:t>
      </w:r>
    </w:p>
    <w:p w14:paraId="78E6B4D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2023年12月7日，取得岳阳市生态环境局《关于平江高新技术产业园区（伍市片区）入河排污口设置的批复》，入河排污口设置批复规模</w:t>
      </w:r>
      <w:r>
        <w:rPr>
          <w:rFonts w:hint="default" w:ascii="Times New Roman" w:hAnsi="Times New Roman" w:eastAsia="宋体" w:cs="Times New Roman"/>
          <w:color w:val="000000" w:themeColor="text1"/>
          <w:u w:val="none" w:color="auto"/>
          <w14:textFill>
            <w14:solidFill>
              <w14:schemeClr w14:val="tx1"/>
            </w14:solidFill>
          </w14:textFill>
        </w:rPr>
        <w:t>20000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/d，入河排污口位置凌公桥河，流经凌公桥河1.1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km汇入汨罗江。</w:t>
      </w:r>
    </w:p>
    <w:p w14:paraId="45B3BA0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u w:val="none" w:color="auto"/>
          <w14:textFill>
            <w14:solidFill>
              <w14:schemeClr w14:val="tx1"/>
            </w14:solidFill>
          </w14:textFill>
        </w:rPr>
        <w:t>2024年2月28日，取得岳阳市生态环境局关于湖南平江高新</w:t>
      </w:r>
      <w:r>
        <w:rPr>
          <w:rFonts w:hint="default" w:ascii="Times New Roman" w:hAnsi="Times New Roman" w:eastAsia="宋体" w:cs="Times New Roman"/>
          <w:bCs/>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bCs/>
          <w:color w:val="000000" w:themeColor="text1"/>
          <w:u w:val="none" w:color="auto"/>
          <w14:textFill>
            <w14:solidFill>
              <w14:schemeClr w14:val="tx1"/>
            </w14:solidFill>
          </w14:textFill>
        </w:rPr>
        <w:t>三期建设项目的环评批复（岳平环评</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bCs/>
          <w:color w:val="000000" w:themeColor="text1"/>
          <w:u w:val="none" w:color="auto"/>
          <w14:textFill>
            <w14:solidFill>
              <w14:schemeClr w14:val="tx1"/>
            </w14:solidFill>
          </w14:textFill>
        </w:rPr>
        <w:t>2024</w:t>
      </w:r>
      <w:r>
        <w:rPr>
          <w:rFonts w:hint="default" w:ascii="Times New Roman" w:hAnsi="Times New Roman" w:eastAsia="宋体" w:cs="Times New Roman"/>
          <w:bCs/>
          <w:color w:val="000000" w:themeColor="text1"/>
          <w:u w:val="none" w:color="auto"/>
          <w:lang w:eastAsia="zh-CN"/>
          <w14:textFill>
            <w14:solidFill>
              <w14:schemeClr w14:val="tx1"/>
            </w14:solidFill>
          </w14:textFill>
        </w:rPr>
        <w:t>〕</w:t>
      </w:r>
      <w:r>
        <w:rPr>
          <w:rFonts w:hint="default" w:ascii="Times New Roman" w:hAnsi="Times New Roman" w:eastAsia="宋体" w:cs="Times New Roman"/>
          <w:bCs/>
          <w:color w:val="000000" w:themeColor="text1"/>
          <w:u w:val="none" w:color="auto"/>
          <w14:textFill>
            <w14:solidFill>
              <w14:schemeClr w14:val="tx1"/>
            </w14:solidFill>
          </w14:textFill>
        </w:rPr>
        <w:t>015号）。</w:t>
      </w:r>
    </w:p>
    <w:p w14:paraId="1AF45B0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因此本环评从水质、水量和接管时间三方面就本项目废水接入集中式污水处理厂的可行性进行分析。</w:t>
      </w:r>
    </w:p>
    <w:p w14:paraId="2B544BF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（1）从水质上分析</w:t>
      </w:r>
    </w:p>
    <w:p w14:paraId="5BF346A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项目生活污水通过化粪池预处理后，出水水质能够满足《污水综合排放标准》（GB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8978-1996）三级标准，能达到平江高新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接管要求</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项目生产废水经隔油池+A/O预处理后，出水水质</w:t>
      </w:r>
      <w:r>
        <w:rPr>
          <w:rFonts w:hint="default" w:ascii="Times New Roman" w:hAnsi="Times New Roman" w:eastAsia="宋体" w:cs="Times New Roman"/>
          <w:color w:val="000000" w:themeColor="text1"/>
          <w:u w:val="none" w:color="auto"/>
          <w14:textFill>
            <w14:solidFill>
              <w14:schemeClr w14:val="tx1"/>
            </w14:solidFill>
          </w14:textFill>
        </w:rPr>
        <w:t>能达到平江高新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接管要求</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因此从水质上说，本项目生活污水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和生产废水</w:t>
      </w:r>
      <w:r>
        <w:rPr>
          <w:rFonts w:hint="default" w:ascii="Times New Roman" w:hAnsi="Times New Roman" w:eastAsia="宋体" w:cs="Times New Roman"/>
          <w:color w:val="000000" w:themeColor="text1"/>
          <w:u w:val="none" w:color="auto"/>
          <w14:textFill>
            <w14:solidFill>
              <w14:schemeClr w14:val="tx1"/>
            </w14:solidFill>
          </w14:textFill>
        </w:rPr>
        <w:t>接入平江高新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进行处理是可行的。</w:t>
      </w:r>
    </w:p>
    <w:p w14:paraId="1EEB560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（2）从水量上分析</w:t>
      </w:r>
    </w:p>
    <w:p w14:paraId="45503C0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本项目生活污水产生量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2.32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696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生产废水产生量1.0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/a）</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根据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现场踏勘，</w:t>
      </w:r>
      <w:r>
        <w:rPr>
          <w:rFonts w:hint="default" w:ascii="Times New Roman" w:hAnsi="Times New Roman" w:eastAsia="宋体" w:cs="Times New Roman"/>
          <w:color w:val="000000" w:themeColor="text1"/>
          <w:u w:val="none" w:color="auto"/>
          <w14:textFill>
            <w14:solidFill>
              <w14:schemeClr w14:val="tx1"/>
            </w14:solidFill>
          </w14:textFill>
        </w:rPr>
        <w:t>目前平江高新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处理的最大污水量约为1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4600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/d，剩余</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/d，本项目污水排放量约为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/d，有充足容量，不会影响平江高新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的正常运行。</w:t>
      </w:r>
    </w:p>
    <w:p w14:paraId="321CEC6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（3）从管网建设上分析</w:t>
      </w:r>
    </w:p>
    <w:p w14:paraId="1AA62D4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根据对项目现场情况调查，项目所在区域污水管网已建设到位，生活污水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和生产废水均</w:t>
      </w:r>
      <w:r>
        <w:rPr>
          <w:rFonts w:hint="default" w:ascii="Times New Roman" w:hAnsi="Times New Roman" w:eastAsia="宋体" w:cs="Times New Roman"/>
          <w:color w:val="000000" w:themeColor="text1"/>
          <w:u w:val="none" w:color="auto"/>
          <w14:textFill>
            <w14:solidFill>
              <w14:schemeClr w14:val="tx1"/>
            </w14:solidFill>
          </w14:textFill>
        </w:rPr>
        <w:t>可以通过市政管网进入污水处理厂。</w:t>
      </w:r>
    </w:p>
    <w:p w14:paraId="7423819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pPr>
      <w:r>
        <w:rPr>
          <w:rFonts w:hint="default" w:ascii="Times New Roman" w:hAnsi="Times New Roman" w:eastAsia="宋体" w:cs="Times New Roman"/>
          <w:color w:val="000000" w:themeColor="text1"/>
          <w:u w:val="none" w:color="auto"/>
          <w14:textFill>
            <w14:solidFill>
              <w14:schemeClr w14:val="tx1"/>
            </w14:solidFill>
          </w14:textFill>
        </w:rPr>
        <w:t>因此，从水质、水量和管网建设三方面分析，本项目生活污水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和生产废水</w:t>
      </w:r>
      <w:r>
        <w:rPr>
          <w:rFonts w:hint="default" w:ascii="Times New Roman" w:hAnsi="Times New Roman" w:eastAsia="宋体" w:cs="Times New Roman"/>
          <w:color w:val="000000" w:themeColor="text1"/>
          <w:u w:val="none" w:color="auto"/>
          <w14:textFill>
            <w14:solidFill>
              <w14:schemeClr w14:val="tx1"/>
            </w14:solidFill>
          </w14:textFill>
        </w:rPr>
        <w:t>接入平江高新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是可行的。本项目废水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经预</w:t>
      </w:r>
      <w:r>
        <w:rPr>
          <w:rFonts w:hint="default" w:ascii="Times New Roman" w:hAnsi="Times New Roman" w:eastAsia="宋体" w:cs="Times New Roman"/>
          <w:color w:val="000000" w:themeColor="text1"/>
          <w:u w:val="none" w:color="auto"/>
          <w14:textFill>
            <w14:solidFill>
              <w14:schemeClr w14:val="tx1"/>
            </w14:solidFill>
          </w14:textFill>
        </w:rPr>
        <w:t>处理达标后可排入污水处理厂集中处理，最终达标排入凌公桥河水域，对凌公桥河环境影响较小。</w:t>
      </w:r>
      <w:bookmarkStart w:id="325" w:name="_Toc204350743"/>
      <w:bookmarkStart w:id="326" w:name="_Toc199517551"/>
      <w:bookmarkStart w:id="327" w:name="_Toc188005885"/>
    </w:p>
    <w:p w14:paraId="112F4950">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28" w:name="_Toc779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废水污染物排放信息表</w:t>
      </w:r>
      <w:bookmarkEnd w:id="325"/>
      <w:bookmarkEnd w:id="326"/>
      <w:bookmarkEnd w:id="327"/>
      <w:bookmarkEnd w:id="328"/>
    </w:p>
    <w:p w14:paraId="5E1C323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根据工程分析，按照《环境影响评价技术导则 地表水环境》（HJ 2.3-2018）附录G，本项目废水污染物排放信息情况见以下列表。</w:t>
      </w:r>
    </w:p>
    <w:p w14:paraId="7AC0467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（1）废水类别、污染物及污染治理设施信息</w:t>
      </w:r>
    </w:p>
    <w:p w14:paraId="3D5D450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建设项目废水类别、污染物及治理设施信息见下表所示。</w:t>
      </w:r>
    </w:p>
    <w:p w14:paraId="3E2E4E73">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3-1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废水类别、污染物及污染治理设施信息表</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17" w:type="dxa"/>
          <w:left w:w="17" w:type="dxa"/>
          <w:bottom w:w="17" w:type="dxa"/>
          <w:right w:w="17" w:type="dxa"/>
        </w:tblCellMar>
      </w:tblPr>
      <w:tblGrid>
        <w:gridCol w:w="396"/>
        <w:gridCol w:w="458"/>
        <w:gridCol w:w="837"/>
        <w:gridCol w:w="648"/>
        <w:gridCol w:w="718"/>
        <w:gridCol w:w="636"/>
        <w:gridCol w:w="892"/>
        <w:gridCol w:w="763"/>
        <w:gridCol w:w="676"/>
        <w:gridCol w:w="825"/>
        <w:gridCol w:w="1497"/>
      </w:tblGrid>
      <w:tr w14:paraId="1B4B87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7" w:type="dxa"/>
            <w:left w:w="17" w:type="dxa"/>
            <w:bottom w:w="17" w:type="dxa"/>
            <w:right w:w="17" w:type="dxa"/>
          </w:tblCellMar>
        </w:tblPrEx>
        <w:trPr>
          <w:trHeight w:val="228" w:hRule="atLeast"/>
          <w:tblHeader/>
        </w:trPr>
        <w:tc>
          <w:tcPr>
            <w:tcW w:w="237" w:type="pct"/>
            <w:vMerge w:val="restart"/>
            <w:vAlign w:val="center"/>
          </w:tcPr>
          <w:p w14:paraId="118466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274" w:type="pct"/>
            <w:vMerge w:val="restart"/>
            <w:vAlign w:val="center"/>
          </w:tcPr>
          <w:p w14:paraId="1F49C7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w:t>
            </w:r>
          </w:p>
          <w:p w14:paraId="6C81AC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类别</w:t>
            </w:r>
          </w:p>
        </w:tc>
        <w:tc>
          <w:tcPr>
            <w:tcW w:w="501" w:type="pct"/>
            <w:vMerge w:val="restart"/>
            <w:vAlign w:val="center"/>
          </w:tcPr>
          <w:p w14:paraId="45B546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污染物种类</w:t>
            </w:r>
          </w:p>
        </w:tc>
        <w:tc>
          <w:tcPr>
            <w:tcW w:w="388" w:type="pct"/>
            <w:vMerge w:val="restart"/>
            <w:vAlign w:val="center"/>
          </w:tcPr>
          <w:p w14:paraId="565DA4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w:t>
            </w:r>
          </w:p>
          <w:p w14:paraId="616CE4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去向</w:t>
            </w:r>
          </w:p>
        </w:tc>
        <w:tc>
          <w:tcPr>
            <w:tcW w:w="430" w:type="pct"/>
            <w:vMerge w:val="restart"/>
            <w:vAlign w:val="center"/>
          </w:tcPr>
          <w:p w14:paraId="297A08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w:t>
            </w:r>
          </w:p>
          <w:p w14:paraId="49B76A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规律</w:t>
            </w:r>
          </w:p>
        </w:tc>
        <w:tc>
          <w:tcPr>
            <w:tcW w:w="1372" w:type="pct"/>
            <w:gridSpan w:val="3"/>
            <w:vAlign w:val="center"/>
          </w:tcPr>
          <w:p w14:paraId="1C7747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污染治理设施</w:t>
            </w:r>
          </w:p>
        </w:tc>
        <w:tc>
          <w:tcPr>
            <w:tcW w:w="404" w:type="pct"/>
            <w:vMerge w:val="restart"/>
            <w:vAlign w:val="center"/>
          </w:tcPr>
          <w:p w14:paraId="26F80C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排放口编号</w:t>
            </w:r>
          </w:p>
        </w:tc>
        <w:tc>
          <w:tcPr>
            <w:tcW w:w="494" w:type="pct"/>
            <w:vMerge w:val="restart"/>
            <w:vAlign w:val="center"/>
          </w:tcPr>
          <w:p w14:paraId="14F415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排放口设置是否符合要求</w:t>
            </w:r>
          </w:p>
        </w:tc>
        <w:tc>
          <w:tcPr>
            <w:tcW w:w="896" w:type="pct"/>
            <w:vMerge w:val="restart"/>
            <w:vAlign w:val="center"/>
          </w:tcPr>
          <w:p w14:paraId="72E355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排放口</w:t>
            </w:r>
          </w:p>
          <w:p w14:paraId="164CCC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类型</w:t>
            </w:r>
          </w:p>
        </w:tc>
      </w:tr>
      <w:tr w14:paraId="219689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7" w:type="dxa"/>
            <w:left w:w="17" w:type="dxa"/>
            <w:bottom w:w="17" w:type="dxa"/>
            <w:right w:w="17" w:type="dxa"/>
          </w:tblCellMar>
        </w:tblPrEx>
        <w:trPr>
          <w:trHeight w:val="600" w:hRule="atLeast"/>
          <w:tblHeader/>
        </w:trPr>
        <w:tc>
          <w:tcPr>
            <w:tcW w:w="237" w:type="pct"/>
            <w:vMerge w:val="continue"/>
            <w:vAlign w:val="center"/>
          </w:tcPr>
          <w:p w14:paraId="3B8FB2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74" w:type="pct"/>
            <w:vMerge w:val="continue"/>
            <w:vAlign w:val="center"/>
          </w:tcPr>
          <w:p w14:paraId="12B28C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01" w:type="pct"/>
            <w:vMerge w:val="continue"/>
            <w:vAlign w:val="center"/>
          </w:tcPr>
          <w:p w14:paraId="66C736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88" w:type="pct"/>
            <w:vMerge w:val="continue"/>
            <w:vAlign w:val="center"/>
          </w:tcPr>
          <w:p w14:paraId="03864D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0" w:type="pct"/>
            <w:vMerge w:val="continue"/>
            <w:vAlign w:val="center"/>
          </w:tcPr>
          <w:p w14:paraId="525B9B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81" w:type="pct"/>
            <w:vAlign w:val="center"/>
          </w:tcPr>
          <w:p w14:paraId="1F5761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污染治理设施编号</w:t>
            </w:r>
          </w:p>
        </w:tc>
        <w:tc>
          <w:tcPr>
            <w:tcW w:w="534" w:type="pct"/>
            <w:vAlign w:val="center"/>
          </w:tcPr>
          <w:p w14:paraId="7641F6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污染治理设施名称</w:t>
            </w:r>
          </w:p>
        </w:tc>
        <w:tc>
          <w:tcPr>
            <w:tcW w:w="457" w:type="pct"/>
            <w:vAlign w:val="center"/>
          </w:tcPr>
          <w:p w14:paraId="5B9008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污染治理设施工艺</w:t>
            </w:r>
          </w:p>
        </w:tc>
        <w:tc>
          <w:tcPr>
            <w:tcW w:w="404" w:type="pct"/>
            <w:vMerge w:val="continue"/>
            <w:vAlign w:val="center"/>
          </w:tcPr>
          <w:p w14:paraId="3FA40D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94" w:type="pct"/>
            <w:vMerge w:val="continue"/>
            <w:vAlign w:val="center"/>
          </w:tcPr>
          <w:p w14:paraId="13B2DE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96" w:type="pct"/>
            <w:vMerge w:val="continue"/>
            <w:vAlign w:val="center"/>
          </w:tcPr>
          <w:p w14:paraId="50106F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90274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7" w:type="dxa"/>
            <w:left w:w="17" w:type="dxa"/>
            <w:bottom w:w="17" w:type="dxa"/>
            <w:right w:w="17" w:type="dxa"/>
          </w:tblCellMar>
        </w:tblPrEx>
        <w:trPr>
          <w:trHeight w:val="1597" w:hRule="atLeast"/>
        </w:trPr>
        <w:tc>
          <w:tcPr>
            <w:tcW w:w="237" w:type="pct"/>
            <w:vAlign w:val="center"/>
          </w:tcPr>
          <w:p w14:paraId="2732D2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274" w:type="pct"/>
            <w:vAlign w:val="center"/>
          </w:tcPr>
          <w:p w14:paraId="63C61B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生活污水</w:t>
            </w:r>
          </w:p>
        </w:tc>
        <w:tc>
          <w:tcPr>
            <w:tcW w:w="501" w:type="pct"/>
            <w:vAlign w:val="center"/>
          </w:tcPr>
          <w:p w14:paraId="4209FD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COD</w:t>
            </w:r>
            <w:r>
              <w:rPr>
                <w:rFonts w:hint="default" w:ascii="Times New Roman" w:hAnsi="Times New Roman" w:eastAsia="宋体" w:cs="Times New Roman"/>
                <w:color w:val="000000" w:themeColor="text1"/>
                <w:u w:val="none" w:color="auto"/>
                <w:vertAlign w:val="subscript"/>
                <w14:textFill>
                  <w14:solidFill>
                    <w14:schemeClr w14:val="tx1"/>
                  </w14:solidFill>
                </w14:textFill>
              </w:rPr>
              <w:t>Cr</w:t>
            </w:r>
          </w:p>
          <w:p w14:paraId="144452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BOD</w:t>
            </w:r>
            <w:r>
              <w:rPr>
                <w:rFonts w:hint="default" w:ascii="Times New Roman" w:hAnsi="Times New Roman" w:eastAsia="宋体" w:cs="Times New Roman"/>
                <w:color w:val="000000" w:themeColor="text1"/>
                <w:u w:val="none" w:color="auto"/>
                <w:vertAlign w:val="subscript"/>
                <w14:textFill>
                  <w14:solidFill>
                    <w14:schemeClr w14:val="tx1"/>
                  </w14:solidFill>
                </w14:textFill>
              </w:rPr>
              <w:t>5</w:t>
            </w:r>
          </w:p>
          <w:p w14:paraId="1C205C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SS</w:t>
            </w:r>
          </w:p>
          <w:p w14:paraId="0BF63D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w:t>
            </w:r>
          </w:p>
          <w:p w14:paraId="209782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w:t>
            </w:r>
            <w:r>
              <w:rPr>
                <w:rFonts w:hint="default" w:ascii="Times New Roman" w:hAnsi="Times New Roman" w:eastAsia="宋体" w:cs="Times New Roman"/>
                <w:color w:val="000000" w:themeColor="text1"/>
                <w:u w:val="none" w:color="auto"/>
                <w14:textFill>
                  <w14:solidFill>
                    <w14:schemeClr w14:val="tx1"/>
                  </w14:solidFill>
                </w14:textFill>
              </w:rPr>
              <w:t xml:space="preserve"> </w:t>
            </w:r>
          </w:p>
        </w:tc>
        <w:tc>
          <w:tcPr>
            <w:tcW w:w="388" w:type="pct"/>
            <w:vAlign w:val="center"/>
          </w:tcPr>
          <w:p w14:paraId="6F751C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p>
        </w:tc>
        <w:tc>
          <w:tcPr>
            <w:tcW w:w="430" w:type="pct"/>
            <w:vAlign w:val="center"/>
          </w:tcPr>
          <w:p w14:paraId="7AE34F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间断排放，流量不稳定且无规律，但不属于冲击性排放</w:t>
            </w:r>
          </w:p>
        </w:tc>
        <w:tc>
          <w:tcPr>
            <w:tcW w:w="381" w:type="pct"/>
            <w:vAlign w:val="center"/>
          </w:tcPr>
          <w:p w14:paraId="7D7612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534" w:type="pct"/>
            <w:vAlign w:val="center"/>
          </w:tcPr>
          <w:p w14:paraId="35B065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生化系统</w:t>
            </w:r>
          </w:p>
        </w:tc>
        <w:tc>
          <w:tcPr>
            <w:tcW w:w="457" w:type="pct"/>
            <w:vAlign w:val="center"/>
          </w:tcPr>
          <w:p w14:paraId="4B22B3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生化处理</w:t>
            </w:r>
          </w:p>
        </w:tc>
        <w:tc>
          <w:tcPr>
            <w:tcW w:w="404" w:type="pct"/>
            <w:vAlign w:val="center"/>
          </w:tcPr>
          <w:p w14:paraId="0D4BB8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TW001</w:t>
            </w:r>
          </w:p>
        </w:tc>
        <w:tc>
          <w:tcPr>
            <w:tcW w:w="494" w:type="pct"/>
            <w:vAlign w:val="center"/>
          </w:tcPr>
          <w:p w14:paraId="5BEEBB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52"/>
            </w:r>
            <w:r>
              <w:rPr>
                <w:rFonts w:hint="default" w:ascii="Times New Roman" w:hAnsi="Times New Roman" w:eastAsia="宋体" w:cs="Times New Roman"/>
                <w:color w:val="000000" w:themeColor="text1"/>
                <w:u w:val="none" w:color="auto"/>
                <w14:textFill>
                  <w14:solidFill>
                    <w14:schemeClr w14:val="tx1"/>
                  </w14:solidFill>
                </w14:textFill>
              </w:rPr>
              <w:t>是</w:t>
            </w:r>
          </w:p>
          <w:p w14:paraId="2CE23E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否</w:t>
            </w:r>
          </w:p>
        </w:tc>
        <w:tc>
          <w:tcPr>
            <w:tcW w:w="896" w:type="pct"/>
            <w:vAlign w:val="center"/>
          </w:tcPr>
          <w:p w14:paraId="7E8CF60D">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52"/>
            </w:r>
            <w:r>
              <w:rPr>
                <w:rFonts w:hint="default" w:ascii="Times New Roman" w:hAnsi="Times New Roman" w:eastAsia="宋体" w:cs="Times New Roman"/>
                <w:color w:val="000000" w:themeColor="text1"/>
                <w:u w:val="none" w:color="auto"/>
                <w14:textFill>
                  <w14:solidFill>
                    <w14:schemeClr w14:val="tx1"/>
                  </w14:solidFill>
                </w14:textFill>
              </w:rPr>
              <w:t>企业总排</w:t>
            </w:r>
          </w:p>
          <w:p w14:paraId="00C84F6E">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雨水排放</w:t>
            </w:r>
          </w:p>
          <w:p w14:paraId="1F9BE86F">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清净下水排放</w:t>
            </w:r>
          </w:p>
          <w:p w14:paraId="3B30AA04">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温排水排放</w:t>
            </w:r>
          </w:p>
          <w:p w14:paraId="54F72991">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车间或车间处理设施排放</w:t>
            </w:r>
          </w:p>
        </w:tc>
      </w:tr>
      <w:tr w14:paraId="0F04D8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7" w:type="dxa"/>
            <w:left w:w="17" w:type="dxa"/>
            <w:bottom w:w="17" w:type="dxa"/>
            <w:right w:w="17" w:type="dxa"/>
          </w:tblCellMar>
        </w:tblPrEx>
        <w:trPr>
          <w:trHeight w:val="1597" w:hRule="atLeast"/>
        </w:trPr>
        <w:tc>
          <w:tcPr>
            <w:tcW w:w="237" w:type="pct"/>
            <w:vAlign w:val="center"/>
          </w:tcPr>
          <w:p w14:paraId="5E3077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274" w:type="pct"/>
            <w:vAlign w:val="center"/>
          </w:tcPr>
          <w:p w14:paraId="04710B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生产废水</w:t>
            </w:r>
          </w:p>
        </w:tc>
        <w:tc>
          <w:tcPr>
            <w:tcW w:w="501" w:type="pct"/>
            <w:vAlign w:val="center"/>
          </w:tcPr>
          <w:p w14:paraId="001D92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COD</w:t>
            </w:r>
            <w:r>
              <w:rPr>
                <w:rFonts w:hint="default" w:ascii="Times New Roman" w:hAnsi="Times New Roman" w:eastAsia="宋体" w:cs="Times New Roman"/>
                <w:color w:val="000000" w:themeColor="text1"/>
                <w:u w:val="none" w:color="auto"/>
                <w:vertAlign w:val="subscript"/>
                <w14:textFill>
                  <w14:solidFill>
                    <w14:schemeClr w14:val="tx1"/>
                  </w14:solidFill>
                </w14:textFill>
              </w:rPr>
              <w:t>Cr</w:t>
            </w:r>
          </w:p>
          <w:p w14:paraId="5BDCF8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BOD</w:t>
            </w:r>
            <w:r>
              <w:rPr>
                <w:rFonts w:hint="default" w:ascii="Times New Roman" w:hAnsi="Times New Roman" w:eastAsia="宋体" w:cs="Times New Roman"/>
                <w:color w:val="000000" w:themeColor="text1"/>
                <w:u w:val="none" w:color="auto"/>
                <w:vertAlign w:val="subscript"/>
                <w14:textFill>
                  <w14:solidFill>
                    <w14:schemeClr w14:val="tx1"/>
                  </w14:solidFill>
                </w14:textFill>
              </w:rPr>
              <w:t>5</w:t>
            </w:r>
          </w:p>
          <w:p w14:paraId="3084E4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SS</w:t>
            </w:r>
          </w:p>
          <w:p w14:paraId="4D5B2A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w:t>
            </w:r>
          </w:p>
          <w:p w14:paraId="1621E4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w:t>
            </w:r>
            <w:r>
              <w:rPr>
                <w:rFonts w:hint="default" w:ascii="Times New Roman" w:hAnsi="Times New Roman" w:eastAsia="宋体" w:cs="Times New Roman"/>
                <w:color w:val="000000" w:themeColor="text1"/>
                <w:u w:val="none" w:color="auto"/>
                <w14:textFill>
                  <w14:solidFill>
                    <w14:schemeClr w14:val="tx1"/>
                  </w14:solidFill>
                </w14:textFill>
              </w:rPr>
              <w:t xml:space="preserve"> </w:t>
            </w:r>
          </w:p>
        </w:tc>
        <w:tc>
          <w:tcPr>
            <w:tcW w:w="388" w:type="pct"/>
            <w:vAlign w:val="center"/>
          </w:tcPr>
          <w:p w14:paraId="2D3ED5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p>
        </w:tc>
        <w:tc>
          <w:tcPr>
            <w:tcW w:w="430" w:type="pct"/>
            <w:vAlign w:val="center"/>
          </w:tcPr>
          <w:p w14:paraId="5E9EDB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间断排放，流量不稳定且无规律，但不属于冲击性排放</w:t>
            </w:r>
          </w:p>
        </w:tc>
        <w:tc>
          <w:tcPr>
            <w:tcW w:w="381" w:type="pct"/>
            <w:vAlign w:val="center"/>
          </w:tcPr>
          <w:p w14:paraId="0F4AEB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534" w:type="pct"/>
            <w:vAlign w:val="center"/>
          </w:tcPr>
          <w:p w14:paraId="4840D4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废水处理系统</w:t>
            </w:r>
          </w:p>
        </w:tc>
        <w:tc>
          <w:tcPr>
            <w:tcW w:w="457" w:type="pct"/>
            <w:vAlign w:val="center"/>
          </w:tcPr>
          <w:p w14:paraId="7A3054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隔油+生化处理</w:t>
            </w:r>
          </w:p>
        </w:tc>
        <w:tc>
          <w:tcPr>
            <w:tcW w:w="404" w:type="pct"/>
            <w:vAlign w:val="center"/>
          </w:tcPr>
          <w:p w14:paraId="2B21BE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TW002</w:t>
            </w:r>
          </w:p>
        </w:tc>
        <w:tc>
          <w:tcPr>
            <w:tcW w:w="494" w:type="pct"/>
            <w:vAlign w:val="center"/>
          </w:tcPr>
          <w:p w14:paraId="3483BB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52"/>
            </w:r>
            <w:r>
              <w:rPr>
                <w:rFonts w:hint="default" w:ascii="Times New Roman" w:hAnsi="Times New Roman" w:eastAsia="宋体" w:cs="Times New Roman"/>
                <w:color w:val="000000" w:themeColor="text1"/>
                <w:u w:val="none" w:color="auto"/>
                <w14:textFill>
                  <w14:solidFill>
                    <w14:schemeClr w14:val="tx1"/>
                  </w14:solidFill>
                </w14:textFill>
              </w:rPr>
              <w:t>是</w:t>
            </w:r>
          </w:p>
          <w:p w14:paraId="7C30B8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否</w:t>
            </w:r>
          </w:p>
        </w:tc>
        <w:tc>
          <w:tcPr>
            <w:tcW w:w="896" w:type="pct"/>
            <w:vAlign w:val="center"/>
          </w:tcPr>
          <w:p w14:paraId="3B469EB8">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52"/>
            </w:r>
            <w:r>
              <w:rPr>
                <w:rFonts w:hint="default" w:ascii="Times New Roman" w:hAnsi="Times New Roman" w:eastAsia="宋体" w:cs="Times New Roman"/>
                <w:color w:val="000000" w:themeColor="text1"/>
                <w:u w:val="none" w:color="auto"/>
                <w14:textFill>
                  <w14:solidFill>
                    <w14:schemeClr w14:val="tx1"/>
                  </w14:solidFill>
                </w14:textFill>
              </w:rPr>
              <w:t>企业总排</w:t>
            </w:r>
          </w:p>
          <w:p w14:paraId="7975BDE3">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雨水排放</w:t>
            </w:r>
          </w:p>
          <w:p w14:paraId="2FB7A769">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清净下水排放</w:t>
            </w:r>
          </w:p>
          <w:p w14:paraId="32367A7A">
            <w:pPr>
              <w:pStyle w:val="68"/>
              <w:keepNext w:val="0"/>
              <w:keepLines w:val="0"/>
              <w:pageBreakBefore w:val="0"/>
              <w:widowControl w:val="0"/>
              <w:kinsoku/>
              <w:wordWrap/>
              <w:overflowPunct/>
              <w:topLinePunct w:val="0"/>
              <w:bidi w:val="0"/>
              <w:jc w:val="both"/>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温排水排放</w:t>
            </w:r>
          </w:p>
          <w:p w14:paraId="1A5748C3">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sym w:font="Wingdings 2" w:char="00A3"/>
            </w:r>
            <w:r>
              <w:rPr>
                <w:rFonts w:hint="default" w:ascii="Times New Roman" w:hAnsi="Times New Roman" w:eastAsia="宋体" w:cs="Times New Roman"/>
                <w:color w:val="000000" w:themeColor="text1"/>
                <w:u w:val="none" w:color="auto"/>
                <w14:textFill>
                  <w14:solidFill>
                    <w14:schemeClr w14:val="tx1"/>
                  </w14:solidFill>
                </w14:textFill>
              </w:rPr>
              <w:t>车间或车间处理设施排放</w:t>
            </w:r>
          </w:p>
        </w:tc>
      </w:tr>
    </w:tbl>
    <w:p w14:paraId="47FDD21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（2）废水排放口基本情况</w:t>
      </w:r>
    </w:p>
    <w:p w14:paraId="6F7291B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项目废水排放口基本情况见下表所示，废水污染物排放执行标准见下表所示。</w:t>
      </w:r>
    </w:p>
    <w:p w14:paraId="194D7BB1">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3-2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项目废水间接排放口基本情况表</w:t>
      </w:r>
    </w:p>
    <w:tbl>
      <w:tblPr>
        <w:tblStyle w:val="37"/>
        <w:tblW w:w="500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6" w:type="dxa"/>
          <w:bottom w:w="0" w:type="dxa"/>
          <w:right w:w="6" w:type="dxa"/>
        </w:tblCellMar>
      </w:tblPr>
      <w:tblGrid>
        <w:gridCol w:w="425"/>
        <w:gridCol w:w="530"/>
        <w:gridCol w:w="1332"/>
        <w:gridCol w:w="1239"/>
        <w:gridCol w:w="595"/>
        <w:gridCol w:w="627"/>
        <w:gridCol w:w="627"/>
        <w:gridCol w:w="575"/>
        <w:gridCol w:w="568"/>
        <w:gridCol w:w="665"/>
        <w:gridCol w:w="1171"/>
      </w:tblGrid>
      <w:tr w14:paraId="33C281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restart"/>
            <w:vAlign w:val="center"/>
          </w:tcPr>
          <w:p w14:paraId="4C8EF7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序号</w:t>
            </w:r>
          </w:p>
        </w:tc>
        <w:tc>
          <w:tcPr>
            <w:tcW w:w="317" w:type="pct"/>
            <w:vMerge w:val="restart"/>
            <w:vAlign w:val="center"/>
          </w:tcPr>
          <w:p w14:paraId="23ACD3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排放口编号</w:t>
            </w:r>
          </w:p>
        </w:tc>
        <w:tc>
          <w:tcPr>
            <w:tcW w:w="1538" w:type="pct"/>
            <w:gridSpan w:val="2"/>
            <w:vAlign w:val="center"/>
          </w:tcPr>
          <w:p w14:paraId="382CA7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排放口地理坐标</w:t>
            </w:r>
          </w:p>
        </w:tc>
        <w:tc>
          <w:tcPr>
            <w:tcW w:w="356" w:type="pct"/>
            <w:vMerge w:val="restart"/>
            <w:vAlign w:val="center"/>
          </w:tcPr>
          <w:p w14:paraId="241466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废水排放量</w:t>
            </w:r>
          </w:p>
          <w:p w14:paraId="3DA9F1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t/a</w:t>
            </w:r>
          </w:p>
        </w:tc>
        <w:tc>
          <w:tcPr>
            <w:tcW w:w="375" w:type="pct"/>
            <w:vMerge w:val="restart"/>
            <w:vAlign w:val="center"/>
          </w:tcPr>
          <w:p w14:paraId="3B8FC74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排放去向</w:t>
            </w:r>
          </w:p>
        </w:tc>
        <w:tc>
          <w:tcPr>
            <w:tcW w:w="375" w:type="pct"/>
            <w:vMerge w:val="restart"/>
            <w:vAlign w:val="center"/>
          </w:tcPr>
          <w:p w14:paraId="15DC91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排放规律</w:t>
            </w:r>
          </w:p>
        </w:tc>
        <w:tc>
          <w:tcPr>
            <w:tcW w:w="344" w:type="pct"/>
            <w:vMerge w:val="restart"/>
            <w:vAlign w:val="center"/>
          </w:tcPr>
          <w:p w14:paraId="49C05F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间歇式排放时段</w:t>
            </w:r>
          </w:p>
        </w:tc>
        <w:tc>
          <w:tcPr>
            <w:tcW w:w="1438" w:type="pct"/>
            <w:gridSpan w:val="3"/>
            <w:vAlign w:val="center"/>
          </w:tcPr>
          <w:p w14:paraId="742E6A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受纳污水处理厂信息</w:t>
            </w:r>
          </w:p>
        </w:tc>
      </w:tr>
      <w:tr w14:paraId="03B3B3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47E06A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076D89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Align w:val="center"/>
          </w:tcPr>
          <w:p w14:paraId="104B21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经度</w:t>
            </w:r>
          </w:p>
        </w:tc>
        <w:tc>
          <w:tcPr>
            <w:tcW w:w="741" w:type="pct"/>
            <w:vAlign w:val="center"/>
          </w:tcPr>
          <w:p w14:paraId="2D5EBF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纬度</w:t>
            </w:r>
          </w:p>
        </w:tc>
        <w:tc>
          <w:tcPr>
            <w:tcW w:w="356" w:type="pct"/>
            <w:vMerge w:val="continue"/>
            <w:vAlign w:val="center"/>
          </w:tcPr>
          <w:p w14:paraId="26F2DA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4DAB8A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48F645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2AC426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Align w:val="center"/>
          </w:tcPr>
          <w:p w14:paraId="420491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名称</w:t>
            </w:r>
          </w:p>
        </w:tc>
        <w:tc>
          <w:tcPr>
            <w:tcW w:w="398" w:type="pct"/>
            <w:vAlign w:val="center"/>
          </w:tcPr>
          <w:p w14:paraId="44414A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污染物种类</w:t>
            </w:r>
          </w:p>
        </w:tc>
        <w:tc>
          <w:tcPr>
            <w:tcW w:w="699" w:type="pct"/>
            <w:vAlign w:val="center"/>
          </w:tcPr>
          <w:p w14:paraId="17D5E4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国家或地方污染物排放标准浓度限值/（mg/L）</w:t>
            </w:r>
          </w:p>
        </w:tc>
      </w:tr>
      <w:tr w14:paraId="5F41CD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restart"/>
            <w:vAlign w:val="center"/>
          </w:tcPr>
          <w:p w14:paraId="1FF21F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p>
        </w:tc>
        <w:tc>
          <w:tcPr>
            <w:tcW w:w="317" w:type="pct"/>
            <w:vMerge w:val="restart"/>
            <w:vAlign w:val="center"/>
          </w:tcPr>
          <w:p w14:paraId="26A701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化粪池</w:t>
            </w:r>
            <w:r>
              <w:rPr>
                <w:rFonts w:hint="default" w:ascii="Times New Roman" w:hAnsi="Times New Roman" w:eastAsia="宋体" w:cs="Times New Roman"/>
                <w:color w:val="000000" w:themeColor="text1"/>
                <w:sz w:val="21"/>
                <w:szCs w:val="21"/>
                <w:u w:val="none" w:color="auto"/>
                <w14:textFill>
                  <w14:solidFill>
                    <w14:schemeClr w14:val="tx1"/>
                  </w14:solidFill>
                </w14:textFill>
              </w:rPr>
              <w:t>排放口</w:t>
            </w:r>
          </w:p>
        </w:tc>
        <w:tc>
          <w:tcPr>
            <w:tcW w:w="797" w:type="pct"/>
            <w:vMerge w:val="restart"/>
            <w:vAlign w:val="center"/>
          </w:tcPr>
          <w:p w14:paraId="6FF508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113°16′24.78</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41" w:type="pct"/>
            <w:vMerge w:val="restart"/>
            <w:vAlign w:val="center"/>
          </w:tcPr>
          <w:p w14:paraId="265005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28°47′9.778″</w:t>
            </w:r>
          </w:p>
        </w:tc>
        <w:tc>
          <w:tcPr>
            <w:tcW w:w="356" w:type="pct"/>
            <w:vMerge w:val="restart"/>
            <w:vAlign w:val="center"/>
          </w:tcPr>
          <w:p w14:paraId="66E72E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696</w:t>
            </w:r>
          </w:p>
        </w:tc>
        <w:tc>
          <w:tcPr>
            <w:tcW w:w="375" w:type="pct"/>
            <w:vMerge w:val="restart"/>
            <w:vAlign w:val="center"/>
          </w:tcPr>
          <w:p w14:paraId="4DF225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平江高新</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平江高新区污水处理厂</w:t>
            </w:r>
          </w:p>
        </w:tc>
        <w:tc>
          <w:tcPr>
            <w:tcW w:w="375" w:type="pct"/>
            <w:vMerge w:val="restart"/>
            <w:vAlign w:val="center"/>
          </w:tcPr>
          <w:p w14:paraId="5DA3DA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间断排放，流量不稳定且无规律，但不属于冲击性排放</w:t>
            </w:r>
          </w:p>
        </w:tc>
        <w:tc>
          <w:tcPr>
            <w:tcW w:w="344" w:type="pct"/>
            <w:vMerge w:val="restart"/>
            <w:vAlign w:val="center"/>
          </w:tcPr>
          <w:p w14:paraId="72103D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340" w:type="pct"/>
            <w:vMerge w:val="restart"/>
            <w:vAlign w:val="center"/>
          </w:tcPr>
          <w:p w14:paraId="74269D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平江高新</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平江高新区污水处理厂</w:t>
            </w:r>
          </w:p>
        </w:tc>
        <w:tc>
          <w:tcPr>
            <w:tcW w:w="398" w:type="pct"/>
            <w:shd w:val="clear" w:color="auto" w:fill="auto"/>
            <w:vAlign w:val="center"/>
          </w:tcPr>
          <w:p w14:paraId="0862DD1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COD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Cr</w:t>
            </w:r>
          </w:p>
        </w:tc>
        <w:tc>
          <w:tcPr>
            <w:tcW w:w="699" w:type="pct"/>
            <w:vAlign w:val="center"/>
          </w:tcPr>
          <w:p w14:paraId="53C8F3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u w:val="none" w:color="auto"/>
                <w14:textFill>
                  <w14:solidFill>
                    <w14:schemeClr w14:val="tx1"/>
                  </w14:solidFill>
                </w14:textFill>
              </w:rPr>
              <w:t>0</w:t>
            </w:r>
          </w:p>
        </w:tc>
      </w:tr>
      <w:tr w14:paraId="449D2E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7A7070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46A935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Merge w:val="continue"/>
            <w:vAlign w:val="center"/>
          </w:tcPr>
          <w:p w14:paraId="64849C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Merge w:val="continue"/>
            <w:vAlign w:val="center"/>
          </w:tcPr>
          <w:p w14:paraId="4E8526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56" w:type="pct"/>
            <w:vMerge w:val="continue"/>
            <w:vAlign w:val="center"/>
          </w:tcPr>
          <w:p w14:paraId="6510FD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57D4A7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142369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2D8C77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Merge w:val="continue"/>
            <w:vAlign w:val="center"/>
          </w:tcPr>
          <w:p w14:paraId="00BE6A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98" w:type="pct"/>
            <w:shd w:val="clear" w:color="auto" w:fill="auto"/>
            <w:vAlign w:val="center"/>
          </w:tcPr>
          <w:p w14:paraId="23F97A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BOD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5</w:t>
            </w:r>
          </w:p>
        </w:tc>
        <w:tc>
          <w:tcPr>
            <w:tcW w:w="699" w:type="pct"/>
            <w:vAlign w:val="center"/>
          </w:tcPr>
          <w:p w14:paraId="34E15C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160</w:t>
            </w:r>
          </w:p>
        </w:tc>
      </w:tr>
      <w:tr w14:paraId="43BBB7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5CFC71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5B930D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Merge w:val="continue"/>
            <w:vAlign w:val="center"/>
          </w:tcPr>
          <w:p w14:paraId="338678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Merge w:val="continue"/>
            <w:vAlign w:val="center"/>
          </w:tcPr>
          <w:p w14:paraId="48B946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56" w:type="pct"/>
            <w:vMerge w:val="continue"/>
            <w:vAlign w:val="center"/>
          </w:tcPr>
          <w:p w14:paraId="06D713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041FC2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5164E6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26DE80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Merge w:val="continue"/>
            <w:vAlign w:val="center"/>
          </w:tcPr>
          <w:p w14:paraId="40F54F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98" w:type="pct"/>
            <w:shd w:val="clear" w:color="auto" w:fill="auto"/>
            <w:vAlign w:val="center"/>
          </w:tcPr>
          <w:p w14:paraId="1DE66C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SS</w:t>
            </w:r>
          </w:p>
        </w:tc>
        <w:tc>
          <w:tcPr>
            <w:tcW w:w="699" w:type="pct"/>
            <w:vAlign w:val="center"/>
          </w:tcPr>
          <w:p w14:paraId="2BD5CA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200</w:t>
            </w:r>
          </w:p>
        </w:tc>
      </w:tr>
      <w:tr w14:paraId="262655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1369B5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595D2D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Merge w:val="continue"/>
            <w:vAlign w:val="center"/>
          </w:tcPr>
          <w:p w14:paraId="66A4A2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Merge w:val="continue"/>
            <w:vAlign w:val="center"/>
          </w:tcPr>
          <w:p w14:paraId="54F595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56" w:type="pct"/>
            <w:vMerge w:val="continue"/>
            <w:vAlign w:val="center"/>
          </w:tcPr>
          <w:p w14:paraId="6C797A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0B6FCB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5AEFD7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3E3CB2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Merge w:val="continue"/>
            <w:vAlign w:val="center"/>
          </w:tcPr>
          <w:p w14:paraId="3987E4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98" w:type="pct"/>
            <w:shd w:val="clear" w:color="auto" w:fill="auto"/>
            <w:vAlign w:val="center"/>
          </w:tcPr>
          <w:p w14:paraId="2D5246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699" w:type="pct"/>
            <w:vAlign w:val="center"/>
          </w:tcPr>
          <w:p w14:paraId="486357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w:t>
            </w:r>
          </w:p>
        </w:tc>
      </w:tr>
      <w:tr w14:paraId="23692F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7FB0A1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3C9925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Merge w:val="continue"/>
            <w:vAlign w:val="center"/>
          </w:tcPr>
          <w:p w14:paraId="78E4F6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Merge w:val="continue"/>
            <w:vAlign w:val="center"/>
          </w:tcPr>
          <w:p w14:paraId="64C3D0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56" w:type="pct"/>
            <w:vMerge w:val="continue"/>
            <w:vAlign w:val="center"/>
          </w:tcPr>
          <w:p w14:paraId="4EB7F5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0CA7AF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484661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5C4517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Merge w:val="continue"/>
            <w:vAlign w:val="center"/>
          </w:tcPr>
          <w:p w14:paraId="50E122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98" w:type="pct"/>
            <w:shd w:val="clear" w:color="auto" w:fill="auto"/>
            <w:vAlign w:val="center"/>
          </w:tcPr>
          <w:p w14:paraId="30B84F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动植物油</w:t>
            </w:r>
          </w:p>
        </w:tc>
        <w:tc>
          <w:tcPr>
            <w:tcW w:w="699" w:type="pct"/>
            <w:vAlign w:val="center"/>
          </w:tcPr>
          <w:p w14:paraId="0E4BF2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100</w:t>
            </w:r>
          </w:p>
        </w:tc>
      </w:tr>
      <w:tr w14:paraId="777D2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restart"/>
            <w:vAlign w:val="center"/>
          </w:tcPr>
          <w:p w14:paraId="23DC414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317" w:type="pct"/>
            <w:vMerge w:val="restart"/>
            <w:vAlign w:val="center"/>
          </w:tcPr>
          <w:p w14:paraId="258A19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污水处理设施排放口</w:t>
            </w:r>
          </w:p>
        </w:tc>
        <w:tc>
          <w:tcPr>
            <w:tcW w:w="797" w:type="pct"/>
            <w:vMerge w:val="restart"/>
            <w:vAlign w:val="center"/>
          </w:tcPr>
          <w:p w14:paraId="48B700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113°16′24.28</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741" w:type="pct"/>
            <w:vMerge w:val="restart"/>
            <w:vAlign w:val="center"/>
          </w:tcPr>
          <w:p w14:paraId="30202F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28°47′8.962″</w:t>
            </w:r>
          </w:p>
        </w:tc>
        <w:tc>
          <w:tcPr>
            <w:tcW w:w="356" w:type="pct"/>
            <w:vMerge w:val="restart"/>
            <w:vAlign w:val="center"/>
          </w:tcPr>
          <w:p w14:paraId="29AC32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313</w:t>
            </w:r>
          </w:p>
        </w:tc>
        <w:tc>
          <w:tcPr>
            <w:tcW w:w="375" w:type="pct"/>
            <w:vMerge w:val="restart"/>
            <w:vAlign w:val="center"/>
          </w:tcPr>
          <w:p w14:paraId="1B16F4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平江高新</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平江高新区污水处理厂</w:t>
            </w:r>
          </w:p>
        </w:tc>
        <w:tc>
          <w:tcPr>
            <w:tcW w:w="375" w:type="pct"/>
            <w:vMerge w:val="restart"/>
            <w:vAlign w:val="center"/>
          </w:tcPr>
          <w:p w14:paraId="7CCCC7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间断排放，流量不稳定且无规律，但不属于冲击性排放</w:t>
            </w:r>
          </w:p>
        </w:tc>
        <w:tc>
          <w:tcPr>
            <w:tcW w:w="344" w:type="pct"/>
            <w:vMerge w:val="restart"/>
            <w:vAlign w:val="center"/>
          </w:tcPr>
          <w:p w14:paraId="5B8D2D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w:t>
            </w:r>
          </w:p>
        </w:tc>
        <w:tc>
          <w:tcPr>
            <w:tcW w:w="340" w:type="pct"/>
            <w:vMerge w:val="restart"/>
            <w:vAlign w:val="center"/>
          </w:tcPr>
          <w:p w14:paraId="540D84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平江高新</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平江高新区污水处理厂</w:t>
            </w:r>
          </w:p>
        </w:tc>
        <w:tc>
          <w:tcPr>
            <w:tcW w:w="398" w:type="pct"/>
            <w:shd w:val="clear" w:color="auto" w:fill="auto"/>
            <w:vAlign w:val="center"/>
          </w:tcPr>
          <w:p w14:paraId="2AE579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COD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Cr</w:t>
            </w:r>
          </w:p>
        </w:tc>
        <w:tc>
          <w:tcPr>
            <w:tcW w:w="699" w:type="pct"/>
            <w:shd w:val="clear" w:color="auto" w:fill="auto"/>
            <w:vAlign w:val="center"/>
          </w:tcPr>
          <w:p w14:paraId="1B3BC2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u w:val="none" w:color="auto"/>
                <w14:textFill>
                  <w14:solidFill>
                    <w14:schemeClr w14:val="tx1"/>
                  </w14:solidFill>
                </w14:textFill>
              </w:rPr>
              <w:t>0</w:t>
            </w:r>
          </w:p>
        </w:tc>
      </w:tr>
      <w:tr w14:paraId="7846C2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39E945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1189C2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Merge w:val="continue"/>
            <w:vAlign w:val="center"/>
          </w:tcPr>
          <w:p w14:paraId="5E8408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Merge w:val="continue"/>
            <w:vAlign w:val="center"/>
          </w:tcPr>
          <w:p w14:paraId="51BD38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56" w:type="pct"/>
            <w:vMerge w:val="continue"/>
            <w:vAlign w:val="center"/>
          </w:tcPr>
          <w:p w14:paraId="4610FF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6762D9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0B9167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6C0F0F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Merge w:val="continue"/>
            <w:vAlign w:val="center"/>
          </w:tcPr>
          <w:p w14:paraId="167766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98" w:type="pct"/>
            <w:shd w:val="clear" w:color="auto" w:fill="auto"/>
            <w:vAlign w:val="center"/>
          </w:tcPr>
          <w:p w14:paraId="34E50A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BOD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5</w:t>
            </w:r>
          </w:p>
        </w:tc>
        <w:tc>
          <w:tcPr>
            <w:tcW w:w="699" w:type="pct"/>
            <w:shd w:val="clear" w:color="auto" w:fill="auto"/>
            <w:vAlign w:val="center"/>
          </w:tcPr>
          <w:p w14:paraId="77109A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160</w:t>
            </w:r>
          </w:p>
        </w:tc>
      </w:tr>
      <w:tr w14:paraId="343BA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1F2595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665428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Merge w:val="continue"/>
            <w:vAlign w:val="center"/>
          </w:tcPr>
          <w:p w14:paraId="0385E2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Merge w:val="continue"/>
            <w:vAlign w:val="center"/>
          </w:tcPr>
          <w:p w14:paraId="69C7DB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56" w:type="pct"/>
            <w:vMerge w:val="continue"/>
            <w:vAlign w:val="center"/>
          </w:tcPr>
          <w:p w14:paraId="047870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02F32D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0A81A5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6DAD22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Merge w:val="continue"/>
            <w:vAlign w:val="center"/>
          </w:tcPr>
          <w:p w14:paraId="6F2C5E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98" w:type="pct"/>
            <w:shd w:val="clear" w:color="auto" w:fill="auto"/>
            <w:vAlign w:val="center"/>
          </w:tcPr>
          <w:p w14:paraId="308B14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SS</w:t>
            </w:r>
          </w:p>
        </w:tc>
        <w:tc>
          <w:tcPr>
            <w:tcW w:w="699" w:type="pct"/>
            <w:shd w:val="clear" w:color="auto" w:fill="auto"/>
            <w:vAlign w:val="center"/>
          </w:tcPr>
          <w:p w14:paraId="4E0AD7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200</w:t>
            </w:r>
          </w:p>
        </w:tc>
      </w:tr>
      <w:tr w14:paraId="55DC8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32A05D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536555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Merge w:val="continue"/>
            <w:vAlign w:val="center"/>
          </w:tcPr>
          <w:p w14:paraId="671990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Merge w:val="continue"/>
            <w:vAlign w:val="center"/>
          </w:tcPr>
          <w:p w14:paraId="088D13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56" w:type="pct"/>
            <w:vMerge w:val="continue"/>
            <w:vAlign w:val="center"/>
          </w:tcPr>
          <w:p w14:paraId="7E0C6A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4B9FA3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2FF27E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083837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Merge w:val="continue"/>
            <w:vAlign w:val="center"/>
          </w:tcPr>
          <w:p w14:paraId="4D8E92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98" w:type="pct"/>
            <w:shd w:val="clear" w:color="auto" w:fill="auto"/>
            <w:vAlign w:val="center"/>
          </w:tcPr>
          <w:p w14:paraId="190964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699" w:type="pct"/>
            <w:shd w:val="clear" w:color="auto" w:fill="auto"/>
            <w:vAlign w:val="center"/>
          </w:tcPr>
          <w:p w14:paraId="7CF5E5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w:t>
            </w:r>
          </w:p>
        </w:tc>
      </w:tr>
      <w:tr w14:paraId="164CC3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254" w:type="pct"/>
            <w:vMerge w:val="continue"/>
            <w:vAlign w:val="center"/>
          </w:tcPr>
          <w:p w14:paraId="0ED6CF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17" w:type="pct"/>
            <w:vMerge w:val="continue"/>
            <w:vAlign w:val="center"/>
          </w:tcPr>
          <w:p w14:paraId="01BA27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97" w:type="pct"/>
            <w:vMerge w:val="continue"/>
            <w:vAlign w:val="center"/>
          </w:tcPr>
          <w:p w14:paraId="46898C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741" w:type="pct"/>
            <w:vMerge w:val="continue"/>
            <w:vAlign w:val="center"/>
          </w:tcPr>
          <w:p w14:paraId="182C51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56" w:type="pct"/>
            <w:vMerge w:val="continue"/>
            <w:vAlign w:val="center"/>
          </w:tcPr>
          <w:p w14:paraId="328189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4E00FF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75" w:type="pct"/>
            <w:vMerge w:val="continue"/>
            <w:vAlign w:val="center"/>
          </w:tcPr>
          <w:p w14:paraId="28E9F9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4" w:type="pct"/>
            <w:vMerge w:val="continue"/>
            <w:vAlign w:val="center"/>
          </w:tcPr>
          <w:p w14:paraId="0C8867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40" w:type="pct"/>
            <w:vMerge w:val="continue"/>
            <w:vAlign w:val="center"/>
          </w:tcPr>
          <w:p w14:paraId="12A0DA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398" w:type="pct"/>
            <w:shd w:val="clear" w:color="auto" w:fill="auto"/>
            <w:vAlign w:val="center"/>
          </w:tcPr>
          <w:p w14:paraId="2E6146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动植物油</w:t>
            </w:r>
          </w:p>
        </w:tc>
        <w:tc>
          <w:tcPr>
            <w:tcW w:w="699" w:type="pct"/>
            <w:shd w:val="clear" w:color="auto" w:fill="auto"/>
            <w:vAlign w:val="center"/>
          </w:tcPr>
          <w:p w14:paraId="4DE8E3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100</w:t>
            </w:r>
          </w:p>
        </w:tc>
      </w:tr>
    </w:tbl>
    <w:p w14:paraId="27B15D3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3-3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废水污染物排放执行标准表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15" w:type="dxa"/>
          <w:left w:w="15" w:type="dxa"/>
          <w:bottom w:w="15" w:type="dxa"/>
          <w:right w:w="15" w:type="dxa"/>
        </w:tblCellMar>
      </w:tblPr>
      <w:tblGrid>
        <w:gridCol w:w="536"/>
        <w:gridCol w:w="1123"/>
        <w:gridCol w:w="1340"/>
        <w:gridCol w:w="3244"/>
        <w:gridCol w:w="2099"/>
      </w:tblGrid>
      <w:tr w14:paraId="2089A9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blHeader/>
          <w:jc w:val="center"/>
        </w:trPr>
        <w:tc>
          <w:tcPr>
            <w:tcW w:w="321" w:type="pct"/>
            <w:vMerge w:val="restart"/>
            <w:vAlign w:val="center"/>
          </w:tcPr>
          <w:p w14:paraId="5A519D2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673" w:type="pct"/>
            <w:vMerge w:val="restart"/>
            <w:vAlign w:val="center"/>
          </w:tcPr>
          <w:p w14:paraId="0806FE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排放口编号</w:t>
            </w:r>
          </w:p>
        </w:tc>
        <w:tc>
          <w:tcPr>
            <w:tcW w:w="803" w:type="pct"/>
            <w:vMerge w:val="restart"/>
            <w:vAlign w:val="center"/>
          </w:tcPr>
          <w:p w14:paraId="0F6798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污染物种类</w:t>
            </w:r>
          </w:p>
        </w:tc>
        <w:tc>
          <w:tcPr>
            <w:tcW w:w="3202" w:type="pct"/>
            <w:gridSpan w:val="2"/>
            <w:vAlign w:val="center"/>
          </w:tcPr>
          <w:p w14:paraId="1451C8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国家或地方污染物排放标准及其他按规定商定的排放协议</w:t>
            </w:r>
          </w:p>
        </w:tc>
      </w:tr>
      <w:tr w14:paraId="7530E2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blHeader/>
          <w:jc w:val="center"/>
        </w:trPr>
        <w:tc>
          <w:tcPr>
            <w:tcW w:w="321" w:type="pct"/>
            <w:vMerge w:val="continue"/>
            <w:vAlign w:val="center"/>
          </w:tcPr>
          <w:p w14:paraId="5C494E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0364D1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vMerge w:val="continue"/>
            <w:vAlign w:val="center"/>
          </w:tcPr>
          <w:p w14:paraId="4DBD771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944" w:type="pct"/>
            <w:vAlign w:val="center"/>
          </w:tcPr>
          <w:p w14:paraId="788DC5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1258" w:type="pct"/>
            <w:vAlign w:val="center"/>
          </w:tcPr>
          <w:p w14:paraId="71CD89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浓度限值/（mg/L）</w:t>
            </w:r>
          </w:p>
        </w:tc>
      </w:tr>
      <w:tr w14:paraId="3796C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restart"/>
            <w:vAlign w:val="center"/>
          </w:tcPr>
          <w:p w14:paraId="6F6E12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673" w:type="pct"/>
            <w:vMerge w:val="restart"/>
            <w:vAlign w:val="center"/>
          </w:tcPr>
          <w:p w14:paraId="6CBB51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TW001</w:t>
            </w:r>
          </w:p>
        </w:tc>
        <w:tc>
          <w:tcPr>
            <w:tcW w:w="803" w:type="pct"/>
            <w:vAlign w:val="center"/>
          </w:tcPr>
          <w:p w14:paraId="692A45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COD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Cr</w:t>
            </w:r>
          </w:p>
        </w:tc>
        <w:tc>
          <w:tcPr>
            <w:tcW w:w="1944" w:type="pct"/>
            <w:vMerge w:val="restart"/>
            <w:vAlign w:val="center"/>
          </w:tcPr>
          <w:p w14:paraId="15C27D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《污水综合排放标准》（GB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8978-1996）表4三级标准及平江高新技术产业园污水处理厂进水水质要求中的较严值</w:t>
            </w:r>
          </w:p>
        </w:tc>
        <w:tc>
          <w:tcPr>
            <w:tcW w:w="1258" w:type="pct"/>
            <w:vAlign w:val="center"/>
          </w:tcPr>
          <w:p w14:paraId="614F3A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u w:val="none" w:color="auto"/>
                <w14:textFill>
                  <w14:solidFill>
                    <w14:schemeClr w14:val="tx1"/>
                  </w14:solidFill>
                </w14:textFill>
              </w:rPr>
              <w:t>0</w:t>
            </w:r>
          </w:p>
        </w:tc>
      </w:tr>
      <w:tr w14:paraId="77C43D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2D7F5B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09F3CA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vAlign w:val="center"/>
          </w:tcPr>
          <w:p w14:paraId="68AF90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BOD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5</w:t>
            </w:r>
          </w:p>
        </w:tc>
        <w:tc>
          <w:tcPr>
            <w:tcW w:w="1944" w:type="pct"/>
            <w:vMerge w:val="continue"/>
            <w:vAlign w:val="center"/>
          </w:tcPr>
          <w:p w14:paraId="32528D5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58" w:type="pct"/>
            <w:vAlign w:val="center"/>
          </w:tcPr>
          <w:p w14:paraId="24053B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160</w:t>
            </w:r>
          </w:p>
        </w:tc>
      </w:tr>
      <w:tr w14:paraId="02AE58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3E7EE1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24933D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vAlign w:val="center"/>
          </w:tcPr>
          <w:p w14:paraId="3FB398E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SS</w:t>
            </w:r>
          </w:p>
        </w:tc>
        <w:tc>
          <w:tcPr>
            <w:tcW w:w="1944" w:type="pct"/>
            <w:vMerge w:val="continue"/>
            <w:vAlign w:val="center"/>
          </w:tcPr>
          <w:p w14:paraId="67FDC6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58" w:type="pct"/>
            <w:vAlign w:val="center"/>
          </w:tcPr>
          <w:p w14:paraId="0DBC0F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200</w:t>
            </w:r>
          </w:p>
        </w:tc>
      </w:tr>
      <w:tr w14:paraId="0CE2D9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758F18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0DA949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vAlign w:val="center"/>
          </w:tcPr>
          <w:p w14:paraId="326233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1944" w:type="pct"/>
            <w:vMerge w:val="continue"/>
            <w:vAlign w:val="center"/>
          </w:tcPr>
          <w:p w14:paraId="7C70F9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58" w:type="pct"/>
            <w:vAlign w:val="center"/>
          </w:tcPr>
          <w:p w14:paraId="152A25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w:t>
            </w:r>
          </w:p>
        </w:tc>
      </w:tr>
      <w:tr w14:paraId="2CD788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0EA01A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7D8936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vAlign w:val="center"/>
          </w:tcPr>
          <w:p w14:paraId="167148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动植物油</w:t>
            </w:r>
          </w:p>
        </w:tc>
        <w:tc>
          <w:tcPr>
            <w:tcW w:w="1944" w:type="pct"/>
            <w:vMerge w:val="continue"/>
            <w:vAlign w:val="center"/>
          </w:tcPr>
          <w:p w14:paraId="16416C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58" w:type="pct"/>
            <w:vAlign w:val="center"/>
          </w:tcPr>
          <w:p w14:paraId="65DC4C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100</w:t>
            </w:r>
          </w:p>
        </w:tc>
      </w:tr>
      <w:tr w14:paraId="5284A0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restart"/>
            <w:vAlign w:val="center"/>
          </w:tcPr>
          <w:p w14:paraId="1F2AEF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673" w:type="pct"/>
            <w:vMerge w:val="restart"/>
            <w:vAlign w:val="center"/>
          </w:tcPr>
          <w:p w14:paraId="7F8215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TW002</w:t>
            </w:r>
          </w:p>
        </w:tc>
        <w:tc>
          <w:tcPr>
            <w:tcW w:w="803" w:type="pct"/>
            <w:shd w:val="clear" w:color="auto" w:fill="auto"/>
            <w:vAlign w:val="center"/>
          </w:tcPr>
          <w:p w14:paraId="1FC8F2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pH值</w:t>
            </w:r>
          </w:p>
        </w:tc>
        <w:tc>
          <w:tcPr>
            <w:tcW w:w="1944" w:type="pct"/>
            <w:vMerge w:val="restart"/>
            <w:vAlign w:val="center"/>
          </w:tcPr>
          <w:p w14:paraId="1E51FA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平江高新技术产业园污水处理厂进水水质要求</w:t>
            </w:r>
          </w:p>
        </w:tc>
        <w:tc>
          <w:tcPr>
            <w:tcW w:w="2099" w:type="dxa"/>
            <w:vAlign w:val="center"/>
          </w:tcPr>
          <w:p w14:paraId="347A3B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6～9</w:t>
            </w:r>
          </w:p>
        </w:tc>
      </w:tr>
      <w:tr w14:paraId="7A8E2E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1BC7EF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6E2641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shd w:val="clear" w:color="auto" w:fill="auto"/>
            <w:vAlign w:val="center"/>
          </w:tcPr>
          <w:p w14:paraId="4425B5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COD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Cr</w:t>
            </w:r>
          </w:p>
        </w:tc>
        <w:tc>
          <w:tcPr>
            <w:tcW w:w="1944" w:type="pct"/>
            <w:vMerge w:val="continue"/>
            <w:vAlign w:val="center"/>
          </w:tcPr>
          <w:p w14:paraId="0DB134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099" w:type="dxa"/>
            <w:vAlign w:val="center"/>
          </w:tcPr>
          <w:p w14:paraId="664009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u w:val="none" w:color="auto"/>
                <w14:textFill>
                  <w14:solidFill>
                    <w14:schemeClr w14:val="tx1"/>
                  </w14:solidFill>
                </w14:textFill>
              </w:rPr>
              <w:t>0</w:t>
            </w:r>
          </w:p>
        </w:tc>
      </w:tr>
      <w:tr w14:paraId="7B1695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38273F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1ABF88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shd w:val="clear" w:color="auto" w:fill="auto"/>
            <w:vAlign w:val="center"/>
          </w:tcPr>
          <w:p w14:paraId="1834C9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BOD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5</w:t>
            </w:r>
          </w:p>
        </w:tc>
        <w:tc>
          <w:tcPr>
            <w:tcW w:w="1944" w:type="pct"/>
            <w:vMerge w:val="continue"/>
            <w:vAlign w:val="center"/>
          </w:tcPr>
          <w:p w14:paraId="13E70A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099" w:type="dxa"/>
            <w:vAlign w:val="center"/>
          </w:tcPr>
          <w:p w14:paraId="2C31FC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160</w:t>
            </w:r>
          </w:p>
        </w:tc>
      </w:tr>
      <w:tr w14:paraId="111EF7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04EA39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742829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shd w:val="clear" w:color="auto" w:fill="auto"/>
            <w:vAlign w:val="center"/>
          </w:tcPr>
          <w:p w14:paraId="7B2580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SS</w:t>
            </w:r>
          </w:p>
        </w:tc>
        <w:tc>
          <w:tcPr>
            <w:tcW w:w="1944" w:type="pct"/>
            <w:vMerge w:val="continue"/>
            <w:vAlign w:val="center"/>
          </w:tcPr>
          <w:p w14:paraId="44BD4F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099" w:type="dxa"/>
            <w:vAlign w:val="center"/>
          </w:tcPr>
          <w:p w14:paraId="238486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200</w:t>
            </w:r>
          </w:p>
        </w:tc>
      </w:tr>
      <w:tr w14:paraId="41D55C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40BBA6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5BAC2D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shd w:val="clear" w:color="auto" w:fill="auto"/>
            <w:vAlign w:val="center"/>
          </w:tcPr>
          <w:p w14:paraId="10666D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1944" w:type="pct"/>
            <w:vMerge w:val="continue"/>
            <w:vAlign w:val="center"/>
          </w:tcPr>
          <w:p w14:paraId="076823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099" w:type="dxa"/>
            <w:vAlign w:val="center"/>
          </w:tcPr>
          <w:p w14:paraId="640177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w:t>
            </w:r>
          </w:p>
        </w:tc>
      </w:tr>
      <w:tr w14:paraId="5A11D4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jc w:val="center"/>
        </w:trPr>
        <w:tc>
          <w:tcPr>
            <w:tcW w:w="321" w:type="pct"/>
            <w:vMerge w:val="continue"/>
            <w:vAlign w:val="center"/>
          </w:tcPr>
          <w:p w14:paraId="05C4C1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673" w:type="pct"/>
            <w:vMerge w:val="continue"/>
            <w:vAlign w:val="center"/>
          </w:tcPr>
          <w:p w14:paraId="56ADBD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03" w:type="pct"/>
            <w:shd w:val="clear" w:color="auto" w:fill="auto"/>
            <w:vAlign w:val="center"/>
          </w:tcPr>
          <w:p w14:paraId="13F596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动植物油</w:t>
            </w:r>
          </w:p>
        </w:tc>
        <w:tc>
          <w:tcPr>
            <w:tcW w:w="1944" w:type="pct"/>
            <w:vMerge w:val="continue"/>
            <w:vAlign w:val="center"/>
          </w:tcPr>
          <w:p w14:paraId="30A065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099" w:type="dxa"/>
            <w:vAlign w:val="center"/>
          </w:tcPr>
          <w:p w14:paraId="02EED0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100</w:t>
            </w:r>
          </w:p>
        </w:tc>
      </w:tr>
    </w:tbl>
    <w:p w14:paraId="75CDE60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（3）废水污染物排放信息</w:t>
      </w:r>
    </w:p>
    <w:p w14:paraId="76FE917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建设项目废水污染物排放信息见下表所示。</w:t>
      </w:r>
    </w:p>
    <w:p w14:paraId="1F1EF32C">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3-4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本项目废水污染物排放信息表</w:t>
      </w:r>
    </w:p>
    <w:tbl>
      <w:tblPr>
        <w:tblStyle w:val="37"/>
        <w:tblW w:w="5000" w:type="pct"/>
        <w:tblInd w:w="-2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15" w:type="dxa"/>
          <w:left w:w="15" w:type="dxa"/>
          <w:bottom w:w="15" w:type="dxa"/>
          <w:right w:w="15" w:type="dxa"/>
        </w:tblCellMar>
      </w:tblPr>
      <w:tblGrid>
        <w:gridCol w:w="619"/>
        <w:gridCol w:w="1263"/>
        <w:gridCol w:w="1702"/>
        <w:gridCol w:w="2552"/>
        <w:gridCol w:w="2206"/>
      </w:tblGrid>
      <w:tr w14:paraId="750C59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blHeader/>
        </w:trPr>
        <w:tc>
          <w:tcPr>
            <w:tcW w:w="371" w:type="pct"/>
            <w:vAlign w:val="center"/>
          </w:tcPr>
          <w:p w14:paraId="0163A5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757" w:type="pct"/>
            <w:vAlign w:val="center"/>
          </w:tcPr>
          <w:p w14:paraId="66CAE9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排放口编号</w:t>
            </w:r>
          </w:p>
        </w:tc>
        <w:tc>
          <w:tcPr>
            <w:tcW w:w="1020" w:type="pct"/>
            <w:vAlign w:val="center"/>
          </w:tcPr>
          <w:p w14:paraId="117DE5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污染物种类</w:t>
            </w:r>
          </w:p>
        </w:tc>
        <w:tc>
          <w:tcPr>
            <w:tcW w:w="1529" w:type="pct"/>
            <w:vAlign w:val="center"/>
          </w:tcPr>
          <w:p w14:paraId="25EC46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排放浓度/（mg/L）</w:t>
            </w:r>
          </w:p>
        </w:tc>
        <w:tc>
          <w:tcPr>
            <w:tcW w:w="1322" w:type="pct"/>
            <w:vAlign w:val="center"/>
          </w:tcPr>
          <w:p w14:paraId="745828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年排放量t/a</w:t>
            </w:r>
          </w:p>
        </w:tc>
      </w:tr>
      <w:tr w14:paraId="03962D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restart"/>
            <w:vAlign w:val="center"/>
          </w:tcPr>
          <w:p w14:paraId="75E34B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757" w:type="pct"/>
            <w:vMerge w:val="restart"/>
            <w:vAlign w:val="center"/>
          </w:tcPr>
          <w:p w14:paraId="2BDF6B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TW001</w:t>
            </w:r>
          </w:p>
        </w:tc>
        <w:tc>
          <w:tcPr>
            <w:tcW w:w="1020" w:type="pct"/>
            <w:shd w:val="clear" w:color="auto" w:fill="auto"/>
            <w:vAlign w:val="center"/>
          </w:tcPr>
          <w:p w14:paraId="351CEC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COD</w:t>
            </w:r>
            <w:r>
              <w:rPr>
                <w:rFonts w:hint="default" w:ascii="Times New Roman" w:hAnsi="Times New Roman" w:eastAsia="宋体" w:cs="Times New Roman"/>
                <w:color w:val="000000" w:themeColor="text1"/>
                <w:szCs w:val="21"/>
                <w:u w:val="none" w:color="auto"/>
                <w:vertAlign w:val="subscript"/>
                <w14:textFill>
                  <w14:solidFill>
                    <w14:schemeClr w14:val="tx1"/>
                  </w14:solidFill>
                </w14:textFill>
              </w:rPr>
              <w:t>Cr</w:t>
            </w:r>
          </w:p>
        </w:tc>
        <w:tc>
          <w:tcPr>
            <w:tcW w:w="2552" w:type="dxa"/>
            <w:shd w:val="clear" w:color="auto" w:fill="auto"/>
            <w:vAlign w:val="center"/>
          </w:tcPr>
          <w:p w14:paraId="319EA1B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200</w:t>
            </w:r>
          </w:p>
        </w:tc>
        <w:tc>
          <w:tcPr>
            <w:tcW w:w="2206" w:type="dxa"/>
            <w:shd w:val="clear" w:color="auto" w:fill="auto"/>
            <w:vAlign w:val="center"/>
          </w:tcPr>
          <w:p w14:paraId="2DADE77B">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0.1392</w:t>
            </w:r>
          </w:p>
        </w:tc>
      </w:tr>
      <w:tr w14:paraId="0CE4A4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continue"/>
            <w:vAlign w:val="center"/>
          </w:tcPr>
          <w:p w14:paraId="336BD7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7" w:type="pct"/>
            <w:vMerge w:val="continue"/>
            <w:vAlign w:val="center"/>
          </w:tcPr>
          <w:p w14:paraId="4B25E9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20" w:type="pct"/>
            <w:shd w:val="clear" w:color="auto" w:fill="auto"/>
            <w:vAlign w:val="center"/>
          </w:tcPr>
          <w:p w14:paraId="08736E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BOD</w:t>
            </w:r>
            <w:r>
              <w:rPr>
                <w:rFonts w:hint="default" w:ascii="Times New Roman" w:hAnsi="Times New Roman" w:eastAsia="宋体" w:cs="Times New Roman"/>
                <w:color w:val="000000" w:themeColor="text1"/>
                <w:szCs w:val="21"/>
                <w:u w:val="none" w:color="auto"/>
                <w:vertAlign w:val="subscript"/>
                <w14:textFill>
                  <w14:solidFill>
                    <w14:schemeClr w14:val="tx1"/>
                  </w14:solidFill>
                </w14:textFill>
              </w:rPr>
              <w:t>5</w:t>
            </w:r>
          </w:p>
        </w:tc>
        <w:tc>
          <w:tcPr>
            <w:tcW w:w="2552" w:type="dxa"/>
            <w:shd w:val="clear" w:color="auto" w:fill="auto"/>
            <w:vAlign w:val="center"/>
          </w:tcPr>
          <w:p w14:paraId="4F50306C">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80</w:t>
            </w:r>
          </w:p>
        </w:tc>
        <w:tc>
          <w:tcPr>
            <w:tcW w:w="2206" w:type="dxa"/>
            <w:shd w:val="clear" w:color="auto" w:fill="auto"/>
            <w:vAlign w:val="center"/>
          </w:tcPr>
          <w:p w14:paraId="525E761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0.0557</w:t>
            </w:r>
          </w:p>
        </w:tc>
      </w:tr>
      <w:tr w14:paraId="0B605D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continue"/>
            <w:vAlign w:val="center"/>
          </w:tcPr>
          <w:p w14:paraId="3A9118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7" w:type="pct"/>
            <w:vMerge w:val="continue"/>
            <w:vAlign w:val="center"/>
          </w:tcPr>
          <w:p w14:paraId="6B58E8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20" w:type="pct"/>
            <w:shd w:val="clear" w:color="auto" w:fill="auto"/>
            <w:vAlign w:val="center"/>
          </w:tcPr>
          <w:p w14:paraId="4CEA25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SS</w:t>
            </w:r>
          </w:p>
        </w:tc>
        <w:tc>
          <w:tcPr>
            <w:tcW w:w="2552" w:type="dxa"/>
            <w:shd w:val="clear" w:color="auto" w:fill="auto"/>
            <w:vAlign w:val="center"/>
          </w:tcPr>
          <w:p w14:paraId="4DAB8B6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180</w:t>
            </w:r>
          </w:p>
        </w:tc>
        <w:tc>
          <w:tcPr>
            <w:tcW w:w="2206" w:type="dxa"/>
            <w:shd w:val="clear" w:color="auto" w:fill="auto"/>
            <w:vAlign w:val="center"/>
          </w:tcPr>
          <w:p w14:paraId="491024CB">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0.1253</w:t>
            </w:r>
          </w:p>
        </w:tc>
      </w:tr>
      <w:tr w14:paraId="06478B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continue"/>
            <w:vAlign w:val="center"/>
          </w:tcPr>
          <w:p w14:paraId="0B0059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7" w:type="pct"/>
            <w:vMerge w:val="continue"/>
            <w:vAlign w:val="center"/>
          </w:tcPr>
          <w:p w14:paraId="13DACB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20" w:type="pct"/>
            <w:shd w:val="clear" w:color="auto" w:fill="auto"/>
            <w:vAlign w:val="center"/>
          </w:tcPr>
          <w:p w14:paraId="512543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氨氮</w:t>
            </w:r>
          </w:p>
        </w:tc>
        <w:tc>
          <w:tcPr>
            <w:tcW w:w="2552" w:type="dxa"/>
            <w:shd w:val="clear" w:color="auto" w:fill="auto"/>
            <w:vAlign w:val="center"/>
          </w:tcPr>
          <w:p w14:paraId="3B0BF07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30</w:t>
            </w:r>
          </w:p>
        </w:tc>
        <w:tc>
          <w:tcPr>
            <w:tcW w:w="2206" w:type="dxa"/>
            <w:shd w:val="clear" w:color="auto" w:fill="auto"/>
            <w:vAlign w:val="center"/>
          </w:tcPr>
          <w:p w14:paraId="1FF043D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0.0209</w:t>
            </w:r>
          </w:p>
        </w:tc>
      </w:tr>
      <w:tr w14:paraId="06AA10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continue"/>
            <w:vAlign w:val="center"/>
          </w:tcPr>
          <w:p w14:paraId="78809C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7" w:type="pct"/>
            <w:vMerge w:val="continue"/>
            <w:vAlign w:val="center"/>
          </w:tcPr>
          <w:p w14:paraId="277C9F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20" w:type="pct"/>
            <w:shd w:val="clear" w:color="auto" w:fill="auto"/>
            <w:vAlign w:val="center"/>
          </w:tcPr>
          <w:p w14:paraId="72F8574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w:t>
            </w:r>
          </w:p>
        </w:tc>
        <w:tc>
          <w:tcPr>
            <w:tcW w:w="2552" w:type="dxa"/>
            <w:shd w:val="clear" w:color="auto" w:fill="auto"/>
            <w:vAlign w:val="center"/>
          </w:tcPr>
          <w:p w14:paraId="3C39979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15</w:t>
            </w:r>
          </w:p>
        </w:tc>
        <w:tc>
          <w:tcPr>
            <w:tcW w:w="2206" w:type="dxa"/>
            <w:shd w:val="clear" w:color="auto" w:fill="auto"/>
            <w:vAlign w:val="center"/>
          </w:tcPr>
          <w:p w14:paraId="08783586">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0.0104</w:t>
            </w:r>
          </w:p>
        </w:tc>
      </w:tr>
      <w:tr w14:paraId="72E9AB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restart"/>
            <w:vAlign w:val="center"/>
          </w:tcPr>
          <w:p w14:paraId="660B90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757" w:type="pct"/>
            <w:vMerge w:val="restart"/>
            <w:vAlign w:val="center"/>
          </w:tcPr>
          <w:p w14:paraId="3DEAC4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TW002</w:t>
            </w:r>
          </w:p>
        </w:tc>
        <w:tc>
          <w:tcPr>
            <w:tcW w:w="1020" w:type="pct"/>
            <w:shd w:val="clear" w:color="auto" w:fill="auto"/>
            <w:vAlign w:val="center"/>
          </w:tcPr>
          <w:p w14:paraId="2883A7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COD</w:t>
            </w:r>
            <w:r>
              <w:rPr>
                <w:rFonts w:hint="default" w:ascii="Times New Roman" w:hAnsi="Times New Roman" w:eastAsia="宋体" w:cs="Times New Roman"/>
                <w:color w:val="000000" w:themeColor="text1"/>
                <w:szCs w:val="21"/>
                <w:u w:val="none" w:color="auto"/>
                <w:vertAlign w:val="subscript"/>
                <w14:textFill>
                  <w14:solidFill>
                    <w14:schemeClr w14:val="tx1"/>
                  </w14:solidFill>
                </w14:textFill>
              </w:rPr>
              <w:t>Cr</w:t>
            </w:r>
          </w:p>
        </w:tc>
        <w:tc>
          <w:tcPr>
            <w:tcW w:w="2552" w:type="dxa"/>
            <w:shd w:val="clear" w:color="auto" w:fill="auto"/>
            <w:vAlign w:val="center"/>
          </w:tcPr>
          <w:p w14:paraId="406B1AF9">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292</w:t>
            </w:r>
          </w:p>
        </w:tc>
        <w:tc>
          <w:tcPr>
            <w:tcW w:w="2206" w:type="dxa"/>
            <w:shd w:val="clear" w:color="auto" w:fill="auto"/>
            <w:vAlign w:val="center"/>
          </w:tcPr>
          <w:p w14:paraId="611DBA24">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0.0926</w:t>
            </w:r>
          </w:p>
        </w:tc>
      </w:tr>
      <w:tr w14:paraId="1B08F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continue"/>
            <w:vAlign w:val="center"/>
          </w:tcPr>
          <w:p w14:paraId="16D756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7" w:type="pct"/>
            <w:vMerge w:val="continue"/>
            <w:vAlign w:val="center"/>
          </w:tcPr>
          <w:p w14:paraId="3A9614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20" w:type="pct"/>
            <w:shd w:val="clear" w:color="auto" w:fill="auto"/>
            <w:vAlign w:val="center"/>
          </w:tcPr>
          <w:p w14:paraId="743090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BOD</w:t>
            </w:r>
            <w:r>
              <w:rPr>
                <w:rFonts w:hint="default" w:ascii="Times New Roman" w:hAnsi="Times New Roman" w:eastAsia="宋体" w:cs="Times New Roman"/>
                <w:color w:val="000000" w:themeColor="text1"/>
                <w:szCs w:val="21"/>
                <w:u w:val="none" w:color="auto"/>
                <w:vertAlign w:val="subscript"/>
                <w14:textFill>
                  <w14:solidFill>
                    <w14:schemeClr w14:val="tx1"/>
                  </w14:solidFill>
                </w14:textFill>
              </w:rPr>
              <w:t>5</w:t>
            </w:r>
          </w:p>
        </w:tc>
        <w:tc>
          <w:tcPr>
            <w:tcW w:w="2552" w:type="dxa"/>
            <w:shd w:val="clear" w:color="auto" w:fill="auto"/>
            <w:vAlign w:val="center"/>
          </w:tcPr>
          <w:p w14:paraId="4D7ACC2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47</w:t>
            </w:r>
          </w:p>
        </w:tc>
        <w:tc>
          <w:tcPr>
            <w:tcW w:w="2206" w:type="dxa"/>
            <w:shd w:val="clear" w:color="auto" w:fill="auto"/>
            <w:vAlign w:val="center"/>
          </w:tcPr>
          <w:p w14:paraId="094FD055">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0.0150</w:t>
            </w:r>
          </w:p>
        </w:tc>
      </w:tr>
      <w:tr w14:paraId="786658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continue"/>
            <w:vAlign w:val="center"/>
          </w:tcPr>
          <w:p w14:paraId="1AD6F4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7" w:type="pct"/>
            <w:vMerge w:val="continue"/>
            <w:vAlign w:val="center"/>
          </w:tcPr>
          <w:p w14:paraId="67E2E5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20" w:type="pct"/>
            <w:shd w:val="clear" w:color="auto" w:fill="auto"/>
            <w:vAlign w:val="center"/>
          </w:tcPr>
          <w:p w14:paraId="7262DA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SS</w:t>
            </w:r>
          </w:p>
        </w:tc>
        <w:tc>
          <w:tcPr>
            <w:tcW w:w="2552" w:type="dxa"/>
            <w:shd w:val="clear" w:color="auto" w:fill="auto"/>
            <w:vAlign w:val="center"/>
          </w:tcPr>
          <w:p w14:paraId="02EB2F6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67</w:t>
            </w:r>
          </w:p>
        </w:tc>
        <w:tc>
          <w:tcPr>
            <w:tcW w:w="2206" w:type="dxa"/>
            <w:shd w:val="clear" w:color="auto" w:fill="auto"/>
            <w:vAlign w:val="center"/>
          </w:tcPr>
          <w:p w14:paraId="50CBC93B">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0.0212</w:t>
            </w:r>
          </w:p>
        </w:tc>
      </w:tr>
      <w:tr w14:paraId="5BBBDF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continue"/>
            <w:vAlign w:val="center"/>
          </w:tcPr>
          <w:p w14:paraId="70D6DD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7" w:type="pct"/>
            <w:vMerge w:val="continue"/>
            <w:vAlign w:val="center"/>
          </w:tcPr>
          <w:p w14:paraId="6DC8AF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20" w:type="pct"/>
            <w:shd w:val="clear" w:color="auto" w:fill="auto"/>
            <w:vAlign w:val="center"/>
          </w:tcPr>
          <w:p w14:paraId="7EDFE0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氨氮</w:t>
            </w:r>
          </w:p>
        </w:tc>
        <w:tc>
          <w:tcPr>
            <w:tcW w:w="2552" w:type="dxa"/>
            <w:shd w:val="clear" w:color="auto" w:fill="auto"/>
            <w:vAlign w:val="center"/>
          </w:tcPr>
          <w:p w14:paraId="174E831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19</w:t>
            </w:r>
          </w:p>
        </w:tc>
        <w:tc>
          <w:tcPr>
            <w:tcW w:w="2206" w:type="dxa"/>
            <w:shd w:val="clear" w:color="auto" w:fill="auto"/>
            <w:vAlign w:val="center"/>
          </w:tcPr>
          <w:p w14:paraId="62D7D4E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0.0060</w:t>
            </w:r>
          </w:p>
        </w:tc>
      </w:tr>
      <w:tr w14:paraId="4DB385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371" w:type="pct"/>
            <w:vMerge w:val="continue"/>
            <w:vAlign w:val="center"/>
          </w:tcPr>
          <w:p w14:paraId="38B938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7" w:type="pct"/>
            <w:vMerge w:val="continue"/>
            <w:vAlign w:val="center"/>
          </w:tcPr>
          <w:p w14:paraId="719E96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20" w:type="pct"/>
            <w:shd w:val="clear" w:color="auto" w:fill="auto"/>
            <w:vAlign w:val="center"/>
          </w:tcPr>
          <w:p w14:paraId="5B77FE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w:t>
            </w:r>
          </w:p>
        </w:tc>
        <w:tc>
          <w:tcPr>
            <w:tcW w:w="2552" w:type="dxa"/>
            <w:shd w:val="clear" w:color="auto" w:fill="auto"/>
            <w:vAlign w:val="center"/>
          </w:tcPr>
          <w:p w14:paraId="5E7420B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33</w:t>
            </w:r>
          </w:p>
        </w:tc>
        <w:tc>
          <w:tcPr>
            <w:tcW w:w="2206" w:type="dxa"/>
            <w:shd w:val="clear" w:color="auto" w:fill="auto"/>
            <w:vAlign w:val="center"/>
          </w:tcPr>
          <w:p w14:paraId="5B28B76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0.0104</w:t>
            </w:r>
          </w:p>
        </w:tc>
      </w:tr>
      <w:tr w14:paraId="1149D8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1128" w:type="pct"/>
            <w:gridSpan w:val="2"/>
            <w:vMerge w:val="restart"/>
            <w:vAlign w:val="center"/>
          </w:tcPr>
          <w:p w14:paraId="455068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全厂排放口合计</w:t>
            </w:r>
          </w:p>
        </w:tc>
        <w:tc>
          <w:tcPr>
            <w:tcW w:w="2549" w:type="pct"/>
            <w:gridSpan w:val="2"/>
            <w:shd w:val="clear" w:color="auto" w:fill="auto"/>
            <w:vAlign w:val="center"/>
          </w:tcPr>
          <w:p w14:paraId="38B80C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COD</w:t>
            </w:r>
            <w:r>
              <w:rPr>
                <w:rFonts w:hint="default" w:ascii="Times New Roman" w:hAnsi="Times New Roman" w:eastAsia="宋体" w:cs="Times New Roman"/>
                <w:color w:val="000000" w:themeColor="text1"/>
                <w:szCs w:val="21"/>
                <w:u w:val="none" w:color="auto"/>
                <w:vertAlign w:val="subscript"/>
                <w14:textFill>
                  <w14:solidFill>
                    <w14:schemeClr w14:val="tx1"/>
                  </w14:solidFill>
                </w14:textFill>
              </w:rPr>
              <w:t>Cr</w:t>
            </w:r>
          </w:p>
        </w:tc>
        <w:tc>
          <w:tcPr>
            <w:tcW w:w="2206" w:type="dxa"/>
            <w:vAlign w:val="center"/>
          </w:tcPr>
          <w:p w14:paraId="07BA4DD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0.2318</w:t>
            </w:r>
          </w:p>
        </w:tc>
      </w:tr>
      <w:tr w14:paraId="3A42F0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1128" w:type="pct"/>
            <w:gridSpan w:val="2"/>
            <w:vMerge w:val="continue"/>
            <w:vAlign w:val="center"/>
          </w:tcPr>
          <w:p w14:paraId="590834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549" w:type="pct"/>
            <w:gridSpan w:val="2"/>
            <w:shd w:val="clear" w:color="auto" w:fill="auto"/>
            <w:vAlign w:val="center"/>
          </w:tcPr>
          <w:p w14:paraId="2AD63C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BOD</w:t>
            </w:r>
            <w:r>
              <w:rPr>
                <w:rFonts w:hint="default" w:ascii="Times New Roman" w:hAnsi="Times New Roman" w:eastAsia="宋体" w:cs="Times New Roman"/>
                <w:color w:val="000000" w:themeColor="text1"/>
                <w:szCs w:val="21"/>
                <w:u w:val="none" w:color="auto"/>
                <w:vertAlign w:val="subscript"/>
                <w14:textFill>
                  <w14:solidFill>
                    <w14:schemeClr w14:val="tx1"/>
                  </w14:solidFill>
                </w14:textFill>
              </w:rPr>
              <w:t>5</w:t>
            </w:r>
          </w:p>
        </w:tc>
        <w:tc>
          <w:tcPr>
            <w:tcW w:w="2206" w:type="dxa"/>
            <w:vAlign w:val="center"/>
          </w:tcPr>
          <w:p w14:paraId="77E57EE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0.0707</w:t>
            </w:r>
          </w:p>
        </w:tc>
      </w:tr>
      <w:tr w14:paraId="4674E1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1128" w:type="pct"/>
            <w:gridSpan w:val="2"/>
            <w:vMerge w:val="continue"/>
            <w:vAlign w:val="center"/>
          </w:tcPr>
          <w:p w14:paraId="350439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549" w:type="pct"/>
            <w:gridSpan w:val="2"/>
            <w:shd w:val="clear" w:color="auto" w:fill="auto"/>
            <w:vAlign w:val="center"/>
          </w:tcPr>
          <w:p w14:paraId="7E1421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SS</w:t>
            </w:r>
          </w:p>
        </w:tc>
        <w:tc>
          <w:tcPr>
            <w:tcW w:w="2206" w:type="dxa"/>
            <w:vAlign w:val="center"/>
          </w:tcPr>
          <w:p w14:paraId="6563F32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0.1465</w:t>
            </w:r>
          </w:p>
        </w:tc>
      </w:tr>
      <w:tr w14:paraId="1B61C2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1128" w:type="pct"/>
            <w:gridSpan w:val="2"/>
            <w:vMerge w:val="continue"/>
            <w:vAlign w:val="center"/>
          </w:tcPr>
          <w:p w14:paraId="0D04C1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549" w:type="pct"/>
            <w:gridSpan w:val="2"/>
            <w:shd w:val="clear" w:color="auto" w:fill="auto"/>
            <w:vAlign w:val="center"/>
          </w:tcPr>
          <w:p w14:paraId="621D18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氨氮</w:t>
            </w:r>
          </w:p>
        </w:tc>
        <w:tc>
          <w:tcPr>
            <w:tcW w:w="2206" w:type="dxa"/>
            <w:vAlign w:val="center"/>
          </w:tcPr>
          <w:p w14:paraId="5DD6561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0.0269</w:t>
            </w:r>
          </w:p>
        </w:tc>
      </w:tr>
      <w:tr w14:paraId="0AE76F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1128" w:type="pct"/>
            <w:gridSpan w:val="2"/>
            <w:vMerge w:val="continue"/>
            <w:vAlign w:val="center"/>
          </w:tcPr>
          <w:p w14:paraId="2721A2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549" w:type="pct"/>
            <w:gridSpan w:val="2"/>
            <w:shd w:val="clear" w:color="auto" w:fill="auto"/>
            <w:vAlign w:val="center"/>
          </w:tcPr>
          <w:p w14:paraId="0A8849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w:t>
            </w:r>
          </w:p>
        </w:tc>
        <w:tc>
          <w:tcPr>
            <w:tcW w:w="2206" w:type="dxa"/>
            <w:vAlign w:val="center"/>
          </w:tcPr>
          <w:p w14:paraId="2985BE6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0.0208</w:t>
            </w:r>
          </w:p>
        </w:tc>
      </w:tr>
    </w:tbl>
    <w:p w14:paraId="6BAAB742">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29" w:name="_Toc164200828"/>
      <w:bookmarkStart w:id="330" w:name="_Toc144276939"/>
      <w:bookmarkStart w:id="331" w:name="_Toc187011346"/>
      <w:bookmarkStart w:id="332" w:name="_Toc2947"/>
      <w:bookmarkStart w:id="333" w:name="_Toc144236809"/>
      <w:bookmarkStart w:id="334" w:name="_Toc204350744"/>
      <w:bookmarkStart w:id="335" w:name="_Toc19951755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 运营期地下水环境影响分析</w:t>
      </w:r>
      <w:bookmarkEnd w:id="329"/>
      <w:bookmarkEnd w:id="330"/>
      <w:bookmarkEnd w:id="331"/>
      <w:bookmarkEnd w:id="332"/>
      <w:bookmarkEnd w:id="333"/>
    </w:p>
    <w:p w14:paraId="0F455930">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36" w:name="_Toc126849597"/>
      <w:bookmarkStart w:id="337" w:name="_Toc5365"/>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4.1</w:t>
      </w:r>
      <w:bookmarkEnd w:id="336"/>
      <w:r>
        <w:rPr>
          <w:rFonts w:hint="default" w:ascii="Times New Roman" w:hAnsi="Times New Roman" w:eastAsia="宋体" w:cs="Times New Roman"/>
          <w:color w:val="000000" w:themeColor="text1"/>
          <w:u w:val="none" w:color="auto"/>
          <w14:textFill>
            <w14:solidFill>
              <w14:schemeClr w14:val="tx1"/>
            </w14:solidFill>
          </w14:textFill>
        </w:rPr>
        <w:t xml:space="preserve"> 项目区地质概述</w:t>
      </w:r>
      <w:bookmarkEnd w:id="337"/>
    </w:p>
    <w:p w14:paraId="727B43CD">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bCs/>
          <w:color w:val="000000" w:themeColor="text1"/>
          <w:u w:val="none" w:color="auto"/>
          <w14:textFill>
            <w14:solidFill>
              <w14:schemeClr w14:val="tx1"/>
            </w14:solidFill>
          </w14:textFill>
        </w:rPr>
      </w:pPr>
      <w:bookmarkStart w:id="338" w:name="_Toc126849598"/>
      <w:r>
        <w:rPr>
          <w:rFonts w:hint="default" w:ascii="Times New Roman" w:hAnsi="Times New Roman" w:eastAsia="宋体" w:cs="Times New Roman"/>
          <w:b/>
          <w:bCs/>
          <w:color w:val="000000" w:themeColor="text1"/>
          <w:u w:val="none" w:color="auto"/>
          <w14:textFill>
            <w14:solidFill>
              <w14:schemeClr w14:val="tx1"/>
            </w14:solidFill>
          </w14:textFill>
        </w:rPr>
        <w:t>（1）地层岩性</w:t>
      </w:r>
      <w:bookmarkEnd w:id="338"/>
    </w:p>
    <w:p w14:paraId="7DE5069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项目区区域内主要地层岩性为第四系全新统杂填土（Q</w:t>
      </w:r>
      <w:r>
        <w:rPr>
          <w:rFonts w:hint="default" w:ascii="Times New Roman" w:hAnsi="Times New Roman" w:eastAsia="宋体" w:cs="Times New Roman"/>
          <w:color w:val="000000" w:themeColor="text1"/>
          <w:u w:val="none" w:color="auto"/>
          <w:vertAlign w:val="subscript"/>
          <w14:textFill>
            <w14:solidFill>
              <w14:schemeClr w14:val="tx1"/>
            </w14:solidFill>
          </w14:textFill>
        </w:rPr>
        <w:t>4</w:t>
      </w:r>
      <w:r>
        <w:rPr>
          <w:rFonts w:hint="default" w:ascii="Times New Roman" w:hAnsi="Times New Roman" w:eastAsia="宋体" w:cs="Times New Roman"/>
          <w:color w:val="000000" w:themeColor="text1"/>
          <w:u w:val="none" w:color="auto"/>
          <w:vertAlign w:val="superscript"/>
          <w14:textFill>
            <w14:solidFill>
              <w14:schemeClr w14:val="tx1"/>
            </w14:solidFill>
          </w14:textFill>
        </w:rPr>
        <w:t>ml</w:t>
      </w:r>
      <w:r>
        <w:rPr>
          <w:rFonts w:hint="default" w:ascii="Times New Roman" w:hAnsi="Times New Roman" w:eastAsia="宋体" w:cs="Times New Roman"/>
          <w:color w:val="000000" w:themeColor="text1"/>
          <w:u w:val="none" w:color="auto"/>
          <w14:textFill>
            <w14:solidFill>
              <w14:schemeClr w14:val="tx1"/>
            </w14:solidFill>
          </w14:textFill>
        </w:rPr>
        <w:t>）、第四系全新统粉质黏土（Q</w:t>
      </w:r>
      <w:r>
        <w:rPr>
          <w:rFonts w:hint="default" w:ascii="Times New Roman" w:hAnsi="Times New Roman" w:eastAsia="宋体" w:cs="Times New Roman"/>
          <w:color w:val="000000" w:themeColor="text1"/>
          <w:u w:val="none" w:color="auto"/>
          <w:vertAlign w:val="subscript"/>
          <w14:textFill>
            <w14:solidFill>
              <w14:schemeClr w14:val="tx1"/>
            </w14:solidFill>
          </w14:textFill>
        </w:rPr>
        <w:t>4</w:t>
      </w:r>
      <w:r>
        <w:rPr>
          <w:rFonts w:hint="default" w:ascii="Times New Roman" w:hAnsi="Times New Roman" w:eastAsia="宋体" w:cs="Times New Roman"/>
          <w:color w:val="000000" w:themeColor="text1"/>
          <w:u w:val="none" w:color="auto"/>
          <w:vertAlign w:val="superscript"/>
          <w14:textFill>
            <w14:solidFill>
              <w14:schemeClr w14:val="tx1"/>
            </w14:solidFill>
          </w14:textFill>
        </w:rPr>
        <w:t>al</w:t>
      </w:r>
      <w:r>
        <w:rPr>
          <w:rFonts w:hint="default" w:ascii="Times New Roman" w:hAnsi="Times New Roman" w:eastAsia="宋体" w:cs="Times New Roman"/>
          <w:color w:val="000000" w:themeColor="text1"/>
          <w:u w:val="none" w:color="auto"/>
          <w14:textFill>
            <w14:solidFill>
              <w14:schemeClr w14:val="tx1"/>
            </w14:solidFill>
          </w14:textFill>
        </w:rPr>
        <w:t>）、冷家溪群强风化板岩（Pt）、冷家溪群中风化板岩（Pt），现自上而下分述如下：</w:t>
      </w:r>
    </w:p>
    <w:p w14:paraId="563B615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（1）第四系全新统杂填土（Q</w:t>
      </w:r>
      <w:r>
        <w:rPr>
          <w:rFonts w:hint="default" w:ascii="Times New Roman" w:hAnsi="Times New Roman" w:eastAsia="宋体" w:cs="Times New Roman"/>
          <w:color w:val="000000" w:themeColor="text1"/>
          <w:u w:val="none" w:color="auto"/>
          <w:vertAlign w:val="subscript"/>
          <w14:textFill>
            <w14:solidFill>
              <w14:schemeClr w14:val="tx1"/>
            </w14:solidFill>
          </w14:textFill>
        </w:rPr>
        <w:t>4</w:t>
      </w:r>
      <w:r>
        <w:rPr>
          <w:rFonts w:hint="default" w:ascii="Times New Roman" w:hAnsi="Times New Roman" w:eastAsia="宋体" w:cs="Times New Roman"/>
          <w:color w:val="000000" w:themeColor="text1"/>
          <w:u w:val="none" w:color="auto"/>
          <w:vertAlign w:val="superscript"/>
          <w14:textFill>
            <w14:solidFill>
              <w14:schemeClr w14:val="tx1"/>
            </w14:solidFill>
          </w14:textFill>
        </w:rPr>
        <w:t>ml</w:t>
      </w:r>
      <w:r>
        <w:rPr>
          <w:rFonts w:hint="default" w:ascii="Times New Roman" w:hAnsi="Times New Roman" w:eastAsia="宋体" w:cs="Times New Roman"/>
          <w:color w:val="000000" w:themeColor="text1"/>
          <w:u w:val="none" w:color="auto"/>
          <w14:textFill>
            <w14:solidFill>
              <w14:schemeClr w14:val="tx1"/>
            </w14:solidFill>
          </w14:textFill>
        </w:rPr>
        <w:t>）：黄褐色、灰褐色，由板岩岩块、粉质黏土混填而成，局部夹建筑垃圾，松散~稍密，稍湿，成分不均匀，回填时间不超过五年，未完成自重固结。场地内仅部分地段有分布，层厚1.0～13.70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m，平均厚度为4.39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m，层顶高程为75.70~108.24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m，层底高程为68.95~107.24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p>
    <w:p w14:paraId="3F1147C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（2）第四系全新统粉质黏土（Q</w:t>
      </w:r>
      <w:r>
        <w:rPr>
          <w:rFonts w:hint="default" w:ascii="Times New Roman" w:hAnsi="Times New Roman" w:eastAsia="宋体" w:cs="Times New Roman"/>
          <w:color w:val="000000" w:themeColor="text1"/>
          <w:u w:val="none" w:color="auto"/>
          <w:vertAlign w:val="subscript"/>
          <w14:textFill>
            <w14:solidFill>
              <w14:schemeClr w14:val="tx1"/>
            </w14:solidFill>
          </w14:textFill>
        </w:rPr>
        <w:t>4</w:t>
      </w:r>
      <w:r>
        <w:rPr>
          <w:rFonts w:hint="default" w:ascii="Times New Roman" w:hAnsi="Times New Roman" w:eastAsia="宋体" w:cs="Times New Roman"/>
          <w:color w:val="000000" w:themeColor="text1"/>
          <w:u w:val="none" w:color="auto"/>
          <w:vertAlign w:val="superscript"/>
          <w14:textFill>
            <w14:solidFill>
              <w14:schemeClr w14:val="tx1"/>
            </w14:solidFill>
          </w14:textFill>
        </w:rPr>
        <w:t>al</w:t>
      </w:r>
      <w:r>
        <w:rPr>
          <w:rFonts w:hint="default" w:ascii="Times New Roman" w:hAnsi="Times New Roman" w:eastAsia="宋体" w:cs="Times New Roman"/>
          <w:color w:val="000000" w:themeColor="text1"/>
          <w:u w:val="none" w:color="auto"/>
          <w14:textFill>
            <w14:solidFill>
              <w14:schemeClr w14:val="tx1"/>
            </w14:solidFill>
          </w14:textFill>
        </w:rPr>
        <w:t>）：黄褐色、灰褐色，可塑，黏粒成分为主，粉粒成分次之，局部夹板岩岩块，切口面较光滑，稍有光泽，无摇震反应，干强度中等，韧性中等，冲积成因。场地内大部分地段均有分布，揭露层厚0.50～6.30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m，平均厚度为1.70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m，层顶高程为68.95~126.92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m，层底高程为67.16~124.42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p>
    <w:p w14:paraId="14FA7D1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冷家溪群强风化板岩（Pt）：黄褐色、灰褐色、灰绿色，泥质成份，变余泥质结构，板状构造，节理裂隙发育，遇水易软化，岩体破碎，岩芯多呈碎块状、短柱状，柱状，局部风化呈土状，属极软岩，岩石质量为极差的（RQD&lt;25），岩体基本质量等级为Ⅴ类。场地内所有钻孔地段均有分布，本次钻探所有钻孔地段均已揭露，且均已揭穿，层厚为0.70～5.70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m，平均揭露厚度为3.02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m，层顶高程为67.16~124.42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m，层底高程为64.46~120.28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p>
    <w:p w14:paraId="689DF49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冷家溪群中风化板岩（Pt）：青灰色、灰绿色，泥质成份，变余泥质结构，板状构造，节理裂隙较发育，节理面被铁锰质氧化物侵染，岩体较破碎，岩芯呈柱状、短柱状、块状，属软岩，岩石质量为差的（RQD=25-50），岩体基本质量等级为Ⅴ类。场地内均有分布，本次钻探所有钻孔地段均已揭露，但均未揭穿。</w:t>
      </w:r>
    </w:p>
    <w:p w14:paraId="0EBCE36E">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bCs/>
          <w:color w:val="000000" w:themeColor="text1"/>
          <w:u w:val="none" w:color="auto"/>
          <w14:textFill>
            <w14:solidFill>
              <w14:schemeClr w14:val="tx1"/>
            </w14:solidFill>
          </w14:textFill>
        </w:rPr>
      </w:pPr>
      <w:bookmarkStart w:id="339" w:name="_Toc126849599"/>
      <w:r>
        <w:rPr>
          <w:rFonts w:hint="default" w:ascii="Times New Roman" w:hAnsi="Times New Roman" w:eastAsia="宋体" w:cs="Times New Roman"/>
          <w:b/>
          <w:bCs/>
          <w:color w:val="000000" w:themeColor="text1"/>
          <w:u w:val="none" w:color="auto"/>
          <w14:textFill>
            <w14:solidFill>
              <w14:schemeClr w14:val="tx1"/>
            </w14:solidFill>
          </w14:textFill>
        </w:rPr>
        <w:t>（2）地质构造</w:t>
      </w:r>
      <w:bookmarkEnd w:id="339"/>
    </w:p>
    <w:p w14:paraId="7F6DAA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区域大地构造位于新华夏系巨型第二沉降带的次一级降起带，境内地质构造复杂，规模大，先后经历了武陵—雪峰运动，加里东运动，燕山运动，喜马拉雅运动以及伴随着地壳运动，海陆变迁，岩浆活动，断裂活动，形成不同侵入岩，区内明显的构造形迹为新华夏系构造体系。</w:t>
      </w:r>
    </w:p>
    <w:p w14:paraId="2D37E11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（1）褶皱</w:t>
      </w:r>
    </w:p>
    <w:p w14:paraId="53C414D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西江古弧形构造—西江向斜①：位于县域内的中南部，出露于中元古界冷家溪群，并组成一完整向斜，向斜褶皱轴方向由北西变为近东西走向，向东延入江西省后又逐渐改为北东向，呈一弧形弯曲。西部广为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红层</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及第四系覆盖。区内西端见于胡家塅，东经智峰山，再过杨梅山，长30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里内冷家溪群岩层及片理走向皆为北西50°左右。中酸性岩体和北西向复活性断裂亦顺北方向发生。向斜核部为冷家溪第五岩组变质砂岩、板岩。向斜北翼为冷家溪群第四、第三、第二、第一岩组；南翼为冷家溪群第四岩组。两翼岩层产状较稳定。北翼大多朝南西倾、南翼大体朝北东倾，倾角中至陡倾斜。以西江为核部，向东到大弯洞冷家溪群岩层走向明显发生变异，近似东西向，呈向南突出之弧形弯曲。跨过弧突部位，经洞头岭，越铺洞至长平盆地西缘，长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km左右。</w:t>
      </w:r>
    </w:p>
    <w:p w14:paraId="246046E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（2）断裂</w:t>
      </w:r>
    </w:p>
    <w:p w14:paraId="1C8C309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贯穿整个境内的大断层主要有：沙湾里压性断裂，烂泥洞压扭性断裂、阳道尖断裂、白羊田-板江复活性断裂以及洞头岭复活性断裂、温泉压扭性断裂等。另存在于境内的有大量性质不明断裂，以北北东为主，构造行迹明显，断裂延伸长度不一，控制岩性区域包括岩浆岩、浅变质岩以碎屑岩。</w:t>
      </w:r>
    </w:p>
    <w:p w14:paraId="49308DD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砂湾里压性断裂（24）：是县境</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基底</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上发生为主要断裂之一，倾向南，倾角中至陡倾斜，东为上白垩统</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红层</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所覆，见于苏家咀，向西经坳堪里—砂湾里—引水平，于引水坪西侧被谢家坪77号断裂逆时针扭动250m后，继引水口西延到玄冲，全长7Km，该断裂在地貌上，呈一线状山峪，断裂北盘为冷家溪群第三岩组之板岩。</w:t>
      </w:r>
    </w:p>
    <w:p w14:paraId="66BF009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烂泥洞压性断裂（18）：是一高序次、高级别，向南陡倾斜之压性断裂。西起坳背屋，向东延伸经恩溪、严家湾跃过黄土坪，跨入雷洞，被（11）扎机窝压扭性断裂呈逆时针扭动750米后，于五家坪再现，并与（7）温泉压扭性断裂截接。全长12公里。该断裂地貌反映明显，两翼皆为冷家溪群之板岩。该断面光滑，舒缓波状，断面近旁板岩强烈破碎，有的碾磨成断层泥，有的挤压成角砾岩带，宽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m左右，角砾细小均匀，成分为板岩，砾径几毫米，个别2-3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cm，呈次棱角状，为泥质、岩悄胶结。有的挤压成透镜体，它们的长轴几乎与断裂走向一致。</w:t>
      </w:r>
    </w:p>
    <w:p w14:paraId="4885BE1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白羊田</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板江复活性断裂（23）：位于幕阜山花岗岩体南缘，北西端被第四系覆盖，向南东延伸，经白羊田—大赵家、铁山附近为公田断裂切割，断距大约为1.5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km，于彭家里再现，然后向南东经本区域月田—板江达南江桥，并在其附近与（1）板口压扭性断裂反接，出露全长45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km。该断裂总的走向北50°西，倾向南西，倾角60°-70°。在区域内的北东般盘为燕山晚期之花岗岩，断裂沿线零星见有冷家溪群、震旦系、寒武系残存。沿断裂广泛见到岩石挤压破碎，地层产状紊乱。</w:t>
      </w:r>
    </w:p>
    <w:p w14:paraId="4DDAB5D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洞头岭复活性断裂（22）：位于图区西南部，西端见于金山庙，向东南延伸，经团山铺、洞头岭、南坡源，区内全长36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km。该断裂两盘为冷家溪群第四岩组。被切割的岩体有时代不明的</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大章岩体</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沿断裂线挤压破碎。尤其上白垩统之泥岩、粉砂岩中，见10×40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cm的构造透镜体，其上磨光面清楚，其长轴与断裂走向一致。根据本次勘察资料及区域地质资料，拟建场地内基岩为冷家群溪板岩，拟建场地内在控制深度范围内尚未发现新的断裂痕迹；该区自第四系以来，地质构造运动进入相对稳定期，其特征表现剥蚀、侵蚀构造低山和丘陵地貌。（二）区域地壳稳定性（1）新构造运动境内新构造运动发育，及早更新世来东部隆起，西部下沉，发育几级阶地，展现层状地形，但由于北北东向，北东向构造带内之断裂，一般规模较小，断距不大，既无深大断裂存在，又无大型的地堑构造。</w:t>
      </w:r>
    </w:p>
    <w:p w14:paraId="1F021BA6">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drawing>
          <wp:inline distT="0" distB="0" distL="0" distR="0">
            <wp:extent cx="5694680" cy="3594100"/>
            <wp:effectExtent l="0" t="0" r="127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694680" cy="3594100"/>
                    </a:xfrm>
                    <a:prstGeom prst="rect">
                      <a:avLst/>
                    </a:prstGeom>
                    <a:noFill/>
                    <a:ln>
                      <a:noFill/>
                    </a:ln>
                  </pic:spPr>
                </pic:pic>
              </a:graphicData>
            </a:graphic>
          </wp:inline>
        </w:drawing>
      </w:r>
    </w:p>
    <w:p w14:paraId="5C0E22B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图</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4-1  区域构造图</w:t>
      </w:r>
    </w:p>
    <w:p w14:paraId="2556944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（2）场区地质构造</w:t>
      </w:r>
    </w:p>
    <w:p w14:paraId="0582704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从区域构造分析，基底岩层属冷家溪群板岩。据钻探资料，场地内无大的活动断裂通过，构造相对简单。</w:t>
      </w:r>
    </w:p>
    <w:p w14:paraId="781A5ED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40" w:name="_Toc126849600"/>
      <w:bookmarkStart w:id="341" w:name="_Toc32015"/>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4.2 </w:t>
      </w:r>
      <w:bookmarkEnd w:id="340"/>
      <w:r>
        <w:rPr>
          <w:rFonts w:hint="default" w:ascii="Times New Roman" w:hAnsi="Times New Roman" w:eastAsia="宋体" w:cs="Times New Roman"/>
          <w:color w:val="000000" w:themeColor="text1"/>
          <w:u w:val="none" w:color="auto"/>
          <w14:textFill>
            <w14:solidFill>
              <w14:schemeClr w14:val="tx1"/>
            </w14:solidFill>
          </w14:textFill>
        </w:rPr>
        <w:t>项目区水文地质概述</w:t>
      </w:r>
      <w:bookmarkEnd w:id="341"/>
    </w:p>
    <w:p w14:paraId="26B5FC8F">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4.2.1 地下水类型</w:t>
      </w:r>
    </w:p>
    <w:p w14:paraId="2EA6BD5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根据地下水赋存条件及含水介质，场地沿线地下水类型主要为松散岩类孔隙水和基岩裂隙水。</w:t>
      </w:r>
    </w:p>
    <w:p w14:paraId="4DB964D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（1）松散岩类孔隙水主要赋存于第四系全新统粉质黏土层中，呈孔隙潜水形式，富水贫乏。山体较高处未见该层地下水，山谷低洼地段埋深浅，局部可达孔口。</w:t>
      </w:r>
    </w:p>
    <w:p w14:paraId="5C5EE14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（2）基岩裂隙水主要赋存于冷家溪群强风化板岩，埋深深度差异较大，受裂隙控制，水量贫乏。</w:t>
      </w:r>
    </w:p>
    <w:p w14:paraId="3EF531B7">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4.2.2 包气带水文地质特征</w:t>
      </w:r>
    </w:p>
    <w:p w14:paraId="5F8119E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包气带岩性为地表分布的</w:t>
      </w:r>
      <w:r>
        <w:rPr>
          <w:rFonts w:hint="default" w:ascii="Times New Roman" w:hAnsi="Times New Roman" w:eastAsia="宋体" w:cs="Times New Roman"/>
          <w:color w:val="000000" w:themeColor="text1"/>
          <w:u w:val="none" w:color="auto"/>
          <w14:textFill>
            <w14:solidFill>
              <w14:schemeClr w14:val="tx1"/>
            </w14:solidFill>
          </w14:textFill>
        </w:rPr>
        <w:t>杂填土：黄褐色、灰褐色，由板岩岩块、粉质黏土混填而成，局部夹建筑垃圾，松散~稍密，稍湿，成分不均匀，回填时间不超过五年，未完成自重固结。</w:t>
      </w:r>
    </w:p>
    <w:p w14:paraId="76CBF71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低于地表水位（如池塘积水、溪沟流水）时，地下水赋存于孔隙及土体裂隙中，类型为上层滞水，主要受大气降水或地表水补给，动态随降雨量多寡及地表水体水位变化而变化。高于地表水体时属包气带。</w:t>
      </w:r>
    </w:p>
    <w:p w14:paraId="09D2A8A3">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4.2.3 含水层水文地质特征</w:t>
      </w:r>
    </w:p>
    <w:p w14:paraId="719C3E1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场地内主要地下水类型为</w:t>
      </w:r>
      <w:r>
        <w:rPr>
          <w:rFonts w:hint="default" w:ascii="Times New Roman" w:hAnsi="Times New Roman" w:eastAsia="宋体" w:cs="Times New Roman"/>
          <w:color w:val="000000" w:themeColor="text1"/>
          <w:u w:val="none" w:color="auto"/>
          <w14:textFill>
            <w14:solidFill>
              <w14:schemeClr w14:val="tx1"/>
            </w14:solidFill>
          </w14:textFill>
        </w:rPr>
        <w:t>松散岩类孔隙水</w:t>
      </w:r>
      <w:r>
        <w:rPr>
          <w:rFonts w:hint="default" w:ascii="Times New Roman" w:hAnsi="Times New Roman" w:eastAsia="宋体" w:cs="Times New Roman"/>
          <w:color w:val="000000" w:themeColor="text1"/>
          <w:szCs w:val="24"/>
          <w:u w:val="none" w:color="auto"/>
          <w14:textFill>
            <w14:solidFill>
              <w14:schemeClr w14:val="tx1"/>
            </w14:solidFill>
          </w14:textFill>
        </w:rPr>
        <w:t>、基岩裂隙水，其中：</w:t>
      </w:r>
    </w:p>
    <w:p w14:paraId="1207FAF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（1）松散岩类孔隙水主要赋存于第四系粉质黏土中，以</w:t>
      </w:r>
      <w:r>
        <w:rPr>
          <w:rFonts w:hint="default" w:ascii="Times New Roman" w:hAnsi="Times New Roman" w:eastAsia="宋体" w:cs="Times New Roman"/>
          <w:color w:val="000000" w:themeColor="text1"/>
          <w:u w:val="none" w:color="auto"/>
          <w14:textFill>
            <w14:solidFill>
              <w14:schemeClr w14:val="tx1"/>
            </w14:solidFill>
          </w14:textFill>
        </w:rPr>
        <w:t>黄褐色、灰褐色，可塑，黏粒成分为主，粉粒成分次之，局部夹板岩岩块，切口面较光滑，稍有光泽，无摇震反应，干强度中等，韧性中等，冲积成因</w:t>
      </w:r>
      <w:r>
        <w:rPr>
          <w:rFonts w:hint="default" w:ascii="Times New Roman" w:hAnsi="Times New Roman" w:eastAsia="宋体" w:cs="Times New Roman"/>
          <w:color w:val="000000" w:themeColor="text1"/>
          <w:szCs w:val="24"/>
          <w:u w:val="none" w:color="auto"/>
          <w14:textFill>
            <w14:solidFill>
              <w14:schemeClr w14:val="tx1"/>
            </w14:solidFill>
          </w14:textFill>
        </w:rPr>
        <w:t>，渗透系数k=2.3×10</w:t>
      </w:r>
      <w:r>
        <w:rPr>
          <w:rFonts w:hint="default" w:ascii="Times New Roman" w:hAnsi="Times New Roman" w:eastAsia="宋体" w:cs="Times New Roman"/>
          <w:color w:val="000000" w:themeColor="text1"/>
          <w:szCs w:val="24"/>
          <w:u w:val="none" w:color="auto"/>
          <w:vertAlign w:val="superscript"/>
          <w14:textFill>
            <w14:solidFill>
              <w14:schemeClr w14:val="tx1"/>
            </w14:solidFill>
          </w14:textFill>
        </w:rPr>
        <w:t>-4</w:t>
      </w:r>
      <w:r>
        <w:rPr>
          <w:rFonts w:hint="default" w:ascii="Times New Roman" w:hAnsi="Times New Roman" w:eastAsia="宋体" w:cs="Times New Roman"/>
          <w:color w:val="000000" w:themeColor="text1"/>
          <w:szCs w:val="24"/>
          <w:u w:val="none" w:color="auto"/>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Cs w:val="24"/>
          <w:u w:val="none" w:color="auto"/>
          <w14:textFill>
            <w14:solidFill>
              <w14:schemeClr w14:val="tx1"/>
            </w14:solidFill>
          </w14:textFill>
        </w:rPr>
        <w:t>cm/s，属中等透水层。</w:t>
      </w:r>
    </w:p>
    <w:p w14:paraId="5734799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（2）基岩裂隙水主要赋存于元古界冷家溪群强风化层中，以</w:t>
      </w:r>
      <w:r>
        <w:rPr>
          <w:rFonts w:hint="default" w:ascii="Times New Roman" w:hAnsi="Times New Roman" w:eastAsia="宋体" w:cs="Times New Roman"/>
          <w:color w:val="000000" w:themeColor="text1"/>
          <w:u w:val="none" w:color="auto"/>
          <w14:textFill>
            <w14:solidFill>
              <w14:schemeClr w14:val="tx1"/>
            </w14:solidFill>
          </w14:textFill>
        </w:rPr>
        <w:t>黄褐色、灰褐色、灰绿色，泥质成份，变余泥质结构，板状构造，节理裂隙发育，遇水易软化，岩体破碎，岩芯多呈碎块状、短柱状，柱状，局部风化呈土状，属极软岩，</w:t>
      </w:r>
      <w:r>
        <w:rPr>
          <w:rFonts w:hint="default" w:ascii="Times New Roman" w:hAnsi="Times New Roman" w:eastAsia="宋体" w:cs="Times New Roman"/>
          <w:color w:val="000000" w:themeColor="text1"/>
          <w:szCs w:val="24"/>
          <w:u w:val="none" w:color="auto"/>
          <w14:textFill>
            <w14:solidFill>
              <w14:schemeClr w14:val="tx1"/>
            </w14:solidFill>
          </w14:textFill>
        </w:rPr>
        <w:t>渗透系数k=5×10</w:t>
      </w:r>
      <w:r>
        <w:rPr>
          <w:rFonts w:hint="default" w:ascii="Times New Roman" w:hAnsi="Times New Roman" w:eastAsia="宋体" w:cs="Times New Roman"/>
          <w:color w:val="000000" w:themeColor="text1"/>
          <w:szCs w:val="24"/>
          <w:u w:val="none" w:color="auto"/>
          <w:vertAlign w:val="superscript"/>
          <w14:textFill>
            <w14:solidFill>
              <w14:schemeClr w14:val="tx1"/>
            </w14:solidFill>
          </w14:textFill>
        </w:rPr>
        <w:t>-4</w:t>
      </w:r>
      <w:r>
        <w:rPr>
          <w:rFonts w:hint="default" w:ascii="Times New Roman" w:hAnsi="Times New Roman" w:eastAsia="宋体" w:cs="Times New Roman"/>
          <w:color w:val="000000" w:themeColor="text1"/>
          <w:szCs w:val="24"/>
          <w:u w:val="none" w:color="auto"/>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Cs w:val="24"/>
          <w:u w:val="none" w:color="auto"/>
          <w14:textFill>
            <w14:solidFill>
              <w14:schemeClr w14:val="tx1"/>
            </w14:solidFill>
          </w14:textFill>
        </w:rPr>
        <w:t>cm/s，属中等透水层。</w:t>
      </w:r>
    </w:p>
    <w:p w14:paraId="1328E90D">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4.2.4 隔水层水文地质特征</w:t>
      </w:r>
    </w:p>
    <w:p w14:paraId="238159B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场地隔水层为元古界冷家溪群中风化层，主要以</w:t>
      </w:r>
      <w:r>
        <w:rPr>
          <w:rFonts w:hint="default" w:ascii="Times New Roman" w:hAnsi="Times New Roman" w:eastAsia="宋体" w:cs="Times New Roman"/>
          <w:color w:val="000000" w:themeColor="text1"/>
          <w:u w:val="none" w:color="auto"/>
          <w14:textFill>
            <w14:solidFill>
              <w14:schemeClr w14:val="tx1"/>
            </w14:solidFill>
          </w14:textFill>
        </w:rPr>
        <w:t>灰色、灰绿色，泥质成份，变余泥质结构，板状构造，节理裂隙较发育，节理面被铁锰质氧化物侵染，岩体较破碎，岩芯呈柱状、短柱状、块状，属软岩，一般RQD=25-50，该层为区域稳定下伏基岩，分布稳定，未揭穿，</w:t>
      </w:r>
      <w:r>
        <w:rPr>
          <w:rFonts w:hint="default" w:ascii="Times New Roman" w:hAnsi="Times New Roman" w:eastAsia="宋体" w:cs="Times New Roman"/>
          <w:color w:val="000000" w:themeColor="text1"/>
          <w:szCs w:val="24"/>
          <w:u w:val="none" w:color="auto"/>
          <w14:textFill>
            <w14:solidFill>
              <w14:schemeClr w14:val="tx1"/>
            </w14:solidFill>
          </w14:textFill>
        </w:rPr>
        <w:t>根据现场钻孔压水试验可知，渗透系数k=5×10</w:t>
      </w:r>
      <w:r>
        <w:rPr>
          <w:rFonts w:hint="default" w:ascii="Times New Roman" w:hAnsi="Times New Roman" w:eastAsia="宋体" w:cs="Times New Roman"/>
          <w:color w:val="000000" w:themeColor="text1"/>
          <w:szCs w:val="24"/>
          <w:u w:val="none" w:color="auto"/>
          <w:vertAlign w:val="superscript"/>
          <w14:textFill>
            <w14:solidFill>
              <w14:schemeClr w14:val="tx1"/>
            </w14:solidFill>
          </w14:textFill>
        </w:rPr>
        <w:t>-5</w:t>
      </w:r>
      <w:r>
        <w:rPr>
          <w:rFonts w:hint="default" w:ascii="Times New Roman" w:hAnsi="Times New Roman" w:eastAsia="宋体" w:cs="Times New Roman"/>
          <w:color w:val="000000" w:themeColor="text1"/>
          <w:szCs w:val="24"/>
          <w:u w:val="none" w:color="auto"/>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Cs w:val="24"/>
          <w:u w:val="none" w:color="auto"/>
          <w14:textFill>
            <w14:solidFill>
              <w14:schemeClr w14:val="tx1"/>
            </w14:solidFill>
          </w14:textFill>
        </w:rPr>
        <w:t>cm/s，，属弱透水层，此层为场地较稳定的隔水层。</w:t>
      </w:r>
    </w:p>
    <w:p w14:paraId="345C5C1C">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4.2.5 地下水动态和补给、径流、排泄条件</w:t>
      </w:r>
    </w:p>
    <w:p w14:paraId="56467DB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（1）地下水补、径、排条件</w:t>
      </w:r>
    </w:p>
    <w:p w14:paraId="695152E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场地内地下水主要靠大气降水补给，地下水径流条件比较简单，松散岩类孔隙水及基岩裂隙水，一般以潜水形式存在，排泄区受侵蚀基准面控制。</w:t>
      </w:r>
    </w:p>
    <w:p w14:paraId="6FE76DE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1）松散岩类孔隙水</w:t>
      </w:r>
    </w:p>
    <w:p w14:paraId="1C70BB1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以水形式存在，补给、径流、排泄过程不明显，它们之间没有清楚的分带，排泄区受侵蚀基准面控制。主要补给来源为大气降水直接渗入补给，以裸露于地表的黏土层吸收降水渗入，入渗系数一般在0.1以下，各类岩性因渗透性能不同，渗入量有大有小。因为这类含水层多以潜水为主，地下径流区也是补给区，地下水的径流坡度与含水层的岩性或孔隙含水层底板基岩的起伏状态有关。</w:t>
      </w:r>
    </w:p>
    <w:p w14:paraId="2BC56E3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2）基岩裂隙水</w:t>
      </w:r>
    </w:p>
    <w:p w14:paraId="502120A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以大气降水补给为主，运移方向受侵蚀基准面控制，与地表水流域一致，顺坡面向低处流可在山坡排泄，但是多数在沟谷处排泄，水力坡度稍缓于地形坡度，流动方向则与地表坡度一致，地下水运移方式，主要沿裂隙或层面的渗透流，渗流速度缓慢。地下水排泄地带与补给径流区一致，无明显分带性，径流途径短，流速缓慢，属近源排泄。</w:t>
      </w:r>
    </w:p>
    <w:p w14:paraId="21EF3C4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（2）地下水流向</w:t>
      </w:r>
    </w:p>
    <w:p w14:paraId="71E848C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项目区内地下水整体是自北向南流，直至汨罗江排泄。场地范围内地下水沿着自东南向西北方向径流，水力梯度为0.15左右。</w:t>
      </w:r>
    </w:p>
    <w:p w14:paraId="2C27468F">
      <w:pPr>
        <w:pStyle w:val="6"/>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bookmarkStart w:id="342" w:name="_Toc5153"/>
      <w:r>
        <w:rPr>
          <w:rFonts w:hint="eastAsia" w:ascii="Times New Roman" w:hAnsi="Times New Roman" w:eastAsia="宋体" w:cs="Times New Roman"/>
          <w:color w:val="000000" w:themeColor="text1"/>
          <w:u w:val="none" w:color="auto"/>
          <w:lang w:val="en-US" w:eastAsia="zh-CN"/>
          <w14:textFill>
            <w14:solidFill>
              <w14:schemeClr w14:val="tx1"/>
            </w14:solidFill>
          </w14:textFill>
        </w:rPr>
        <w:t>6.4.3 地下水开发利用情况</w:t>
      </w:r>
      <w:bookmarkEnd w:id="342"/>
    </w:p>
    <w:p w14:paraId="206DAE6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根据现场调查，项目地下水评价范围内未发现泉点出露，周边地下水资源利用主要表现为水井，周边村庄均有水井，为生活杂用水，周边企业及居民生产生活用水均由自来水厂提供。项目地下水评价范围内无集中式饮用水源，无矿泉水、温泉等特殊地下水资源。</w:t>
      </w:r>
    </w:p>
    <w:p w14:paraId="773DFEF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43" w:name="_Toc274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地下水影响预测</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与评价</w:t>
      </w:r>
      <w:bookmarkEnd w:id="343"/>
    </w:p>
    <w:p w14:paraId="22D246BB">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根据《环境影响评价技术导则 地下水环境》（HJ610-2016）：“9.4.1 般情况下，建设项目须对正常状况和非正常状况的情景分别进行预测。9.4.2 已依据GB 16889、GB 18597、GB 18598、GB 18599、GB/T 50934设计地下水污染防渗措施的建设项目，可不进行正常状况情景下的预测。”本次评价要求建设单位必须严格按GB 16889、GB 18597、GB 18598、GB 18599、GB/T 50934 要求设计地下水污染防渗措施。对生产车间、储罐区、危废暂存间、废气处理设施、污水处理设施等进行重点防渗。</w:t>
      </w:r>
    </w:p>
    <w:p w14:paraId="4AEA8EB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在采取防渗措施后，项目在正常状况下运行仅存在少量液态物料的跑、冒、滴、漏，但受防渗层阻隔，该类污染不会进入地下水系统，</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储罐区设有围堰，即使</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单个最大罐体破损</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也能有效阻隔。所以，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项目在正常状况下运行，对地下水环境不会产生影响</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非正常状况下，本次考虑污水处理</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设施</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水池破损，同时地面防渗层老化失效，泄漏于地表的物料沿老化的地面防渗层渗入含水层。根据本项目污染特征及原辅材料使用情况，选取COD作为预测因子。</w:t>
      </w:r>
    </w:p>
    <w:p w14:paraId="28375405">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.1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污染途径分析</w:t>
      </w:r>
    </w:p>
    <w:p w14:paraId="1C4701B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本项目地下水污染途径主要是污水处理</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设施</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泄漏对浅层地下水的影响。</w:t>
      </w:r>
    </w:p>
    <w:p w14:paraId="12CF0A6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预测时段和预测因子</w:t>
      </w:r>
    </w:p>
    <w:p w14:paraId="282970B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根据本工程特点，结合《环境影响评价技术导则 地下水环境》（HJ 610-2016）的规定，地下水环境影响预测评价时段可以分为以下3个关键时段：污染发生后100天、污染发生后1000天、污染发生后3650天。根据项目工程分析，本次预测选取污染负荷比较大的COD</w:t>
      </w:r>
      <w:r>
        <w:rPr>
          <w:rFonts w:hint="eastAsia" w:ascii="Times New Roman" w:hAnsi="Times New Roman" w:eastAsia="宋体" w:cs="Times New Roman"/>
          <w:color w:val="000000" w:themeColor="text1"/>
          <w:u w:val="none" w:color="auto"/>
          <w:vertAlign w:val="subscript"/>
          <w:lang w:val="en-US" w:eastAsia="zh-CN"/>
          <w14:textFill>
            <w14:solidFill>
              <w14:schemeClr w14:val="tx1"/>
            </w14:solidFill>
          </w14:textFill>
        </w:rPr>
        <w:t>Cr</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（污水处理设施废水，泄漏浓度为1944 mg/L）作为预测因子。 </w:t>
      </w:r>
    </w:p>
    <w:p w14:paraId="1EFFCB4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评价标准：COD</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Mn</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（耗氧量）执行《地下水质量标准》（GB/T 14848-2017）中Ⅲ类标准3 mg/L。</w:t>
      </w:r>
    </w:p>
    <w:p w14:paraId="774FDD46">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污染预测模型的建立</w:t>
      </w:r>
    </w:p>
    <w:p w14:paraId="7D06FB4C">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根据《环境影响评价技术导则 地下水环境》（HJ 610-2016），建设项目地下水环境影响预测方法包括数学模型法和类比分析法，其中：数学模型法包括数值法、解析法等方法。由于本项目地下水评价等级为三级，项目可能对地下水产生的影响为含油废水泄漏引发对地下水水质的影响，而对地下水流场影响较小，且项目所在地水文地质条件简单，故在此选择解析法作为本项目地下水污染影响预测方法。</w:t>
      </w:r>
    </w:p>
    <w:p w14:paraId="33D97D0C">
      <w:pPr>
        <w:spacing w:line="360" w:lineRule="auto"/>
        <w:ind w:firstLine="480" w:firstLineChars="200"/>
        <w:rPr>
          <w:rFonts w:ascii="Times New Roman" w:hAnsi="Times New Roman" w:cs="Times New Roman"/>
          <w:szCs w:val="24"/>
        </w:rPr>
      </w:pPr>
      <w:r>
        <w:rPr>
          <w:rFonts w:hint="eastAsia" w:ascii="Times New Roman" w:hAnsi="Times New Roman" w:cs="Times New Roman"/>
          <w:szCs w:val="24"/>
        </w:rPr>
        <w:t>针对下覆灰岩分布区域的岩溶裂隙含水层进行地下水环境影响预测评价，依据《环境影响评价技术导则—地下水环境》（HJ610-2016），本项目概化为一维稳定流动一维水动力弥散问题，采用一维无限长多孔介质柱体，示踪剂瞬时注入</w:t>
      </w:r>
    </w:p>
    <w:p w14:paraId="6D855121">
      <w:pPr>
        <w:spacing w:line="360" w:lineRule="auto"/>
        <w:ind w:firstLine="480" w:firstLineChars="200"/>
        <w:rPr>
          <w:rFonts w:ascii="Times New Roman" w:hAnsi="Times New Roman" w:cs="Times New Roman"/>
          <w:szCs w:val="24"/>
        </w:rPr>
      </w:pPr>
      <m:oMathPara>
        <m:oMath>
          <m:sSub>
            <m:sSubPr>
              <m:ctrlPr>
                <w:rPr>
                  <w:rFonts w:ascii="Cambria Math" w:hAnsi="Cambria Math" w:cs="Times New Roman"/>
                  <w:i/>
                  <w:szCs w:val="24"/>
                </w:rPr>
              </m:ctrlPr>
            </m:sSubPr>
            <m:e>
              <m:r>
                <m:rPr/>
                <w:rPr>
                  <w:rFonts w:hint="default" w:ascii="Cambria Math" w:hAnsi="Cambria Math" w:cs="Times New Roman"/>
                  <w:szCs w:val="24"/>
                  <w:lang w:val="en-US" w:eastAsia="zh-CN"/>
                </w:rPr>
                <m:t>C</m:t>
              </m:r>
              <m:ctrlPr>
                <w:rPr>
                  <w:rFonts w:ascii="Cambria Math" w:hAnsi="Cambria Math" w:cs="Times New Roman"/>
                  <w:i/>
                  <w:szCs w:val="24"/>
                </w:rPr>
              </m:ctrlPr>
            </m:e>
            <m:sub>
              <m:d>
                <m:dPr>
                  <m:ctrlPr>
                    <w:rPr>
                      <w:rFonts w:ascii="Cambria Math" w:hAnsi="Cambria Math" w:cs="Times New Roman"/>
                      <w:szCs w:val="24"/>
                    </w:rPr>
                  </m:ctrlPr>
                </m:dPr>
                <m:e>
                  <m:r>
                    <m:rPr>
                      <m:sty m:val="p"/>
                    </m:rPr>
                    <w:rPr>
                      <w:rFonts w:ascii="Cambria Math" w:hAnsi="Cambria Math" w:cs="Times New Roman"/>
                      <w:szCs w:val="24"/>
                    </w:rPr>
                    <m:t>x,t</m:t>
                  </m:r>
                  <m:ctrlPr>
                    <w:rPr>
                      <w:rFonts w:ascii="Cambria Math" w:hAnsi="Cambria Math" w:cs="Times New Roman"/>
                      <w:szCs w:val="24"/>
                    </w:rPr>
                  </m:ctrlPr>
                </m:e>
              </m:d>
              <m:ctrlPr>
                <w:rPr>
                  <w:rFonts w:ascii="Cambria Math" w:hAnsi="Cambria Math" w:cs="Times New Roman"/>
                  <w:i/>
                  <w:szCs w:val="24"/>
                </w:rPr>
              </m:ctrlPr>
            </m:sub>
          </m:sSub>
          <m:r>
            <m:rPr/>
            <w:rPr>
              <w:rFonts w:ascii="Cambria Math" w:hAnsi="Cambria Math" w:cs="Times New Roman"/>
              <w:szCs w:val="24"/>
            </w:rPr>
            <m:t>=</m:t>
          </m:r>
          <m:f>
            <m:fPr>
              <m:ctrlPr>
                <w:rPr>
                  <w:rFonts w:ascii="Cambria Math" w:hAnsi="Cambria Math" w:cs="Times New Roman"/>
                  <w:i/>
                  <w:szCs w:val="24"/>
                </w:rPr>
              </m:ctrlPr>
            </m:fPr>
            <m:num>
              <m:f>
                <m:fPr>
                  <m:ctrlPr>
                    <w:rPr>
                      <w:rFonts w:ascii="Cambria Math" w:hAnsi="Cambria Math" w:cs="Times New Roman"/>
                      <w:i/>
                      <w:szCs w:val="24"/>
                    </w:rPr>
                  </m:ctrlPr>
                </m:fPr>
                <m:num>
                  <m:r>
                    <m:rPr/>
                    <w:rPr>
                      <w:rFonts w:ascii="Cambria Math" w:hAnsi="Cambria Math" w:cs="Times New Roman"/>
                      <w:szCs w:val="24"/>
                    </w:rPr>
                    <m:t>m</m:t>
                  </m:r>
                  <m:ctrlPr>
                    <w:rPr>
                      <w:rFonts w:ascii="Cambria Math" w:hAnsi="Cambria Math" w:cs="Times New Roman"/>
                      <w:i/>
                      <w:szCs w:val="24"/>
                    </w:rPr>
                  </m:ctrlPr>
                </m:num>
                <m:den>
                  <m:r>
                    <m:rPr/>
                    <w:rPr>
                      <w:rFonts w:ascii="Cambria Math" w:hAnsi="Cambria Math" w:cs="Times New Roman"/>
                      <w:szCs w:val="24"/>
                    </w:rPr>
                    <m:t>W</m:t>
                  </m:r>
                  <m:ctrlPr>
                    <w:rPr>
                      <w:rFonts w:ascii="Cambria Math" w:hAnsi="Cambria Math" w:cs="Times New Roman"/>
                      <w:i/>
                      <w:szCs w:val="24"/>
                    </w:rPr>
                  </m:ctrlPr>
                </m:den>
              </m:f>
              <m:ctrlPr>
                <w:rPr>
                  <w:rFonts w:ascii="Cambria Math" w:hAnsi="Cambria Math" w:cs="Times New Roman"/>
                  <w:i/>
                  <w:szCs w:val="24"/>
                </w:rPr>
              </m:ctrlPr>
            </m:num>
            <m:den>
              <m:r>
                <m:rPr/>
                <w:rPr>
                  <w:rFonts w:ascii="Cambria Math" w:hAnsi="Cambria Math" w:cs="Times New Roman"/>
                  <w:szCs w:val="24"/>
                </w:rPr>
                <m:t>2</m:t>
              </m:r>
              <m:sSub>
                <m:sSubPr>
                  <m:ctrlPr>
                    <w:rPr>
                      <w:rFonts w:ascii="Cambria Math" w:hAnsi="Cambria Math" w:cs="Times New Roman"/>
                      <w:i/>
                      <w:szCs w:val="24"/>
                    </w:rPr>
                  </m:ctrlPr>
                </m:sSubPr>
                <m:e>
                  <m:r>
                    <m:rPr/>
                    <w:rPr>
                      <w:rFonts w:ascii="Cambria Math" w:hAnsi="Cambria Math" w:cs="Times New Roman"/>
                      <w:szCs w:val="24"/>
                    </w:rPr>
                    <m:t>n</m:t>
                  </m:r>
                  <m:ctrlPr>
                    <w:rPr>
                      <w:rFonts w:ascii="Cambria Math" w:hAnsi="Cambria Math" w:cs="Times New Roman"/>
                      <w:i/>
                      <w:szCs w:val="24"/>
                    </w:rPr>
                  </m:ctrlPr>
                </m:e>
                <m:sub>
                  <m:r>
                    <m:rPr/>
                    <w:rPr>
                      <w:rFonts w:ascii="Cambria Math" w:hAnsi="Cambria Math" w:cs="Times New Roman"/>
                      <w:szCs w:val="24"/>
                    </w:rPr>
                    <m:t>e</m:t>
                  </m:r>
                  <m:ctrlPr>
                    <w:rPr>
                      <w:rFonts w:ascii="Cambria Math" w:hAnsi="Cambria Math" w:cs="Times New Roman"/>
                      <w:i/>
                      <w:szCs w:val="24"/>
                    </w:rPr>
                  </m:ctrlPr>
                </m:sub>
              </m:sSub>
              <m:rad>
                <m:radPr>
                  <m:degHide m:val="1"/>
                  <m:ctrlPr>
                    <w:rPr>
                      <w:rFonts w:ascii="Cambria Math" w:hAnsi="Cambria Math" w:cs="Times New Roman"/>
                      <w:i/>
                      <w:szCs w:val="24"/>
                    </w:rPr>
                  </m:ctrlPr>
                </m:radPr>
                <m:deg>
                  <m:ctrlPr>
                    <w:rPr>
                      <w:rFonts w:ascii="Cambria Math" w:hAnsi="Cambria Math" w:cs="Times New Roman"/>
                      <w:i/>
                      <w:szCs w:val="24"/>
                    </w:rPr>
                  </m:ctrlPr>
                </m:deg>
                <m:e>
                  <m:r>
                    <m:rPr/>
                    <w:rPr>
                      <w:rFonts w:ascii="Cambria Math" w:hAnsi="Cambria Math" w:cs="Times New Roman"/>
                      <w:szCs w:val="24"/>
                    </w:rPr>
                    <m:t>π</m:t>
                  </m:r>
                  <m:sSub>
                    <m:sSubPr>
                      <m:ctrlPr>
                        <w:rPr>
                          <w:rFonts w:ascii="Cambria Math" w:hAnsi="Cambria Math" w:cs="Times New Roman"/>
                          <w:i/>
                          <w:szCs w:val="24"/>
                        </w:rPr>
                      </m:ctrlPr>
                    </m:sSubPr>
                    <m:e>
                      <m:r>
                        <m:rPr/>
                        <w:rPr>
                          <w:rFonts w:ascii="Cambria Math" w:hAnsi="Cambria Math" w:cs="Times New Roman"/>
                          <w:szCs w:val="24"/>
                        </w:rPr>
                        <m:t>D</m:t>
                      </m:r>
                      <m:ctrlPr>
                        <w:rPr>
                          <w:rFonts w:ascii="Cambria Math" w:hAnsi="Cambria Math" w:cs="Times New Roman"/>
                          <w:i/>
                          <w:szCs w:val="24"/>
                        </w:rPr>
                      </m:ctrlPr>
                    </m:e>
                    <m:sub>
                      <m:r>
                        <m:rPr/>
                        <w:rPr>
                          <w:rFonts w:ascii="Cambria Math" w:hAnsi="Cambria Math" w:cs="Times New Roman"/>
                          <w:szCs w:val="24"/>
                        </w:rPr>
                        <m:t>L</m:t>
                      </m:r>
                      <m:ctrlPr>
                        <w:rPr>
                          <w:rFonts w:ascii="Cambria Math" w:hAnsi="Cambria Math" w:cs="Times New Roman"/>
                          <w:i/>
                          <w:szCs w:val="24"/>
                        </w:rPr>
                      </m:ctrlPr>
                    </m:sub>
                  </m:sSub>
                  <m:r>
                    <m:rPr/>
                    <w:rPr>
                      <w:rFonts w:ascii="Cambria Math" w:hAnsi="Cambria Math" w:cs="Times New Roman"/>
                      <w:szCs w:val="24"/>
                    </w:rPr>
                    <m:t>t</m:t>
                  </m:r>
                  <m:ctrlPr>
                    <w:rPr>
                      <w:rFonts w:ascii="Cambria Math" w:hAnsi="Cambria Math" w:cs="Times New Roman"/>
                      <w:i/>
                      <w:szCs w:val="24"/>
                    </w:rPr>
                  </m:ctrlPr>
                </m:e>
              </m:rad>
              <m:ctrlPr>
                <w:rPr>
                  <w:rFonts w:ascii="Cambria Math" w:hAnsi="Cambria Math" w:cs="Times New Roman"/>
                  <w:i/>
                  <w:szCs w:val="24"/>
                </w:rPr>
              </m:ctrlPr>
            </m:den>
          </m:f>
          <m:sSup>
            <m:sSupPr>
              <m:ctrlPr>
                <w:rPr>
                  <w:rFonts w:ascii="Cambria Math" w:hAnsi="Cambria Math" w:cs="Times New Roman"/>
                  <w:i/>
                  <w:szCs w:val="24"/>
                </w:rPr>
              </m:ctrlPr>
            </m:sSupPr>
            <m:e>
              <m:r>
                <m:rPr/>
                <w:rPr>
                  <w:rFonts w:ascii="Cambria Math" w:hAnsi="Cambria Math" w:cs="Times New Roman"/>
                  <w:szCs w:val="24"/>
                </w:rPr>
                <m:t>e</m:t>
              </m:r>
              <m:ctrlPr>
                <w:rPr>
                  <w:rFonts w:ascii="Cambria Math" w:hAnsi="Cambria Math" w:cs="Times New Roman"/>
                  <w:i/>
                  <w:szCs w:val="24"/>
                </w:rPr>
              </m:ctrlPr>
            </m:e>
            <m:sup>
              <m:r>
                <m:rPr/>
                <w:rPr>
                  <w:rFonts w:ascii="Cambria Math" w:hAnsi="Cambria Math" w:cs="Times New Roman"/>
                  <w:szCs w:val="24"/>
                </w:rPr>
                <m:t>−</m:t>
              </m:r>
              <m:f>
                <m:fPr>
                  <m:ctrlPr>
                    <w:rPr>
                      <w:rFonts w:ascii="Cambria Math" w:hAnsi="Cambria Math" w:cs="Times New Roman"/>
                      <w:i/>
                      <w:szCs w:val="24"/>
                    </w:rPr>
                  </m:ctrlPr>
                </m:fPr>
                <m:num>
                  <m:sSup>
                    <m:sSupPr>
                      <m:ctrlPr>
                        <w:rPr>
                          <w:rFonts w:ascii="Cambria Math" w:hAnsi="Cambria Math" w:cs="Times New Roman"/>
                          <w:i/>
                          <w:szCs w:val="24"/>
                        </w:rPr>
                      </m:ctrlPr>
                    </m:sSupPr>
                    <m:e>
                      <m:d>
                        <m:dPr>
                          <m:ctrlPr>
                            <w:rPr>
                              <w:rFonts w:ascii="Cambria Math" w:hAnsi="Cambria Math" w:cs="Times New Roman"/>
                              <w:i/>
                              <w:szCs w:val="24"/>
                            </w:rPr>
                          </m:ctrlPr>
                        </m:dPr>
                        <m:e>
                          <m:r>
                            <m:rPr/>
                            <w:rPr>
                              <w:rFonts w:ascii="Cambria Math" w:hAnsi="Cambria Math" w:cs="Times New Roman"/>
                              <w:szCs w:val="24"/>
                            </w:rPr>
                            <m:t>x−ut</m:t>
                          </m:r>
                          <m:ctrlPr>
                            <w:rPr>
                              <w:rFonts w:ascii="Cambria Math" w:hAnsi="Cambria Math" w:cs="Times New Roman"/>
                              <w:i/>
                              <w:szCs w:val="24"/>
                            </w:rPr>
                          </m:ctrlPr>
                        </m:e>
                      </m:d>
                      <m:ctrlPr>
                        <w:rPr>
                          <w:rFonts w:ascii="Cambria Math" w:hAnsi="Cambria Math" w:cs="Times New Roman"/>
                          <w:i/>
                          <w:szCs w:val="24"/>
                        </w:rPr>
                      </m:ctrlPr>
                    </m:e>
                    <m:sup>
                      <m:r>
                        <m:rPr/>
                        <w:rPr>
                          <w:rFonts w:ascii="Cambria Math" w:hAnsi="Cambria Math" w:cs="Times New Roman"/>
                          <w:szCs w:val="24"/>
                        </w:rPr>
                        <m:t>2</m:t>
                      </m:r>
                      <m:ctrlPr>
                        <w:rPr>
                          <w:rFonts w:ascii="Cambria Math" w:hAnsi="Cambria Math" w:cs="Times New Roman"/>
                          <w:i/>
                          <w:szCs w:val="24"/>
                        </w:rPr>
                      </m:ctrlPr>
                    </m:sup>
                  </m:sSup>
                  <m:ctrlPr>
                    <w:rPr>
                      <w:rFonts w:ascii="Cambria Math" w:hAnsi="Cambria Math" w:cs="Times New Roman"/>
                      <w:i/>
                      <w:szCs w:val="24"/>
                    </w:rPr>
                  </m:ctrlPr>
                </m:num>
                <m:den>
                  <m:r>
                    <m:rPr/>
                    <w:rPr>
                      <w:rFonts w:ascii="Cambria Math" w:hAnsi="Cambria Math" w:cs="Times New Roman"/>
                      <w:szCs w:val="24"/>
                    </w:rPr>
                    <m:t>4</m:t>
                  </m:r>
                  <m:sSub>
                    <m:sSubPr>
                      <m:ctrlPr>
                        <w:rPr>
                          <w:rFonts w:ascii="Cambria Math" w:hAnsi="Cambria Math" w:cs="Times New Roman"/>
                          <w:i/>
                          <w:szCs w:val="24"/>
                        </w:rPr>
                      </m:ctrlPr>
                    </m:sSubPr>
                    <m:e>
                      <m:r>
                        <m:rPr/>
                        <w:rPr>
                          <w:rFonts w:ascii="Cambria Math" w:hAnsi="Cambria Math" w:cs="Times New Roman"/>
                          <w:szCs w:val="24"/>
                        </w:rPr>
                        <m:t>D</m:t>
                      </m:r>
                      <m:ctrlPr>
                        <w:rPr>
                          <w:rFonts w:ascii="Cambria Math" w:hAnsi="Cambria Math" w:cs="Times New Roman"/>
                          <w:i/>
                          <w:szCs w:val="24"/>
                        </w:rPr>
                      </m:ctrlPr>
                    </m:e>
                    <m:sub>
                      <m:r>
                        <m:rPr/>
                        <w:rPr>
                          <w:rFonts w:ascii="Cambria Math" w:hAnsi="Cambria Math" w:cs="Times New Roman"/>
                          <w:szCs w:val="24"/>
                        </w:rPr>
                        <m:t>L</m:t>
                      </m:r>
                      <m:ctrlPr>
                        <w:rPr>
                          <w:rFonts w:ascii="Cambria Math" w:hAnsi="Cambria Math" w:cs="Times New Roman"/>
                          <w:i/>
                          <w:szCs w:val="24"/>
                        </w:rPr>
                      </m:ctrlPr>
                    </m:sub>
                  </m:sSub>
                  <m:r>
                    <m:rPr/>
                    <w:rPr>
                      <w:rFonts w:ascii="Cambria Math" w:hAnsi="Cambria Math" w:cs="Times New Roman"/>
                      <w:szCs w:val="24"/>
                    </w:rPr>
                    <m:t>t</m:t>
                  </m:r>
                  <m:ctrlPr>
                    <w:rPr>
                      <w:rFonts w:ascii="Cambria Math" w:hAnsi="Cambria Math" w:cs="Times New Roman"/>
                      <w:i/>
                      <w:szCs w:val="24"/>
                    </w:rPr>
                  </m:ctrlPr>
                </m:den>
              </m:f>
              <m:ctrlPr>
                <w:rPr>
                  <w:rFonts w:ascii="Cambria Math" w:hAnsi="Cambria Math" w:cs="Times New Roman"/>
                  <w:i/>
                  <w:szCs w:val="24"/>
                </w:rPr>
              </m:ctrlPr>
            </m:sup>
          </m:sSup>
        </m:oMath>
      </m:oMathPara>
    </w:p>
    <w:p w14:paraId="544A2DA0">
      <w:pPr>
        <w:spacing w:line="360" w:lineRule="auto"/>
        <w:ind w:firstLine="480" w:firstLineChars="200"/>
        <w:rPr>
          <w:rFonts w:hint="default" w:ascii="Times New Roman" w:hAnsi="Times New Roman" w:cs="Times New Roman"/>
          <w:szCs w:val="24"/>
        </w:rPr>
      </w:pPr>
      <w:r>
        <w:rPr>
          <w:rFonts w:hint="eastAsia" w:ascii="Times New Roman" w:hAnsi="Times New Roman" w:cs="Times New Roman"/>
          <w:szCs w:val="24"/>
        </w:rPr>
        <w:t>式中：</w:t>
      </w:r>
      <w:r>
        <w:rPr>
          <w:rFonts w:hint="default" w:ascii="Times New Roman" w:hAnsi="Times New Roman" w:cs="Times New Roman"/>
          <w:szCs w:val="24"/>
          <w:lang w:val="en-US" w:eastAsia="zh-CN"/>
        </w:rPr>
        <w:t>x</w:t>
      </w:r>
      <w:r>
        <w:rPr>
          <w:rFonts w:hint="default" w:ascii="Times New Roman" w:hAnsi="Times New Roman" w:cs="Times New Roman"/>
          <w:szCs w:val="24"/>
        </w:rPr>
        <w:t>——距注入点的距离</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133661B3">
      <w:pPr>
        <w:keepNext w:val="0"/>
        <w:keepLines w:val="0"/>
        <w:pageBreakBefore w:val="0"/>
        <w:widowControl w:val="0"/>
        <w:kinsoku/>
        <w:wordWrap/>
        <w:overflowPunct/>
        <w:topLinePunct w:val="0"/>
        <w:autoSpaceDE/>
        <w:autoSpaceDN/>
        <w:bidi w:val="0"/>
        <w:adjustRightInd/>
        <w:snapToGrid/>
        <w:spacing w:line="360" w:lineRule="auto"/>
        <w:ind w:left="720" w:leftChars="300" w:firstLine="480" w:firstLineChars="200"/>
        <w:jc w:val="left"/>
        <w:textAlignment w:val="auto"/>
        <w:rPr>
          <w:rFonts w:hint="default" w:ascii="Times New Roman" w:hAnsi="Times New Roman" w:cs="Times New Roman"/>
          <w:szCs w:val="24"/>
        </w:rPr>
      </w:pPr>
      <w:r>
        <w:rPr>
          <w:rFonts w:hint="default" w:ascii="Times New Roman" w:hAnsi="Times New Roman" w:cs="Times New Roman"/>
          <w:szCs w:val="24"/>
          <w:lang w:val="en-US" w:eastAsia="zh-CN"/>
        </w:rPr>
        <w:t>t</w:t>
      </w:r>
      <w:r>
        <w:rPr>
          <w:rFonts w:hint="default" w:ascii="Times New Roman" w:hAnsi="Times New Roman" w:cs="Times New Roman"/>
          <w:szCs w:val="24"/>
        </w:rPr>
        <w:t>——时间</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d</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5FC91651">
      <w:pPr>
        <w:keepNext w:val="0"/>
        <w:keepLines w:val="0"/>
        <w:pageBreakBefore w:val="0"/>
        <w:widowControl w:val="0"/>
        <w:kinsoku/>
        <w:wordWrap/>
        <w:overflowPunct/>
        <w:topLinePunct w:val="0"/>
        <w:autoSpaceDE/>
        <w:autoSpaceDN/>
        <w:bidi w:val="0"/>
        <w:adjustRightInd/>
        <w:snapToGrid/>
        <w:spacing w:line="360" w:lineRule="auto"/>
        <w:ind w:left="720" w:leftChars="300" w:firstLine="480" w:firstLineChars="200"/>
        <w:jc w:val="left"/>
        <w:textAlignment w:val="auto"/>
        <w:rPr>
          <w:rFonts w:hint="default" w:ascii="Times New Roman" w:hAnsi="Times New Roman" w:cs="Times New Roman"/>
          <w:szCs w:val="24"/>
        </w:rPr>
      </w:pPr>
      <w:r>
        <w:rPr>
          <w:rFonts w:hint="default" w:ascii="Times New Roman" w:hAnsi="Times New Roman" w:cs="Times New Roman"/>
          <w:szCs w:val="24"/>
          <w:lang w:val="en-US" w:eastAsia="zh-CN"/>
        </w:rPr>
        <w:t>C</w:t>
      </w:r>
      <w:r>
        <w:rPr>
          <w:rFonts w:hint="default" w:ascii="Times New Roman" w:hAnsi="Times New Roman" w:cs="Times New Roman"/>
          <w:szCs w:val="24"/>
          <w:vertAlign w:val="subscript"/>
          <w:lang w:val="en-US" w:eastAsia="zh-CN"/>
        </w:rPr>
        <w:t>（x，t）</w:t>
      </w:r>
      <w:r>
        <w:rPr>
          <w:rFonts w:hint="default" w:ascii="Times New Roman" w:hAnsi="Times New Roman" w:cs="Times New Roman"/>
          <w:szCs w:val="24"/>
        </w:rPr>
        <w:t>——t时刻x处的示踪剂浓度</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g/L</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3E3FD854">
      <w:pPr>
        <w:keepNext w:val="0"/>
        <w:keepLines w:val="0"/>
        <w:pageBreakBefore w:val="0"/>
        <w:widowControl w:val="0"/>
        <w:kinsoku/>
        <w:wordWrap/>
        <w:overflowPunct/>
        <w:topLinePunct w:val="0"/>
        <w:autoSpaceDE/>
        <w:autoSpaceDN/>
        <w:bidi w:val="0"/>
        <w:adjustRightInd/>
        <w:snapToGrid/>
        <w:spacing w:line="360" w:lineRule="auto"/>
        <w:ind w:left="720" w:leftChars="300" w:firstLine="480" w:firstLineChars="200"/>
        <w:jc w:val="left"/>
        <w:textAlignment w:val="auto"/>
        <w:rPr>
          <w:rFonts w:hint="default" w:ascii="Times New Roman" w:hAnsi="Times New Roman" w:cs="Times New Roman" w:eastAsiaTheme="minorEastAsia"/>
          <w:szCs w:val="24"/>
          <w:lang w:val="en-US" w:eastAsia="zh-CN"/>
        </w:rPr>
      </w:pPr>
      <w:r>
        <w:rPr>
          <w:rFonts w:hint="default" w:ascii="Times New Roman" w:hAnsi="Times New Roman" w:cs="Times New Roman"/>
          <w:szCs w:val="24"/>
          <w:lang w:val="en-US" w:eastAsia="zh-CN"/>
        </w:rPr>
        <w:t>m</w:t>
      </w:r>
      <w:r>
        <w:rPr>
          <w:rFonts w:hint="default" w:ascii="Times New Roman" w:hAnsi="Times New Roman" w:cs="Times New Roman"/>
          <w:szCs w:val="24"/>
        </w:rPr>
        <w:t>——注入的示踪剂质量</w:t>
      </w:r>
      <w:r>
        <w:rPr>
          <w:rFonts w:hint="eastAsia" w:ascii="Times New Roman" w:hAnsi="Times New Roman" w:cs="Times New Roman"/>
          <w:szCs w:val="24"/>
          <w:lang w:eastAsia="zh-CN"/>
        </w:rPr>
        <w:t>，</w:t>
      </w:r>
      <w:r>
        <w:rPr>
          <w:rFonts w:hint="eastAsia" w:ascii="Times New Roman" w:hAnsi="Times New Roman" w:cs="Times New Roman"/>
          <w:szCs w:val="24"/>
          <w:lang w:val="en-US" w:eastAsia="zh-CN"/>
        </w:rPr>
        <w:t>kg；</w:t>
      </w:r>
    </w:p>
    <w:p w14:paraId="4BCB099A">
      <w:pPr>
        <w:keepNext w:val="0"/>
        <w:keepLines w:val="0"/>
        <w:pageBreakBefore w:val="0"/>
        <w:widowControl w:val="0"/>
        <w:kinsoku/>
        <w:wordWrap/>
        <w:overflowPunct/>
        <w:topLinePunct w:val="0"/>
        <w:autoSpaceDE/>
        <w:autoSpaceDN/>
        <w:bidi w:val="0"/>
        <w:adjustRightInd/>
        <w:snapToGrid/>
        <w:spacing w:line="360" w:lineRule="auto"/>
        <w:ind w:left="720" w:leftChars="300" w:firstLine="480" w:firstLineChars="200"/>
        <w:jc w:val="left"/>
        <w:textAlignment w:val="auto"/>
        <w:rPr>
          <w:rFonts w:hint="default" w:ascii="Times New Roman" w:hAnsi="Times New Roman" w:cs="Times New Roman"/>
          <w:szCs w:val="24"/>
          <w:lang w:val="en-US" w:eastAsia="zh-CN"/>
        </w:rPr>
      </w:pPr>
      <w:r>
        <w:rPr>
          <w:rFonts w:hint="eastAsia" w:ascii="Times New Roman" w:hAnsi="Times New Roman" w:cs="Times New Roman"/>
          <w:szCs w:val="24"/>
          <w:lang w:val="en-US" w:eastAsia="zh-CN"/>
        </w:rPr>
        <w:t>W</w:t>
      </w:r>
      <w:r>
        <w:rPr>
          <w:rFonts w:hint="default" w:ascii="Times New Roman" w:hAnsi="Times New Roman" w:cs="Times New Roman"/>
          <w:szCs w:val="24"/>
        </w:rPr>
        <w:t>——</w:t>
      </w:r>
      <w:r>
        <w:rPr>
          <w:rFonts w:hint="eastAsia" w:ascii="Times New Roman" w:hAnsi="Times New Roman" w:cs="Times New Roman"/>
          <w:szCs w:val="24"/>
          <w:lang w:val="en-US" w:eastAsia="zh-CN"/>
        </w:rPr>
        <w:t>横截面面积，</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u w:val="none" w:color="auto"/>
          <w:vertAlign w:val="superscript"/>
          <w:lang w:val="en-US" w:eastAsia="zh-CN"/>
          <w14:textFill>
            <w14:solidFill>
              <w14:schemeClr w14:val="tx1"/>
            </w14:solidFill>
          </w14:textFill>
        </w:rPr>
        <w:t>2</w:t>
      </w:r>
      <w:r>
        <w:rPr>
          <w:rFonts w:hint="eastAsia" w:ascii="Times New Roman" w:hAnsi="Times New Roman" w:cs="Times New Roman"/>
          <w:szCs w:val="24"/>
          <w:lang w:val="en-US" w:eastAsia="zh-CN"/>
        </w:rPr>
        <w:t>；</w:t>
      </w:r>
    </w:p>
    <w:p w14:paraId="0FECC564">
      <w:pPr>
        <w:keepNext w:val="0"/>
        <w:keepLines w:val="0"/>
        <w:pageBreakBefore w:val="0"/>
        <w:widowControl w:val="0"/>
        <w:kinsoku/>
        <w:wordWrap/>
        <w:overflowPunct/>
        <w:topLinePunct w:val="0"/>
        <w:autoSpaceDE/>
        <w:autoSpaceDN/>
        <w:bidi w:val="0"/>
        <w:adjustRightInd/>
        <w:snapToGrid/>
        <w:spacing w:line="360" w:lineRule="auto"/>
        <w:ind w:left="720" w:leftChars="300" w:firstLine="480" w:firstLineChars="200"/>
        <w:jc w:val="left"/>
        <w:textAlignment w:val="auto"/>
        <w:rPr>
          <w:rFonts w:hint="default" w:ascii="Times New Roman" w:hAnsi="Times New Roman" w:cs="Times New Roman"/>
          <w:szCs w:val="24"/>
        </w:rPr>
      </w:pPr>
      <w:r>
        <w:rPr>
          <w:rFonts w:hint="default" w:ascii="Times New Roman" w:hAnsi="Times New Roman" w:cs="Times New Roman"/>
          <w:szCs w:val="24"/>
          <w:lang w:val="en-US" w:eastAsia="zh-CN"/>
        </w:rPr>
        <w:t>u</w:t>
      </w:r>
      <w:r>
        <w:rPr>
          <w:rFonts w:hint="default" w:ascii="Times New Roman" w:hAnsi="Times New Roman" w:cs="Times New Roman"/>
          <w:szCs w:val="24"/>
        </w:rPr>
        <w:t>——水流速度</w:t>
      </w:r>
      <w:r>
        <w:rPr>
          <w:rFonts w:hint="eastAsia" w:ascii="Times New Roman" w:hAnsi="Times New Roman" w:cs="Times New Roman"/>
          <w:szCs w:val="24"/>
          <w:lang w:eastAsia="zh-CN"/>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m/d</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77A8F1E8">
      <w:pPr>
        <w:keepNext w:val="0"/>
        <w:keepLines w:val="0"/>
        <w:pageBreakBefore w:val="0"/>
        <w:widowControl w:val="0"/>
        <w:kinsoku/>
        <w:wordWrap/>
        <w:overflowPunct/>
        <w:topLinePunct w:val="0"/>
        <w:autoSpaceDE/>
        <w:autoSpaceDN/>
        <w:bidi w:val="0"/>
        <w:adjustRightInd/>
        <w:snapToGrid/>
        <w:spacing w:line="360" w:lineRule="auto"/>
        <w:ind w:left="720" w:leftChars="300" w:firstLine="480" w:firstLineChars="200"/>
        <w:jc w:val="left"/>
        <w:textAlignment w:val="auto"/>
        <w:rPr>
          <w:rFonts w:hint="default" w:ascii="Times New Roman" w:hAnsi="Times New Roman" w:cs="Times New Roman" w:eastAsiaTheme="minorEastAsia"/>
          <w:szCs w:val="24"/>
          <w:lang w:val="en-US" w:eastAsia="zh-CN"/>
        </w:rPr>
      </w:pPr>
      <w:r>
        <w:rPr>
          <w:rFonts w:hint="default" w:ascii="Times New Roman" w:hAnsi="Times New Roman" w:cs="Times New Roman"/>
          <w:szCs w:val="24"/>
          <w:lang w:val="en-US" w:eastAsia="zh-CN"/>
        </w:rPr>
        <w:t>n</w:t>
      </w:r>
      <w:r>
        <w:rPr>
          <w:rFonts w:hint="default" w:ascii="Times New Roman" w:hAnsi="Times New Roman" w:cs="Times New Roman"/>
          <w:szCs w:val="24"/>
          <w:vertAlign w:val="subscript"/>
          <w:lang w:val="en-US" w:eastAsia="zh-CN"/>
        </w:rPr>
        <w:t>e</w:t>
      </w:r>
      <w:r>
        <w:rPr>
          <w:rFonts w:hint="default" w:ascii="Times New Roman" w:hAnsi="Times New Roman" w:cs="Times New Roman"/>
          <w:szCs w:val="24"/>
        </w:rPr>
        <w:t>——有效孔隙度</w:t>
      </w:r>
      <w:r>
        <w:rPr>
          <w:rFonts w:hint="eastAsia" w:ascii="Times New Roman" w:hAnsi="Times New Roman" w:cs="Times New Roman"/>
          <w:szCs w:val="24"/>
          <w:lang w:eastAsia="zh-CN"/>
        </w:rPr>
        <w:t>，</w:t>
      </w:r>
      <w:r>
        <w:rPr>
          <w:rFonts w:hint="eastAsia" w:ascii="Times New Roman" w:hAnsi="Times New Roman" w:cs="Times New Roman"/>
          <w:szCs w:val="24"/>
          <w:lang w:val="en-US" w:eastAsia="zh-CN"/>
        </w:rPr>
        <w:t>量纲为1；</w:t>
      </w:r>
    </w:p>
    <w:p w14:paraId="7B361A03">
      <w:pPr>
        <w:keepNext w:val="0"/>
        <w:keepLines w:val="0"/>
        <w:pageBreakBefore w:val="0"/>
        <w:widowControl w:val="0"/>
        <w:kinsoku/>
        <w:wordWrap/>
        <w:overflowPunct/>
        <w:topLinePunct w:val="0"/>
        <w:autoSpaceDE/>
        <w:autoSpaceDN/>
        <w:bidi w:val="0"/>
        <w:adjustRightInd/>
        <w:snapToGrid/>
        <w:spacing w:line="360" w:lineRule="auto"/>
        <w:ind w:left="720" w:leftChars="300" w:firstLine="480" w:firstLineChars="200"/>
        <w:jc w:val="left"/>
        <w:textAlignment w:val="auto"/>
        <w:rPr>
          <w:rFonts w:hint="eastAsia" w:ascii="Times New Roman" w:hAnsi="Times New Roman" w:cs="Times New Roman" w:eastAsiaTheme="minorEastAsia"/>
          <w:szCs w:val="24"/>
          <w:lang w:eastAsia="zh-CN"/>
        </w:rPr>
      </w:pPr>
      <w:r>
        <w:rPr>
          <w:rFonts w:hint="default" w:ascii="Times New Roman" w:hAnsi="Times New Roman" w:cs="Times New Roman"/>
          <w:szCs w:val="24"/>
          <w:lang w:val="en-US" w:eastAsia="zh-CN"/>
        </w:rPr>
        <w:t>D</w:t>
      </w:r>
      <w:r>
        <w:rPr>
          <w:rFonts w:hint="default" w:ascii="Times New Roman" w:hAnsi="Times New Roman" w:cs="Times New Roman"/>
          <w:szCs w:val="24"/>
          <w:vertAlign w:val="subscript"/>
          <w:lang w:val="en-US" w:eastAsia="zh-CN"/>
        </w:rPr>
        <w:t>L</w:t>
      </w:r>
      <w:r>
        <w:rPr>
          <w:rFonts w:hint="default" w:ascii="Times New Roman" w:hAnsi="Times New Roman" w:cs="Times New Roman"/>
          <w:szCs w:val="24"/>
        </w:rPr>
        <w:t>——纵向弥散系数</w:t>
      </w:r>
      <w:r>
        <w:rPr>
          <w:rFonts w:hint="eastAsia" w:ascii="Times New Roman" w:hAnsi="Times New Roman" w:cs="Times New Roman"/>
          <w:szCs w:val="24"/>
          <w:lang w:eastAsia="zh-CN"/>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u w:val="none" w:color="auto"/>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/d</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4F9C16E4">
      <w:pPr>
        <w:keepNext w:val="0"/>
        <w:keepLines w:val="0"/>
        <w:pageBreakBefore w:val="0"/>
        <w:widowControl w:val="0"/>
        <w:kinsoku/>
        <w:wordWrap/>
        <w:overflowPunct/>
        <w:topLinePunct w:val="0"/>
        <w:autoSpaceDE/>
        <w:autoSpaceDN/>
        <w:bidi w:val="0"/>
        <w:adjustRightInd/>
        <w:snapToGrid/>
        <w:spacing w:line="360" w:lineRule="auto"/>
        <w:ind w:left="720" w:leftChars="300" w:firstLine="480" w:firstLineChars="200"/>
        <w:jc w:val="left"/>
        <w:textAlignment w:val="auto"/>
        <w:rPr>
          <w:rFonts w:hint="eastAsia" w:ascii="Times New Roman" w:hAnsi="Times New Roman" w:cs="Times New Roman" w:eastAsiaTheme="minorEastAsia"/>
          <w:szCs w:val="24"/>
          <w:lang w:eastAsia="zh-CN"/>
        </w:rPr>
      </w:pPr>
      <w:r>
        <w:rPr>
          <w:rFonts w:hint="default" w:ascii="Times New Roman" w:hAnsi="Times New Roman" w:cs="Times New Roman"/>
          <w:szCs w:val="24"/>
          <w:lang w:val="en-US" w:eastAsia="zh-CN"/>
        </w:rPr>
        <w:t>π</w:t>
      </w:r>
      <w:r>
        <w:rPr>
          <w:rFonts w:hint="default" w:ascii="Times New Roman" w:hAnsi="Times New Roman" w:cs="Times New Roman"/>
          <w:szCs w:val="24"/>
        </w:rPr>
        <w:t>——圆周率</w:t>
      </w:r>
      <w:r>
        <w:rPr>
          <w:rFonts w:hint="eastAsia" w:ascii="Times New Roman" w:hAnsi="Times New Roman" w:cs="Times New Roman"/>
          <w:szCs w:val="24"/>
          <w:lang w:eastAsia="zh-CN"/>
        </w:rPr>
        <w:t>。</w:t>
      </w:r>
    </w:p>
    <w:p w14:paraId="678F6BB3">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模型参数的获取</w:t>
      </w:r>
    </w:p>
    <w:p w14:paraId="43DBA13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模型需要的参数有：</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泄漏面积W；</w:t>
      </w:r>
      <w:r>
        <w:rPr>
          <w:rFonts w:hint="default" w:ascii="Times New Roman" w:hAnsi="Times New Roman" w:eastAsia="宋体" w:cs="Times New Roman"/>
          <w:color w:val="000000" w:themeColor="text1"/>
          <w:u w:val="none" w:color="auto"/>
          <w14:textFill>
            <w14:solidFill>
              <w14:schemeClr w14:val="tx1"/>
            </w14:solidFill>
          </w14:textFill>
        </w:rPr>
        <w:t>外泄污染物质量m；土层的有效孔隙度n</w:t>
      </w:r>
      <w:r>
        <w:rPr>
          <w:rFonts w:hint="default" w:ascii="Times New Roman" w:hAnsi="Times New Roman" w:eastAsia="宋体" w:cs="Times New Roman"/>
          <w:color w:val="000000" w:themeColor="text1"/>
          <w:u w:val="none" w:color="auto"/>
          <w:vertAlign w:val="subscript"/>
          <w14:textFill>
            <w14:solidFill>
              <w14:schemeClr w14:val="tx1"/>
            </w14:solidFill>
          </w14:textFill>
        </w:rPr>
        <w:t>e</w:t>
      </w:r>
      <w:r>
        <w:rPr>
          <w:rFonts w:hint="default" w:ascii="Times New Roman" w:hAnsi="Times New Roman" w:eastAsia="宋体" w:cs="Times New Roman"/>
          <w:color w:val="000000" w:themeColor="text1"/>
          <w:u w:val="none" w:color="auto"/>
          <w14:textFill>
            <w14:solidFill>
              <w14:schemeClr w14:val="tx1"/>
            </w14:solidFill>
          </w14:textFill>
        </w:rPr>
        <w:t>；水流的实际平均速度u；污染物在土层中的纵向弥散系数。这些参数主要由现场调查、水文地质试验或类比相同土层的成果资料确定。</w:t>
      </w:r>
    </w:p>
    <w:p w14:paraId="5896A86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泄漏面积W</w:t>
      </w:r>
    </w:p>
    <w:p w14:paraId="026B8148">
      <w:pPr>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假设隔油池底部基础局部破损产生裂痕，导致废水渗漏并通过包气带进入含水层，渗漏废水将以面源向下渗透。将可能发生渗漏的面积定为废水暂存池底部面积的10%，隔油池尺寸为4 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，泄漏面积取0.4 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w:t>
      </w:r>
    </w:p>
    <w:p w14:paraId="0DF3C29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）外泄污染物质量m</w:t>
      </w:r>
    </w:p>
    <w:p w14:paraId="714B5024">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b w:val="0"/>
          <w:bCs w:val="0"/>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u w:val="none" w:color="auto"/>
          <w14:textFill>
            <w14:solidFill>
              <w14:schemeClr w14:val="tx1"/>
            </w14:solidFill>
          </w14:textFill>
        </w:rPr>
        <w:t>根据工程分析，</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污水处理</w:t>
      </w:r>
      <w:r>
        <w:rPr>
          <w:rFonts w:hint="eastAsia" w:ascii="Times New Roman" w:hAnsi="Times New Roman" w:eastAsia="宋体" w:cs="Times New Roman"/>
          <w:b w:val="0"/>
          <w:bCs w:val="0"/>
          <w:color w:val="000000" w:themeColor="text1"/>
          <w:u w:val="none" w:color="auto"/>
          <w:lang w:val="en-US" w:eastAsia="zh-CN"/>
          <w14:textFill>
            <w14:solidFill>
              <w14:schemeClr w14:val="tx1"/>
            </w14:solidFill>
          </w14:textFill>
        </w:rPr>
        <w:t>设施</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进水</w:t>
      </w:r>
      <w:r>
        <w:rPr>
          <w:rFonts w:hint="default" w:ascii="Times New Roman" w:hAnsi="Times New Roman" w:eastAsia="宋体" w:cs="Times New Roman"/>
          <w:b w:val="0"/>
          <w:bCs w:val="0"/>
          <w:color w:val="000000" w:themeColor="text1"/>
          <w:u w:val="none" w:color="auto"/>
          <w14:textFill>
            <w14:solidFill>
              <w14:schemeClr w14:val="tx1"/>
            </w14:solidFill>
          </w14:textFill>
        </w:rPr>
        <w:t>COD</w:t>
      </w:r>
      <w:r>
        <w:rPr>
          <w:rFonts w:hint="eastAsia" w:ascii="Times New Roman" w:hAnsi="Times New Roman" w:eastAsia="宋体" w:cs="Times New Roman"/>
          <w:b w:val="0"/>
          <w:bCs w:val="0"/>
          <w:color w:val="000000" w:themeColor="text1"/>
          <w:u w:val="none" w:color="auto"/>
          <w:vertAlign w:val="subscript"/>
          <w:lang w:val="en-US" w:eastAsia="zh-CN"/>
          <w14:textFill>
            <w14:solidFill>
              <w14:schemeClr w14:val="tx1"/>
            </w14:solidFill>
          </w14:textFill>
        </w:rPr>
        <w:t>Cr</w:t>
      </w:r>
      <w:r>
        <w:rPr>
          <w:rFonts w:hint="default" w:ascii="Times New Roman" w:hAnsi="Times New Roman" w:eastAsia="宋体" w:cs="Times New Roman"/>
          <w:b w:val="0"/>
          <w:bCs w:val="0"/>
          <w:color w:val="000000" w:themeColor="text1"/>
          <w:u w:val="none" w:color="auto"/>
          <w14:textFill>
            <w14:solidFill>
              <w14:schemeClr w14:val="tx1"/>
            </w14:solidFill>
          </w14:textFill>
        </w:rPr>
        <w:t>浓度为</w:t>
      </w:r>
      <w:r>
        <w:rPr>
          <w:rFonts w:hint="eastAsia" w:ascii="Times New Roman" w:hAnsi="Times New Roman" w:eastAsia="宋体" w:cs="Times New Roman"/>
          <w:b w:val="0"/>
          <w:bCs w:val="0"/>
          <w:color w:val="000000" w:themeColor="text1"/>
          <w:u w:val="none" w:color="auto"/>
          <w:lang w:val="en-US" w:eastAsia="zh-CN"/>
          <w14:textFill>
            <w14:solidFill>
              <w14:schemeClr w14:val="tx1"/>
            </w14:solidFill>
          </w14:textFill>
        </w:rPr>
        <w:t>2710</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b w:val="0"/>
          <w:bCs w:val="0"/>
          <w:color w:val="000000" w:themeColor="text1"/>
          <w:u w:val="none" w:color="auto"/>
          <w14:textFill>
            <w14:solidFill>
              <w14:schemeClr w14:val="tx1"/>
            </w14:solidFill>
          </w14:textFill>
        </w:rPr>
        <w:t>mg/L，</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根据经验系数高锰酸盐指数约为</w:t>
      </w:r>
      <w:r>
        <w:rPr>
          <w:rFonts w:hint="default" w:ascii="Times New Roman" w:hAnsi="Times New Roman" w:eastAsia="宋体" w:cs="Times New Roman"/>
          <w:b w:val="0"/>
          <w:bCs w:val="0"/>
          <w:color w:val="000000" w:themeColor="text1"/>
          <w:u w:val="none" w:color="auto"/>
          <w14:textFill>
            <w14:solidFill>
              <w14:schemeClr w14:val="tx1"/>
            </w14:solidFill>
          </w14:textFill>
        </w:rPr>
        <w:t>COD</w:t>
      </w:r>
      <w:r>
        <w:rPr>
          <w:rFonts w:hint="eastAsia" w:ascii="Times New Roman" w:hAnsi="Times New Roman" w:eastAsia="宋体" w:cs="Times New Roman"/>
          <w:b w:val="0"/>
          <w:bCs w:val="0"/>
          <w:color w:val="000000" w:themeColor="text1"/>
          <w:u w:val="none" w:color="auto"/>
          <w:vertAlign w:val="subscript"/>
          <w:lang w:val="en-US" w:eastAsia="zh-CN"/>
          <w14:textFill>
            <w14:solidFill>
              <w14:schemeClr w14:val="tx1"/>
            </w14:solidFill>
          </w14:textFill>
        </w:rPr>
        <w:t>Cr</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的0.625倍，折算为COD</w:t>
      </w:r>
      <w:r>
        <w:rPr>
          <w:rFonts w:hint="default" w:ascii="Times New Roman" w:hAnsi="Times New Roman" w:eastAsia="宋体" w:cs="Times New Roman"/>
          <w:b w:val="0"/>
          <w:bCs w:val="0"/>
          <w:color w:val="000000" w:themeColor="text1"/>
          <w:u w:val="none" w:color="auto"/>
          <w:vertAlign w:val="subscript"/>
          <w:lang w:val="en-US" w:eastAsia="zh-CN"/>
          <w14:textFill>
            <w14:solidFill>
              <w14:schemeClr w14:val="tx1"/>
            </w14:solidFill>
          </w14:textFill>
        </w:rPr>
        <w:t>M</w:t>
      </w:r>
      <w:r>
        <w:rPr>
          <w:rFonts w:hint="eastAsia" w:ascii="Times New Roman" w:hAnsi="Times New Roman" w:eastAsia="宋体" w:cs="Times New Roman"/>
          <w:b w:val="0"/>
          <w:bCs w:val="0"/>
          <w:color w:val="000000" w:themeColor="text1"/>
          <w:u w:val="none" w:color="auto"/>
          <w:vertAlign w:val="subscript"/>
          <w:lang w:val="en-US" w:eastAsia="zh-CN"/>
          <w14:textFill>
            <w14:solidFill>
              <w14:schemeClr w14:val="tx1"/>
            </w14:solidFill>
          </w14:textFill>
        </w:rPr>
        <w:t>n</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浓度为</w:t>
      </w:r>
      <w:r>
        <w:rPr>
          <w:rFonts w:hint="eastAsia" w:ascii="Times New Roman" w:hAnsi="Times New Roman" w:eastAsia="宋体" w:cs="Times New Roman"/>
          <w:b w:val="0"/>
          <w:bCs w:val="0"/>
          <w:color w:val="000000" w:themeColor="text1"/>
          <w:u w:val="none" w:color="auto"/>
          <w:lang w:val="en-US" w:eastAsia="zh-CN"/>
          <w14:textFill>
            <w14:solidFill>
              <w14:schemeClr w14:val="tx1"/>
            </w14:solidFill>
          </w14:textFill>
        </w:rPr>
        <w:t xml:space="preserve">1694 </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mg/L</w:t>
      </w:r>
      <w:r>
        <w:rPr>
          <w:rFonts w:hint="eastAsia" w:ascii="Times New Roman" w:hAnsi="Times New Roman" w:eastAsia="宋体" w:cs="Times New Roman"/>
          <w:b w:val="0"/>
          <w:bCs w:val="0"/>
          <w:color w:val="000000" w:themeColor="text1"/>
          <w:u w:val="none" w:color="auto"/>
          <w:lang w:val="en-US" w:eastAsia="zh-CN"/>
          <w14:textFill>
            <w14:solidFill>
              <w14:schemeClr w14:val="tx1"/>
            </w14:solidFill>
          </w14:textFill>
        </w:rPr>
        <w:t>。</w:t>
      </w:r>
    </w:p>
    <w:p w14:paraId="50F6E9EA">
      <w:pPr>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按照Q=</w:t>
      </w:r>
      <w:r>
        <w:rPr>
          <w:rFonts w:hint="eastAsia" w:ascii="Times New Roman" w:hAnsi="Times New Roman" w:eastAsia="宋体" w:cs="Times New Roman"/>
          <w:color w:val="000000" w:themeColor="text1"/>
          <w:lang w:val="en-US" w:eastAsia="zh-CN"/>
          <w14:textFill>
            <w14:solidFill>
              <w14:schemeClr w14:val="tx1"/>
            </w14:solidFill>
          </w14:textFill>
        </w:rPr>
        <w:t>W</w:t>
      </w:r>
      <w:r>
        <w:rPr>
          <w:rFonts w:ascii="Times New Roman" w:hAnsi="Times New Roman" w:eastAsia="宋体" w:cs="Times New Roman"/>
          <w:color w:val="000000" w:themeColor="text1"/>
          <w14:textFill>
            <w14:solidFill>
              <w14:schemeClr w14:val="tx1"/>
            </w14:solidFill>
          </w14:textFill>
        </w:rPr>
        <w:t>×K×T（其中</w:t>
      </w:r>
      <w:r>
        <w:rPr>
          <w:rFonts w:hint="eastAsia" w:ascii="Times New Roman" w:hAnsi="Times New Roman" w:eastAsia="宋体" w:cs="Times New Roman"/>
          <w:color w:val="000000" w:themeColor="text1"/>
          <w:lang w:val="en-US" w:eastAsia="zh-CN"/>
          <w14:textFill>
            <w14:solidFill>
              <w14:schemeClr w14:val="tx1"/>
            </w14:solidFill>
          </w14:textFill>
        </w:rPr>
        <w:t>W</w:t>
      </w:r>
      <w:r>
        <w:rPr>
          <w:rFonts w:ascii="Times New Roman" w:hAnsi="Times New Roman" w:eastAsia="宋体" w:cs="Times New Roman"/>
          <w:color w:val="000000" w:themeColor="text1"/>
          <w14:textFill>
            <w14:solidFill>
              <w14:schemeClr w14:val="tx1"/>
            </w14:solidFill>
          </w14:textFill>
        </w:rPr>
        <w:t>：渗漏面积m</w:t>
      </w:r>
      <w:r>
        <w:rPr>
          <w:rFonts w:ascii="Times New Roman" w:hAnsi="Times New Roman" w:eastAsia="宋体" w:cs="Times New Roman"/>
          <w:color w:val="000000" w:themeColor="text1"/>
          <w:vertAlign w:val="superscript"/>
          <w14:textFill>
            <w14:solidFill>
              <w14:schemeClr w14:val="tx1"/>
            </w14:solidFill>
          </w14:textFill>
        </w:rPr>
        <w:t>2</w:t>
      </w:r>
      <w:r>
        <w:rPr>
          <w:rFonts w:ascii="Times New Roman" w:hAnsi="Times New Roman" w:eastAsia="宋体" w:cs="Times New Roman"/>
          <w:color w:val="000000" w:themeColor="text1"/>
          <w14:textFill>
            <w14:solidFill>
              <w14:schemeClr w14:val="tx1"/>
            </w14:solidFill>
          </w14:textFill>
        </w:rPr>
        <w:t>；K：包气带垂向渗透系数，m/d；T：时间，d），在防渗系统破裂的情况下，污染物在包气带中以0.2 m/d的速度下渗；设事故发生10天后排查发现并立即采取相应措施进行处理，由此计算得渗漏量为0.8 m</w:t>
      </w:r>
      <w:r>
        <w:rPr>
          <w:rFonts w:ascii="Times New Roman" w:hAnsi="Times New Roman" w:eastAsia="宋体" w:cs="Times New Roman"/>
          <w:color w:val="000000" w:themeColor="text1"/>
          <w:vertAlign w:val="superscript"/>
          <w14:textFill>
            <w14:solidFill>
              <w14:schemeClr w14:val="tx1"/>
            </w14:solidFill>
          </w14:textFill>
        </w:rPr>
        <w:t>3</w:t>
      </w:r>
      <w:r>
        <w:rPr>
          <w:rFonts w:ascii="Times New Roman" w:hAnsi="Times New Roman" w:eastAsia="宋体" w:cs="Times New Roman"/>
          <w:color w:val="000000" w:themeColor="text1"/>
          <w14:textFill>
            <w14:solidFill>
              <w14:schemeClr w14:val="tx1"/>
            </w14:solidFill>
          </w14:textFill>
        </w:rPr>
        <w:t>。则COD</w:t>
      </w:r>
      <w:r>
        <w:rPr>
          <w:rFonts w:hint="default" w:ascii="Times New Roman" w:hAnsi="Times New Roman" w:eastAsia="宋体" w:cs="Times New Roman"/>
          <w:b w:val="0"/>
          <w:bCs w:val="0"/>
          <w:color w:val="000000" w:themeColor="text1"/>
          <w:u w:val="none" w:color="auto"/>
          <w:vertAlign w:val="subscript"/>
          <w:lang w:val="en-US" w:eastAsia="zh-CN"/>
          <w14:textFill>
            <w14:solidFill>
              <w14:schemeClr w14:val="tx1"/>
            </w14:solidFill>
          </w14:textFill>
        </w:rPr>
        <w:t>M</w:t>
      </w:r>
      <w:r>
        <w:rPr>
          <w:rFonts w:hint="eastAsia" w:ascii="Times New Roman" w:hAnsi="Times New Roman" w:eastAsia="宋体" w:cs="Times New Roman"/>
          <w:b w:val="0"/>
          <w:bCs w:val="0"/>
          <w:color w:val="000000" w:themeColor="text1"/>
          <w:u w:val="none" w:color="auto"/>
          <w:vertAlign w:val="subscript"/>
          <w:lang w:val="en-US" w:eastAsia="zh-CN"/>
          <w14:textFill>
            <w14:solidFill>
              <w14:schemeClr w14:val="tx1"/>
            </w14:solidFill>
          </w14:textFill>
        </w:rPr>
        <w:t>n</w:t>
      </w:r>
      <w:r>
        <w:rPr>
          <w:rFonts w:ascii="Times New Roman" w:hAnsi="Times New Roman" w:eastAsia="宋体" w:cs="Times New Roman"/>
          <w:color w:val="000000" w:themeColor="text1"/>
          <w14:textFill>
            <w14:solidFill>
              <w14:schemeClr w14:val="tx1"/>
            </w14:solidFill>
          </w14:textFill>
        </w:rPr>
        <w:t>渗漏量为</w:t>
      </w:r>
      <w:r>
        <w:rPr>
          <w:rFonts w:hint="eastAsia" w:ascii="Times New Roman" w:hAnsi="Times New Roman" w:eastAsia="宋体" w:cs="Times New Roman"/>
          <w:color w:val="000000" w:themeColor="text1"/>
          <w:lang w:val="en-US" w:eastAsia="zh-CN"/>
          <w14:textFill>
            <w14:solidFill>
              <w14:schemeClr w14:val="tx1"/>
            </w14:solidFill>
          </w14:textFill>
        </w:rPr>
        <w:t>1.355</w:t>
      </w:r>
      <w:r>
        <w:rPr>
          <w:rFonts w:ascii="Times New Roman" w:hAnsi="Times New Roman" w:eastAsia="宋体" w:cs="Times New Roman"/>
          <w:color w:val="000000" w:themeColor="text1"/>
          <w14:textFill>
            <w14:solidFill>
              <w14:schemeClr w14:val="tx1"/>
            </w14:solidFill>
          </w14:textFill>
        </w:rPr>
        <w:t xml:space="preserve"> kg。</w:t>
      </w:r>
    </w:p>
    <w:p w14:paraId="3E2D600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）地下水平均流速</w:t>
      </w:r>
    </w:p>
    <w:p w14:paraId="6DC93B1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项目场地及周边潜水含水层以素填土为主，按照现场渗水试验可知厂区附近平均水力坡度I为0.15，因此场区内第四系潜水含水层地下水实际流速</w:t>
      </w:r>
    </w:p>
    <w:p w14:paraId="5BECBFB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m:oMathPara>
        <m:oMath>
          <m:r>
            <m:rPr>
              <m:nor/>
              <m:sty m:val="p"/>
            </m:rPr>
            <w:rPr>
              <w:rFonts w:hint="default" w:ascii="Times New Roman" w:hAnsi="Times New Roman" w:eastAsia="宋体" w:cs="Times New Roman"/>
              <w:b w:val="0"/>
              <w:i w:val="0"/>
              <w:color w:val="000000" w:themeColor="text1"/>
              <w:u w:val="none" w:color="auto"/>
              <w14:textFill>
                <w14:solidFill>
                  <w14:schemeClr w14:val="tx1"/>
                </w14:solidFill>
              </w14:textFill>
            </w:rPr>
            <m:t>u=</m:t>
          </m:r>
          <m:f>
            <m:fPr>
              <m:ctrlPr>
                <w:rPr>
                  <w:rFonts w:hint="default" w:ascii="Cambria Math" w:hAnsi="Cambria Math" w:eastAsia="宋体" w:cs="Times New Roman"/>
                  <w:color w:val="000000" w:themeColor="text1"/>
                  <w:u w:val="none" w:color="auto"/>
                  <w14:textFill>
                    <w14:solidFill>
                      <w14:schemeClr w14:val="tx1"/>
                    </w14:solidFill>
                  </w14:textFill>
                </w:rPr>
              </m:ctrlPr>
            </m:fPr>
            <m:num>
              <m:r>
                <m:rPr>
                  <m:nor/>
                </m:rPr>
                <w:rPr>
                  <w:rFonts w:hint="default" w:ascii="Times New Roman" w:hAnsi="Times New Roman" w:eastAsia="宋体" w:cs="Times New Roman"/>
                  <w:i/>
                  <w:color w:val="000000" w:themeColor="text1"/>
                  <w:u w:val="none" w:color="auto"/>
                  <w14:textFill>
                    <w14:solidFill>
                      <w14:schemeClr w14:val="tx1"/>
                    </w14:solidFill>
                  </w14:textFill>
                </w:rPr>
                <m:t>KI</m:t>
              </m:r>
              <m:ctrlPr>
                <w:rPr>
                  <w:rFonts w:hint="default" w:ascii="Cambria Math" w:hAnsi="Cambria Math" w:eastAsia="宋体" w:cs="Times New Roman"/>
                  <w:color w:val="000000" w:themeColor="text1"/>
                  <w:u w:val="none" w:color="auto"/>
                  <w14:textFill>
                    <w14:solidFill>
                      <w14:schemeClr w14:val="tx1"/>
                    </w14:solidFill>
                  </w14:textFill>
                </w:rPr>
              </m:ctrlPr>
            </m:num>
            <m:den>
              <m:sSub>
                <m:sSubPr>
                  <m:ctrlPr>
                    <w:rPr>
                      <w:rFonts w:hint="default" w:ascii="Cambria Math" w:hAnsi="Cambria Math" w:eastAsia="宋体" w:cs="Times New Roman"/>
                      <w:i/>
                      <w:color w:val="000000" w:themeColor="text1"/>
                      <w:u w:val="none" w:color="auto"/>
                      <w14:textFill>
                        <w14:solidFill>
                          <w14:schemeClr w14:val="tx1"/>
                        </w14:solidFill>
                      </w14:textFill>
                    </w:rPr>
                  </m:ctrlPr>
                </m:sSubPr>
                <m:e>
                  <m:r>
                    <m:rPr>
                      <m:nor/>
                    </m:rPr>
                    <w:rPr>
                      <w:rFonts w:hint="default" w:ascii="Times New Roman" w:hAnsi="Times New Roman" w:eastAsia="宋体" w:cs="Times New Roman"/>
                      <w:i/>
                      <w:color w:val="000000" w:themeColor="text1"/>
                      <w:u w:val="none" w:color="auto"/>
                      <w14:textFill>
                        <w14:solidFill>
                          <w14:schemeClr w14:val="tx1"/>
                        </w14:solidFill>
                      </w14:textFill>
                    </w:rPr>
                    <m:t>n</m:t>
                  </m:r>
                  <m:ctrlPr>
                    <w:rPr>
                      <w:rFonts w:hint="default" w:ascii="Cambria Math" w:hAnsi="Cambria Math" w:eastAsia="宋体" w:cs="Times New Roman"/>
                      <w:i/>
                      <w:color w:val="000000" w:themeColor="text1"/>
                      <w:u w:val="none" w:color="auto"/>
                      <w14:textFill>
                        <w14:solidFill>
                          <w14:schemeClr w14:val="tx1"/>
                        </w14:solidFill>
                      </w14:textFill>
                    </w:rPr>
                  </m:ctrlPr>
                </m:e>
                <m:sub>
                  <m:r>
                    <m:rPr>
                      <m:nor/>
                    </m:rPr>
                    <w:rPr>
                      <w:rFonts w:hint="default" w:ascii="Times New Roman" w:hAnsi="Times New Roman" w:eastAsia="宋体" w:cs="Times New Roman"/>
                      <w:i/>
                      <w:color w:val="000000" w:themeColor="text1"/>
                      <w:u w:val="none" w:color="auto"/>
                      <w14:textFill>
                        <w14:solidFill>
                          <w14:schemeClr w14:val="tx1"/>
                        </w14:solidFill>
                      </w14:textFill>
                    </w:rPr>
                    <m:t>e</m:t>
                  </m:r>
                  <m:ctrlPr>
                    <w:rPr>
                      <w:rFonts w:hint="default" w:ascii="Cambria Math" w:hAnsi="Cambria Math" w:eastAsia="宋体" w:cs="Times New Roman"/>
                      <w:i/>
                      <w:color w:val="000000" w:themeColor="text1"/>
                      <w:u w:val="none" w:color="auto"/>
                      <w14:textFill>
                        <w14:solidFill>
                          <w14:schemeClr w14:val="tx1"/>
                        </w14:solidFill>
                      </w14:textFill>
                    </w:rPr>
                  </m:ctrlPr>
                </m:sub>
              </m:sSub>
              <m:ctrlPr>
                <w:rPr>
                  <w:rFonts w:hint="default" w:ascii="Cambria Math" w:hAnsi="Cambria Math" w:eastAsia="宋体" w:cs="Times New Roman"/>
                  <w:color w:val="000000" w:themeColor="text1"/>
                  <w:u w:val="none" w:color="auto"/>
                  <w14:textFill>
                    <w14:solidFill>
                      <w14:schemeClr w14:val="tx1"/>
                    </w14:solidFill>
                  </w14:textFill>
                </w:rPr>
              </m:ctrlPr>
            </m:den>
          </m:f>
        </m:oMath>
      </m:oMathPara>
    </w:p>
    <w:p w14:paraId="2482B72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则u=0.43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m/d×0.15/0.3=</w:t>
      </w:r>
      <w:r>
        <w:rPr>
          <w:rFonts w:hint="default" w:ascii="Times New Roman" w:hAnsi="Times New Roman" w:eastAsia="宋体" w:cs="Times New Roman"/>
          <w:b w:val="0"/>
          <w:bCs w:val="0"/>
          <w:color w:val="000000" w:themeColor="text1"/>
          <w:u w:val="none" w:color="auto"/>
          <w14:textFill>
            <w14:solidFill>
              <w14:schemeClr w14:val="tx1"/>
            </w14:solidFill>
          </w14:textFill>
        </w:rPr>
        <w:t>0.215</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b w:val="0"/>
          <w:bCs w:val="0"/>
          <w:color w:val="000000" w:themeColor="text1"/>
          <w:u w:val="none" w:color="auto"/>
          <w14:textFill>
            <w14:solidFill>
              <w14:schemeClr w14:val="tx1"/>
            </w14:solidFill>
          </w14:textFill>
        </w:rPr>
        <w:t>m/d</w:t>
      </w:r>
      <w:r>
        <w:rPr>
          <w:rFonts w:hint="default" w:ascii="Times New Roman" w:hAnsi="Times New Roman" w:eastAsia="宋体" w:cs="Times New Roman"/>
          <w:color w:val="000000" w:themeColor="text1"/>
          <w:u w:val="none" w:color="auto"/>
          <w14:textFill>
            <w14:solidFill>
              <w14:schemeClr w14:val="tx1"/>
            </w14:solidFill>
          </w14:textFill>
        </w:rPr>
        <w:t>。</w:t>
      </w:r>
    </w:p>
    <w:p w14:paraId="20F4266D">
      <w:pPr>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4</w:t>
      </w:r>
      <w:r>
        <w:rPr>
          <w:rFonts w:ascii="Times New Roman" w:hAnsi="Times New Roman" w:eastAsia="宋体" w:cs="Times New Roman"/>
          <w:color w:val="000000" w:themeColor="text1"/>
          <w14:textFill>
            <w14:solidFill>
              <w14:schemeClr w14:val="tx1"/>
            </w14:solidFill>
          </w14:textFill>
        </w:rPr>
        <w:t>）土层的有效孔隙度n</w:t>
      </w:r>
      <w:r>
        <w:rPr>
          <w:rFonts w:ascii="Times New Roman" w:hAnsi="Times New Roman" w:eastAsia="宋体" w:cs="Times New Roman"/>
          <w:color w:val="000000" w:themeColor="text1"/>
          <w:vertAlign w:val="subscript"/>
          <w14:textFill>
            <w14:solidFill>
              <w14:schemeClr w14:val="tx1"/>
            </w14:solidFill>
          </w14:textFill>
        </w:rPr>
        <w:t>e</w:t>
      </w:r>
    </w:p>
    <w:p w14:paraId="5172DA4B">
      <w:pPr>
        <w:spacing w:line="360" w:lineRule="auto"/>
        <w:ind w:firstLine="480" w:firstLineChars="20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根据相关经验，一般素填土及粉质粘土地下水有效孔隙度在0.27~0.3之间，本项目取0.3。</w:t>
      </w:r>
    </w:p>
    <w:p w14:paraId="45B9227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）弥散系数</w:t>
      </w:r>
    </w:p>
    <w:p w14:paraId="6A6B29A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弥散系数是污染物溶质运移的关键参数，地质介质中溶质运移主要受渗透系数在空间上变化的制约，即地质介质的结构影响。这一空间上变化影响到地下水流速，从而影响到溶质的对流与弥散。考虑到弥散系数的尺度效应问题，参考孔隙介质解析模型，结合本次评价的模型研究尺度大小，综合确定弥散度的取值应介于1-10之间，按照偏保守的评价原则，本次计算弥散度取10，由此计算项目场地内的纵向弥散系数：</w:t>
      </w:r>
    </w:p>
    <w:p w14:paraId="2C290AD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m:oMathPara>
        <m:oMath>
          <m:sSub>
            <m:sSubPr>
              <m:ctrlPr>
                <w:rPr>
                  <w:rFonts w:hint="default" w:ascii="Cambria Math" w:hAnsi="Cambria Math" w:eastAsia="宋体" w:cs="Times New Roman"/>
                  <w:color w:val="000000" w:themeColor="text1"/>
                  <w:u w:val="none" w:color="auto"/>
                  <w14:textFill>
                    <w14:solidFill>
                      <w14:schemeClr w14:val="tx1"/>
                    </w14:solidFill>
                  </w14:textFill>
                </w:rPr>
              </m:ctrlPr>
            </m:sSubPr>
            <m:e>
              <m:r>
                <m:rPr>
                  <m:nor/>
                </m:rPr>
                <w:rPr>
                  <w:rFonts w:hint="default" w:ascii="Times New Roman" w:hAnsi="Times New Roman" w:eastAsia="宋体" w:cs="Times New Roman"/>
                  <w:i/>
                  <w:color w:val="000000" w:themeColor="text1"/>
                  <w:u w:val="none" w:color="auto"/>
                  <w14:textFill>
                    <w14:solidFill>
                      <w14:schemeClr w14:val="tx1"/>
                    </w14:solidFill>
                  </w14:textFill>
                </w:rPr>
                <m:t>D</m:t>
              </m:r>
              <m:ctrlPr>
                <w:rPr>
                  <w:rFonts w:hint="default" w:ascii="Cambria Math" w:hAnsi="Cambria Math" w:eastAsia="宋体" w:cs="Times New Roman"/>
                  <w:color w:val="000000" w:themeColor="text1"/>
                  <w:u w:val="none" w:color="auto"/>
                  <w14:textFill>
                    <w14:solidFill>
                      <w14:schemeClr w14:val="tx1"/>
                    </w14:solidFill>
                  </w14:textFill>
                </w:rPr>
              </m:ctrlPr>
            </m:e>
            <m:sub>
              <m:r>
                <m:rPr>
                  <m:nor/>
                </m:rPr>
                <w:rPr>
                  <w:rFonts w:hint="default" w:ascii="Times New Roman" w:hAnsi="Times New Roman" w:eastAsia="宋体" w:cs="Times New Roman"/>
                  <w:i/>
                  <w:color w:val="000000" w:themeColor="text1"/>
                  <w:u w:val="none" w:color="auto"/>
                  <w14:textFill>
                    <w14:solidFill>
                      <w14:schemeClr w14:val="tx1"/>
                    </w14:solidFill>
                  </w14:textFill>
                </w:rPr>
                <m:t>L</m:t>
              </m:r>
              <m:ctrlPr>
                <w:rPr>
                  <w:rFonts w:hint="default" w:ascii="Cambria Math" w:hAnsi="Cambria Math" w:eastAsia="宋体" w:cs="Times New Roman"/>
                  <w:color w:val="000000" w:themeColor="text1"/>
                  <w:u w:val="none" w:color="auto"/>
                  <w14:textFill>
                    <w14:solidFill>
                      <w14:schemeClr w14:val="tx1"/>
                    </w14:solidFill>
                  </w14:textFill>
                </w:rPr>
              </m:ctrlPr>
            </m:sub>
          </m:sSub>
          <m:r>
            <m:rPr>
              <m:nor/>
              <m:sty m:val="p"/>
            </m:rPr>
            <w:rPr>
              <w:rFonts w:hint="default" w:ascii="Times New Roman" w:hAnsi="Times New Roman" w:eastAsia="宋体" w:cs="Times New Roman"/>
              <w:b w:val="0"/>
              <w:i w:val="0"/>
              <w:color w:val="000000" w:themeColor="text1"/>
              <w:u w:val="none" w:color="auto"/>
              <w14:textFill>
                <w14:solidFill>
                  <w14:schemeClr w14:val="tx1"/>
                </w14:solidFill>
              </w14:textFill>
            </w:rPr>
            <m:t>=</m:t>
          </m:r>
          <m:sSub>
            <m:sSubPr>
              <m:ctrlPr>
                <w:rPr>
                  <w:rFonts w:hint="default" w:ascii="Cambria Math" w:hAnsi="Cambria Math" w:eastAsia="宋体" w:cs="Times New Roman"/>
                  <w:i/>
                  <w:color w:val="000000" w:themeColor="text1"/>
                  <w:u w:val="none" w:color="auto"/>
                  <w14:textFill>
                    <w14:solidFill>
                      <w14:schemeClr w14:val="tx1"/>
                    </w14:solidFill>
                  </w14:textFill>
                </w:rPr>
              </m:ctrlPr>
            </m:sSubPr>
            <m:e>
              <m:r>
                <m:rPr>
                  <m:nor/>
                </m:rPr>
                <w:rPr>
                  <w:rFonts w:hint="default" w:ascii="Times New Roman" w:hAnsi="Times New Roman" w:eastAsia="宋体" w:cs="Times New Roman"/>
                  <w:i/>
                  <w:color w:val="000000" w:themeColor="text1"/>
                  <w:u w:val="none" w:color="auto"/>
                  <w14:textFill>
                    <w14:solidFill>
                      <w14:schemeClr w14:val="tx1"/>
                    </w14:solidFill>
                  </w14:textFill>
                </w:rPr>
                <m:t>α</m:t>
              </m:r>
              <m:ctrlPr>
                <w:rPr>
                  <w:rFonts w:hint="default" w:ascii="Cambria Math" w:hAnsi="Cambria Math" w:eastAsia="宋体" w:cs="Times New Roman"/>
                  <w:i/>
                  <w:color w:val="000000" w:themeColor="text1"/>
                  <w:u w:val="none" w:color="auto"/>
                  <w14:textFill>
                    <w14:solidFill>
                      <w14:schemeClr w14:val="tx1"/>
                    </w14:solidFill>
                  </w14:textFill>
                </w:rPr>
              </m:ctrlPr>
            </m:e>
            <m:sub>
              <m:r>
                <m:rPr>
                  <m:nor/>
                </m:rPr>
                <w:rPr>
                  <w:rFonts w:hint="default" w:ascii="Times New Roman" w:hAnsi="Times New Roman" w:eastAsia="宋体" w:cs="Times New Roman"/>
                  <w:i/>
                  <w:color w:val="000000" w:themeColor="text1"/>
                  <w:u w:val="none" w:color="auto"/>
                  <w14:textFill>
                    <w14:solidFill>
                      <w14:schemeClr w14:val="tx1"/>
                    </w14:solidFill>
                  </w14:textFill>
                </w:rPr>
                <m:t>L</m:t>
              </m:r>
              <m:ctrlPr>
                <w:rPr>
                  <w:rFonts w:hint="default" w:ascii="Cambria Math" w:hAnsi="Cambria Math" w:eastAsia="宋体" w:cs="Times New Roman"/>
                  <w:i/>
                  <w:color w:val="000000" w:themeColor="text1"/>
                  <w:u w:val="none" w:color="auto"/>
                  <w14:textFill>
                    <w14:solidFill>
                      <w14:schemeClr w14:val="tx1"/>
                    </w14:solidFill>
                  </w14:textFill>
                </w:rPr>
              </m:ctrlPr>
            </m:sub>
          </m:sSub>
          <m:r>
            <m:rPr>
              <m:nor/>
              <m:sty m:val="p"/>
            </m:rPr>
            <w:rPr>
              <w:rFonts w:hint="default" w:ascii="Times New Roman" w:hAnsi="Times New Roman" w:eastAsia="宋体" w:cs="Times New Roman"/>
              <w:b w:val="0"/>
              <w:i w:val="0"/>
              <w:color w:val="000000" w:themeColor="text1"/>
              <w:u w:val="none" w:color="auto"/>
              <w14:textFill>
                <w14:solidFill>
                  <w14:schemeClr w14:val="tx1"/>
                </w14:solidFill>
              </w14:textFill>
            </w:rPr>
            <m:t>×</m:t>
          </m:r>
          <m:r>
            <m:rPr>
              <m:nor/>
            </m:rPr>
            <w:rPr>
              <w:rFonts w:hint="default" w:ascii="Times New Roman" w:hAnsi="Times New Roman" w:eastAsia="宋体" w:cs="Times New Roman"/>
              <w:i/>
              <w:color w:val="000000" w:themeColor="text1"/>
              <w:u w:val="none" w:color="auto"/>
              <w14:textFill>
                <w14:solidFill>
                  <w14:schemeClr w14:val="tx1"/>
                </w14:solidFill>
              </w14:textFill>
            </w:rPr>
            <m:t>u</m:t>
          </m:r>
        </m:oMath>
      </m:oMathPara>
    </w:p>
    <w:p w14:paraId="3D92800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式中：</w:t>
      </w:r>
    </w:p>
    <w:p w14:paraId="38473C4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m:oMath>
        <m:sSub>
          <m:sSubPr>
            <m:ctrlPr>
              <w:rPr>
                <w:rFonts w:hint="default" w:ascii="Cambria Math" w:hAnsi="Cambria Math" w:eastAsia="宋体" w:cs="Times New Roman"/>
                <w:color w:val="000000" w:themeColor="text1"/>
                <w:u w:val="none" w:color="auto"/>
                <w14:textFill>
                  <w14:solidFill>
                    <w14:schemeClr w14:val="tx1"/>
                  </w14:solidFill>
                </w14:textFill>
              </w:rPr>
            </m:ctrlPr>
          </m:sSubPr>
          <m:e>
            <m:r>
              <m:rPr>
                <m:nor/>
              </m:rPr>
              <w:rPr>
                <w:rFonts w:hint="default" w:ascii="Times New Roman" w:hAnsi="Times New Roman" w:eastAsia="宋体" w:cs="Times New Roman"/>
                <w:i/>
                <w:color w:val="000000" w:themeColor="text1"/>
                <w:u w:val="none" w:color="auto"/>
                <w14:textFill>
                  <w14:solidFill>
                    <w14:schemeClr w14:val="tx1"/>
                  </w14:solidFill>
                </w14:textFill>
              </w:rPr>
              <m:t>D</m:t>
            </m:r>
            <m:ctrlPr>
              <w:rPr>
                <w:rFonts w:hint="default" w:ascii="Cambria Math" w:hAnsi="Cambria Math" w:eastAsia="宋体" w:cs="Times New Roman"/>
                <w:color w:val="000000" w:themeColor="text1"/>
                <w:u w:val="none" w:color="auto"/>
                <w14:textFill>
                  <w14:solidFill>
                    <w14:schemeClr w14:val="tx1"/>
                  </w14:solidFill>
                </w14:textFill>
              </w:rPr>
            </m:ctrlPr>
          </m:e>
          <m:sub>
            <m:r>
              <m:rPr>
                <m:nor/>
              </m:rPr>
              <w:rPr>
                <w:rFonts w:hint="default" w:ascii="Times New Roman" w:hAnsi="Times New Roman" w:eastAsia="宋体" w:cs="Times New Roman"/>
                <w:i/>
                <w:color w:val="000000" w:themeColor="text1"/>
                <w:u w:val="none" w:color="auto"/>
                <w14:textFill>
                  <w14:solidFill>
                    <w14:schemeClr w14:val="tx1"/>
                  </w14:solidFill>
                </w14:textFill>
              </w:rPr>
              <m:t>L</m:t>
            </m:r>
            <m:ctrlPr>
              <w:rPr>
                <w:rFonts w:hint="default" w:ascii="Cambria Math" w:hAnsi="Cambria Math" w:eastAsia="宋体" w:cs="Times New Roman"/>
                <w:color w:val="000000" w:themeColor="text1"/>
                <w:u w:val="none" w:color="auto"/>
                <w14:textFill>
                  <w14:solidFill>
                    <w14:schemeClr w14:val="tx1"/>
                  </w14:solidFill>
                </w14:textFill>
              </w:rPr>
            </m:ctrlPr>
          </m:sub>
        </m:sSub>
      </m:oMath>
      <w:r>
        <w:rPr>
          <w:rFonts w:hint="default" w:ascii="Times New Roman" w:hAnsi="Times New Roman" w:eastAsia="宋体" w:cs="Times New Roman"/>
          <w:color w:val="000000" w:themeColor="text1"/>
          <w:u w:val="none" w:color="auto"/>
          <w14:textFill>
            <w14:solidFill>
              <w14:schemeClr w14:val="tx1"/>
            </w14:solidFill>
          </w14:textFill>
        </w:rPr>
        <w:t>—土层中的纵向弥散系数（m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/d）；</w:t>
      </w:r>
    </w:p>
    <w:p w14:paraId="1FE13E0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m:oMath>
        <m:sSub>
          <m:sSubPr>
            <m:ctrlPr>
              <w:rPr>
                <w:rFonts w:hint="default" w:ascii="Cambria Math" w:hAnsi="Cambria Math" w:eastAsia="宋体" w:cs="Times New Roman"/>
                <w:i/>
                <w:color w:val="000000" w:themeColor="text1"/>
                <w:u w:val="none" w:color="auto"/>
                <w14:textFill>
                  <w14:solidFill>
                    <w14:schemeClr w14:val="tx1"/>
                  </w14:solidFill>
                </w14:textFill>
              </w:rPr>
            </m:ctrlPr>
          </m:sSubPr>
          <m:e>
            <m:r>
              <m:rPr>
                <m:nor/>
              </m:rPr>
              <w:rPr>
                <w:rFonts w:hint="default" w:ascii="Times New Roman" w:hAnsi="Times New Roman" w:eastAsia="宋体" w:cs="Times New Roman"/>
                <w:i/>
                <w:color w:val="000000" w:themeColor="text1"/>
                <w:u w:val="none" w:color="auto"/>
                <w14:textFill>
                  <w14:solidFill>
                    <w14:schemeClr w14:val="tx1"/>
                  </w14:solidFill>
                </w14:textFill>
              </w:rPr>
              <m:t>α</m:t>
            </m:r>
            <m:ctrlPr>
              <w:rPr>
                <w:rFonts w:hint="default" w:ascii="Cambria Math" w:hAnsi="Cambria Math" w:eastAsia="宋体" w:cs="Times New Roman"/>
                <w:i/>
                <w:color w:val="000000" w:themeColor="text1"/>
                <w:u w:val="none" w:color="auto"/>
                <w14:textFill>
                  <w14:solidFill>
                    <w14:schemeClr w14:val="tx1"/>
                  </w14:solidFill>
                </w14:textFill>
              </w:rPr>
            </m:ctrlPr>
          </m:e>
          <m:sub>
            <m:r>
              <m:rPr>
                <m:nor/>
              </m:rPr>
              <w:rPr>
                <w:rFonts w:hint="default" w:ascii="Times New Roman" w:hAnsi="Times New Roman" w:eastAsia="宋体" w:cs="Times New Roman"/>
                <w:i/>
                <w:color w:val="000000" w:themeColor="text1"/>
                <w:u w:val="none" w:color="auto"/>
                <w14:textFill>
                  <w14:solidFill>
                    <w14:schemeClr w14:val="tx1"/>
                  </w14:solidFill>
                </w14:textFill>
              </w:rPr>
              <m:t>L</m:t>
            </m:r>
            <m:ctrlPr>
              <w:rPr>
                <w:rFonts w:hint="default" w:ascii="Cambria Math" w:hAnsi="Cambria Math" w:eastAsia="宋体" w:cs="Times New Roman"/>
                <w:i/>
                <w:color w:val="000000" w:themeColor="text1"/>
                <w:u w:val="none" w:color="auto"/>
                <w14:textFill>
                  <w14:solidFill>
                    <w14:schemeClr w14:val="tx1"/>
                  </w14:solidFill>
                </w14:textFill>
              </w:rPr>
            </m:ctrlPr>
          </m:sub>
        </m:sSub>
      </m:oMath>
      <w:r>
        <w:rPr>
          <w:rFonts w:hint="default" w:ascii="Times New Roman" w:hAnsi="Times New Roman" w:eastAsia="宋体" w:cs="Times New Roman"/>
          <w:color w:val="000000" w:themeColor="text1"/>
          <w:u w:val="none" w:color="auto"/>
          <w14:textFill>
            <w14:solidFill>
              <w14:schemeClr w14:val="tx1"/>
            </w14:solidFill>
          </w14:textFill>
        </w:rPr>
        <w:t>—土层中的弥散度（m）；</w:t>
      </w:r>
    </w:p>
    <w:p w14:paraId="1F1637A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u—土层中的地下水的流速（m/d）。</w:t>
      </w:r>
    </w:p>
    <w:p w14:paraId="32623E6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按照上式计算可得场地的纵向弥散系数</w:t>
      </w:r>
      <m:oMath>
        <m:sSub>
          <m:sSubPr>
            <m:ctrlPr>
              <w:rPr>
                <w:rFonts w:hint="default" w:ascii="Cambria Math" w:hAnsi="Cambria Math" w:eastAsia="宋体" w:cs="Times New Roman"/>
                <w:color w:val="000000" w:themeColor="text1"/>
                <w:u w:val="none" w:color="auto"/>
                <w14:textFill>
                  <w14:solidFill>
                    <w14:schemeClr w14:val="tx1"/>
                  </w14:solidFill>
                </w14:textFill>
              </w:rPr>
            </m:ctrlPr>
          </m:sSubPr>
          <m:e>
            <m:r>
              <m:rPr>
                <m:nor/>
              </m:rPr>
              <w:rPr>
                <w:rFonts w:hint="default" w:ascii="Times New Roman" w:hAnsi="Times New Roman" w:eastAsia="宋体" w:cs="Times New Roman"/>
                <w:i/>
                <w:color w:val="000000" w:themeColor="text1"/>
                <w:u w:val="none" w:color="auto"/>
                <w14:textFill>
                  <w14:solidFill>
                    <w14:schemeClr w14:val="tx1"/>
                  </w14:solidFill>
                </w14:textFill>
              </w:rPr>
              <m:t>D</m:t>
            </m:r>
            <m:ctrlPr>
              <w:rPr>
                <w:rFonts w:hint="default" w:ascii="Cambria Math" w:hAnsi="Cambria Math" w:eastAsia="宋体" w:cs="Times New Roman"/>
                <w:color w:val="000000" w:themeColor="text1"/>
                <w:u w:val="none" w:color="auto"/>
                <w14:textFill>
                  <w14:solidFill>
                    <w14:schemeClr w14:val="tx1"/>
                  </w14:solidFill>
                </w14:textFill>
              </w:rPr>
            </m:ctrlPr>
          </m:e>
          <m:sub>
            <m:r>
              <m:rPr>
                <m:nor/>
              </m:rPr>
              <w:rPr>
                <w:rFonts w:hint="default" w:ascii="Times New Roman" w:hAnsi="Times New Roman" w:eastAsia="宋体" w:cs="Times New Roman"/>
                <w:i/>
                <w:color w:val="000000" w:themeColor="text1"/>
                <w:u w:val="none" w:color="auto"/>
                <w14:textFill>
                  <w14:solidFill>
                    <w14:schemeClr w14:val="tx1"/>
                  </w14:solidFill>
                </w14:textFill>
              </w:rPr>
              <m:t>L</m:t>
            </m:r>
            <m:ctrlPr>
              <w:rPr>
                <w:rFonts w:hint="default" w:ascii="Cambria Math" w:hAnsi="Cambria Math" w:eastAsia="宋体" w:cs="Times New Roman"/>
                <w:color w:val="000000" w:themeColor="text1"/>
                <w:u w:val="none" w:color="auto"/>
                <w14:textFill>
                  <w14:solidFill>
                    <w14:schemeClr w14:val="tx1"/>
                  </w14:solidFill>
                </w14:textFill>
              </w:rPr>
            </m:ctrlPr>
          </m:sub>
        </m:sSub>
      </m:oMath>
      <w:r>
        <w:rPr>
          <w:rFonts w:hint="default" w:ascii="Times New Roman" w:hAnsi="Times New Roman" w:eastAsia="宋体" w:cs="Times New Roman"/>
          <w:b/>
          <w:bCs/>
          <w:color w:val="000000" w:themeColor="text1"/>
          <w:u w:val="none" w:color="auto"/>
          <w14:textFill>
            <w14:solidFill>
              <w14:schemeClr w14:val="tx1"/>
            </w14:solidFill>
          </w14:textFill>
        </w:rPr>
        <w:t>=</w:t>
      </w:r>
      <w:r>
        <w:rPr>
          <w:rFonts w:hint="default" w:ascii="Times New Roman" w:hAnsi="Times New Roman" w:eastAsia="宋体" w:cs="Times New Roman"/>
          <w:b w:val="0"/>
          <w:bCs w:val="0"/>
          <w:color w:val="000000" w:themeColor="text1"/>
          <w:u w:val="none" w:color="auto"/>
          <w14:textFill>
            <w14:solidFill>
              <w14:schemeClr w14:val="tx1"/>
            </w14:solidFill>
          </w14:textFill>
        </w:rPr>
        <w:t>2.15</w:t>
      </w:r>
      <w:r>
        <w:rPr>
          <w:rFonts w:hint="default" w:ascii="Times New Roman" w:hAnsi="Times New Roman" w:eastAsia="宋体" w:cs="Times New Roman"/>
          <w:b w:val="0"/>
          <w:bCs w:val="0"/>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b w:val="0"/>
          <w:bCs w:val="0"/>
          <w:color w:val="000000" w:themeColor="text1"/>
          <w:u w:val="none" w:color="auto"/>
          <w14:textFill>
            <w14:solidFill>
              <w14:schemeClr w14:val="tx1"/>
            </w14:solidFill>
          </w14:textFill>
        </w:rPr>
        <w:t>m</w:t>
      </w:r>
      <w:r>
        <w:rPr>
          <w:rFonts w:hint="default" w:ascii="Times New Roman" w:hAnsi="Times New Roman" w:eastAsia="宋体" w:cs="Times New Roman"/>
          <w:b w:val="0"/>
          <w:bCs w:val="0"/>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b w:val="0"/>
          <w:bCs w:val="0"/>
          <w:color w:val="000000" w:themeColor="text1"/>
          <w:u w:val="none" w:color="auto"/>
          <w14:textFill>
            <w14:solidFill>
              <w14:schemeClr w14:val="tx1"/>
            </w14:solidFill>
          </w14:textFill>
        </w:rPr>
        <w:t>/d</w:t>
      </w:r>
      <w:r>
        <w:rPr>
          <w:rFonts w:hint="default" w:ascii="Times New Roman" w:hAnsi="Times New Roman" w:eastAsia="宋体" w:cs="Times New Roman"/>
          <w:color w:val="000000" w:themeColor="text1"/>
          <w:u w:val="none" w:color="auto"/>
          <w14:textFill>
            <w14:solidFill>
              <w14:schemeClr w14:val="tx1"/>
            </w14:solidFill>
          </w14:textFill>
        </w:rPr>
        <w:t>。</w:t>
      </w:r>
    </w:p>
    <w:p w14:paraId="4B37A0D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）参数统计</w:t>
      </w:r>
    </w:p>
    <w:p w14:paraId="302330C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根据上述求得的各参数，估算得结果如下表所示。</w:t>
      </w:r>
    </w:p>
    <w:p w14:paraId="51130AB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4-1  地下水预测需用参数取值汇总表</w:t>
      </w:r>
    </w:p>
    <w:tbl>
      <w:tblPr>
        <w:tblStyle w:val="38"/>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5"/>
        <w:gridCol w:w="1926"/>
        <w:gridCol w:w="1213"/>
        <w:gridCol w:w="1361"/>
        <w:gridCol w:w="1556"/>
        <w:gridCol w:w="1532"/>
      </w:tblGrid>
      <w:tr w14:paraId="5C6DE4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8" w:type="pct"/>
            <w:vAlign w:val="center"/>
          </w:tcPr>
          <w:p w14:paraId="629034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参数</w:t>
            </w:r>
          </w:p>
        </w:tc>
        <w:tc>
          <w:tcPr>
            <w:tcW w:w="1129" w:type="pct"/>
            <w:vAlign w:val="center"/>
          </w:tcPr>
          <w:p w14:paraId="5128C6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w:t>
            </w:r>
          </w:p>
        </w:tc>
        <w:tc>
          <w:tcPr>
            <w:tcW w:w="711" w:type="pct"/>
            <w:vAlign w:val="center"/>
          </w:tcPr>
          <w:p w14:paraId="10A4EB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w:t>
            </w:r>
          </w:p>
        </w:tc>
        <w:tc>
          <w:tcPr>
            <w:tcW w:w="798" w:type="pct"/>
            <w:vAlign w:val="center"/>
          </w:tcPr>
          <w:p w14:paraId="3C4F43C0">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n</w:t>
            </w:r>
            <w:r>
              <w:rPr>
                <w:rFonts w:hint="eastAsia" w:eastAsia="宋体" w:cs="Times New Roman"/>
                <w:color w:val="000000" w:themeColor="text1"/>
                <w:u w:val="none" w:color="auto"/>
                <w:vertAlign w:val="subscript"/>
                <w:lang w:val="en-US" w:eastAsia="zh-CN"/>
                <w14:textFill>
                  <w14:solidFill>
                    <w14:schemeClr w14:val="tx1"/>
                  </w14:solidFill>
                </w14:textFill>
              </w:rPr>
              <w:t>e</w:t>
            </w:r>
          </w:p>
        </w:tc>
        <w:tc>
          <w:tcPr>
            <w:tcW w:w="912" w:type="pct"/>
            <w:vAlign w:val="center"/>
          </w:tcPr>
          <w:p w14:paraId="192556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u</w:t>
            </w:r>
          </w:p>
        </w:tc>
        <w:tc>
          <w:tcPr>
            <w:tcW w:w="898" w:type="pct"/>
            <w:vAlign w:val="center"/>
          </w:tcPr>
          <w:p w14:paraId="486843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L</w:t>
            </w:r>
          </w:p>
        </w:tc>
      </w:tr>
      <w:tr w14:paraId="43AE46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8" w:type="pct"/>
            <w:vAlign w:val="center"/>
          </w:tcPr>
          <w:p w14:paraId="7EEBF2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含义</w:t>
            </w:r>
          </w:p>
        </w:tc>
        <w:tc>
          <w:tcPr>
            <w:tcW w:w="1129" w:type="pct"/>
            <w:vAlign w:val="center"/>
          </w:tcPr>
          <w:p w14:paraId="3CD571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注入的示踪剂</w:t>
            </w:r>
            <w:r>
              <w:rPr>
                <w:rFonts w:hint="eastAsia" w:eastAsia="宋体" w:cs="Times New Roman"/>
                <w:color w:val="000000" w:themeColor="text1"/>
                <w:sz w:val="21"/>
                <w:szCs w:val="21"/>
                <w:u w:val="none" w:color="auto"/>
                <w:lang w:val="en-US" w:eastAsia="zh-CN"/>
                <w14:textFill>
                  <w14:solidFill>
                    <w14:schemeClr w14:val="tx1"/>
                  </w14:solidFill>
                </w14:textFill>
              </w:rPr>
              <w:t>质量</w:t>
            </w:r>
          </w:p>
        </w:tc>
        <w:tc>
          <w:tcPr>
            <w:tcW w:w="711" w:type="pct"/>
            <w:vAlign w:val="center"/>
          </w:tcPr>
          <w:p w14:paraId="4C4204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泄漏面积</w:t>
            </w:r>
          </w:p>
        </w:tc>
        <w:tc>
          <w:tcPr>
            <w:tcW w:w="798" w:type="pct"/>
            <w:vAlign w:val="center"/>
          </w:tcPr>
          <w:p w14:paraId="3E52EDC9">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土壤孔隙度</w:t>
            </w:r>
          </w:p>
        </w:tc>
        <w:tc>
          <w:tcPr>
            <w:tcW w:w="912" w:type="pct"/>
            <w:vAlign w:val="center"/>
          </w:tcPr>
          <w:p w14:paraId="375986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地下</w:t>
            </w:r>
            <w:r>
              <w:rPr>
                <w:rFonts w:hint="default" w:ascii="Times New Roman" w:hAnsi="Times New Roman" w:eastAsia="宋体" w:cs="Times New Roman"/>
                <w:color w:val="000000" w:themeColor="text1"/>
                <w:sz w:val="21"/>
                <w:szCs w:val="21"/>
                <w:u w:val="none" w:color="auto"/>
                <w14:textFill>
                  <w14:solidFill>
                    <w14:schemeClr w14:val="tx1"/>
                  </w14:solidFill>
                </w14:textFill>
              </w:rPr>
              <w:t>水流速度</w:t>
            </w:r>
          </w:p>
        </w:tc>
        <w:tc>
          <w:tcPr>
            <w:tcW w:w="898" w:type="pct"/>
            <w:vAlign w:val="center"/>
          </w:tcPr>
          <w:p w14:paraId="0095A5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纵向弥散系数</w:t>
            </w:r>
          </w:p>
        </w:tc>
      </w:tr>
      <w:tr w14:paraId="68047E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8" w:type="pct"/>
            <w:vAlign w:val="center"/>
          </w:tcPr>
          <w:p w14:paraId="0FD009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单位</w:t>
            </w:r>
          </w:p>
        </w:tc>
        <w:tc>
          <w:tcPr>
            <w:tcW w:w="1129" w:type="pct"/>
            <w:vAlign w:val="center"/>
          </w:tcPr>
          <w:p w14:paraId="3B1472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kg</w:t>
            </w:r>
          </w:p>
        </w:tc>
        <w:tc>
          <w:tcPr>
            <w:tcW w:w="711" w:type="pct"/>
            <w:vAlign w:val="center"/>
          </w:tcPr>
          <w:p w14:paraId="2DF4BFB4">
            <w:pPr>
              <w:pStyle w:val="68"/>
              <w:keepNext w:val="0"/>
              <w:keepLines w:val="0"/>
              <w:pageBreakBefore w:val="0"/>
              <w:widowControl w:val="0"/>
              <w:kinsoku/>
              <w:wordWrap/>
              <w:overflowPunct/>
              <w:topLinePunct w:val="0"/>
              <w:bidi w:val="0"/>
              <w:rPr>
                <w:rFonts w:hint="eastAsia"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p>
        </w:tc>
        <w:tc>
          <w:tcPr>
            <w:tcW w:w="798" w:type="pct"/>
            <w:vAlign w:val="center"/>
          </w:tcPr>
          <w:p w14:paraId="2C4BFAD8">
            <w:pPr>
              <w:pStyle w:val="68"/>
              <w:keepNext w:val="0"/>
              <w:keepLines w:val="0"/>
              <w:pageBreakBefore w:val="0"/>
              <w:widowControl w:val="0"/>
              <w:kinsoku/>
              <w:wordWrap/>
              <w:overflowPunct/>
              <w:topLinePunct w:val="0"/>
              <w:bidi w:val="0"/>
              <w:rPr>
                <w:rFonts w:hint="default"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1</w:t>
            </w:r>
          </w:p>
        </w:tc>
        <w:tc>
          <w:tcPr>
            <w:tcW w:w="912" w:type="pct"/>
            <w:vAlign w:val="center"/>
          </w:tcPr>
          <w:p w14:paraId="1B994E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m/d</w:t>
            </w:r>
          </w:p>
        </w:tc>
        <w:tc>
          <w:tcPr>
            <w:tcW w:w="898" w:type="pct"/>
            <w:vAlign w:val="center"/>
          </w:tcPr>
          <w:p w14:paraId="636A62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/d</w:t>
            </w:r>
          </w:p>
        </w:tc>
      </w:tr>
      <w:tr w14:paraId="3D1E7D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8" w:type="pct"/>
            <w:vAlign w:val="center"/>
          </w:tcPr>
          <w:p w14:paraId="0F7D4D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取值</w:t>
            </w:r>
          </w:p>
        </w:tc>
        <w:tc>
          <w:tcPr>
            <w:tcW w:w="1129" w:type="pct"/>
            <w:vAlign w:val="center"/>
          </w:tcPr>
          <w:p w14:paraId="727F10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COD</w:t>
            </w:r>
            <w:r>
              <w:rPr>
                <w:rFonts w:hint="eastAsia" w:eastAsia="宋体" w:cs="Times New Roman"/>
                <w:color w:val="000000" w:themeColor="text1"/>
                <w:sz w:val="21"/>
                <w:szCs w:val="21"/>
                <w:u w:val="none" w:color="auto"/>
                <w:vertAlign w:val="subscript"/>
                <w:lang w:val="en-US" w:eastAsia="zh-CN"/>
                <w14:textFill>
                  <w14:solidFill>
                    <w14:schemeClr w14:val="tx1"/>
                  </w14:solidFill>
                </w14:textFill>
              </w:rPr>
              <w:t>Mn</w:t>
            </w:r>
            <w:r>
              <w:rPr>
                <w:rFonts w:hint="default" w:ascii="Times New Roman" w:hAnsi="Times New Roman" w:eastAsia="宋体" w:cs="Times New Roman"/>
                <w:color w:val="000000" w:themeColor="text1"/>
                <w:sz w:val="21"/>
                <w:szCs w:val="21"/>
                <w:u w:val="none" w:color="auto"/>
                <w14:textFill>
                  <w14:solidFill>
                    <w14:schemeClr w14:val="tx1"/>
                  </w14:solidFill>
                </w14:textFill>
              </w:rPr>
              <w:t>：</w:t>
            </w:r>
            <w:r>
              <w:rPr>
                <w:rFonts w:hint="eastAsia" w:eastAsia="宋体" w:cs="Times New Roman"/>
                <w:color w:val="000000" w:themeColor="text1"/>
                <w:sz w:val="21"/>
                <w:szCs w:val="21"/>
                <w:u w:val="none" w:color="auto"/>
                <w:lang w:val="en-US" w:eastAsia="zh-CN"/>
                <w14:textFill>
                  <w14:solidFill>
                    <w14:schemeClr w14:val="tx1"/>
                  </w14:solidFill>
                </w14:textFill>
              </w:rPr>
              <w:t>1.355 kg</w:t>
            </w:r>
          </w:p>
        </w:tc>
        <w:tc>
          <w:tcPr>
            <w:tcW w:w="711" w:type="pct"/>
            <w:vAlign w:val="center"/>
          </w:tcPr>
          <w:p w14:paraId="45B8A0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0.4</w:t>
            </w:r>
          </w:p>
        </w:tc>
        <w:tc>
          <w:tcPr>
            <w:tcW w:w="798" w:type="pct"/>
            <w:vAlign w:val="center"/>
          </w:tcPr>
          <w:p w14:paraId="79E8F3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0.3</w:t>
            </w:r>
          </w:p>
        </w:tc>
        <w:tc>
          <w:tcPr>
            <w:tcW w:w="912" w:type="pct"/>
            <w:vAlign w:val="center"/>
          </w:tcPr>
          <w:p w14:paraId="1A5F83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0.215</w:t>
            </w:r>
          </w:p>
        </w:tc>
        <w:tc>
          <w:tcPr>
            <w:tcW w:w="898" w:type="pct"/>
            <w:vAlign w:val="center"/>
          </w:tcPr>
          <w:p w14:paraId="5D5153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2.15</w:t>
            </w:r>
          </w:p>
        </w:tc>
      </w:tr>
    </w:tbl>
    <w:p w14:paraId="08549DE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预测</w:t>
      </w:r>
      <w:r>
        <w:rPr>
          <w:rFonts w:hint="default" w:ascii="Times New Roman" w:hAnsi="Times New Roman" w:eastAsia="宋体" w:cs="Times New Roman"/>
          <w:color w:val="000000" w:themeColor="text1"/>
          <w:u w:val="none" w:color="auto"/>
          <w14:textFill>
            <w14:solidFill>
              <w14:schemeClr w14:val="tx1"/>
            </w14:solidFill>
          </w14:textFill>
        </w:rPr>
        <w:t>结果</w:t>
      </w:r>
    </w:p>
    <w:p w14:paraId="3139F77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考虑项目下游800 m为汨罗江，为本项目水质单元下游边界，本次预测范围为项目边界下游0</w:t>
      </w:r>
      <w:r>
        <w:rPr>
          <w:rFonts w:hint="eastAsia" w:ascii="宋体" w:hAnsi="宋体" w:eastAsia="宋体" w:cs="宋体"/>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800 m。</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经运算得出污染物泄漏后对地下水的影响情况，具体</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结果</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如下</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表</w:t>
      </w:r>
      <w:r>
        <w:rPr>
          <w:rFonts w:hint="default" w:ascii="Times New Roman" w:hAnsi="Times New Roman" w:eastAsia="宋体" w:cs="Times New Roman"/>
          <w:color w:val="000000" w:themeColor="text1"/>
          <w:u w:val="none" w:color="auto"/>
          <w14:textFill>
            <w14:solidFill>
              <w14:schemeClr w14:val="tx1"/>
            </w14:solidFill>
          </w14:textFill>
        </w:rPr>
        <w:t>。</w:t>
      </w:r>
    </w:p>
    <w:p w14:paraId="17D85113">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4-2  不同时刻COD</w:t>
      </w:r>
      <w:r>
        <w:rPr>
          <w:rFonts w:hint="eastAsia" w:ascii="Times New Roman" w:hAnsi="Times New Roman" w:eastAsia="宋体" w:cs="Times New Roman"/>
          <w:color w:val="000000" w:themeColor="text1"/>
          <w:u w:val="none" w:color="auto"/>
          <w:vertAlign w:val="subscript"/>
          <w:lang w:val="en-US" w:eastAsia="zh-CN"/>
          <w14:textFill>
            <w14:solidFill>
              <w14:schemeClr w14:val="tx1"/>
            </w14:solidFill>
          </w14:textFill>
        </w:rPr>
        <w:t>Mn</w:t>
      </w:r>
      <w:r>
        <w:rPr>
          <w:rFonts w:hint="default" w:ascii="Times New Roman" w:hAnsi="Times New Roman" w:eastAsia="宋体" w:cs="Times New Roman"/>
          <w:color w:val="000000" w:themeColor="text1"/>
          <w:u w:val="none" w:color="auto"/>
          <w14:textFill>
            <w14:solidFill>
              <w14:schemeClr w14:val="tx1"/>
            </w14:solidFill>
          </w14:textFill>
        </w:rPr>
        <w:t>的浓度</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贡献值随距离的变化情况</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73"/>
        <w:gridCol w:w="2207"/>
        <w:gridCol w:w="2219"/>
        <w:gridCol w:w="2226"/>
      </w:tblGrid>
      <w:tr w14:paraId="16C5EA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vMerge w:val="restart"/>
            <w:shd w:val="clear" w:color="auto" w:fill="auto"/>
            <w:noWrap/>
            <w:vAlign w:val="center"/>
          </w:tcPr>
          <w:p w14:paraId="15203F1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距离（m）</w:t>
            </w:r>
          </w:p>
        </w:tc>
        <w:tc>
          <w:tcPr>
            <w:tcW w:w="3900" w:type="pct"/>
            <w:gridSpan w:val="3"/>
            <w:shd w:val="clear" w:color="auto" w:fill="auto"/>
            <w:noWrap/>
            <w:vAlign w:val="center"/>
          </w:tcPr>
          <w:p w14:paraId="3C4B203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不同时间预测浓度（mg/L）</w:t>
            </w:r>
          </w:p>
        </w:tc>
      </w:tr>
      <w:tr w14:paraId="0E4D7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vMerge w:val="continue"/>
            <w:shd w:val="clear" w:color="auto" w:fill="auto"/>
            <w:noWrap/>
            <w:vAlign w:val="center"/>
          </w:tcPr>
          <w:p w14:paraId="23091C7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294" w:type="pct"/>
            <w:shd w:val="clear" w:color="auto" w:fill="auto"/>
            <w:noWrap/>
            <w:vAlign w:val="center"/>
          </w:tcPr>
          <w:p w14:paraId="2F954D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t>
            </w:r>
          </w:p>
        </w:tc>
        <w:tc>
          <w:tcPr>
            <w:tcW w:w="1301" w:type="pct"/>
            <w:shd w:val="clear" w:color="auto" w:fill="auto"/>
            <w:noWrap/>
            <w:vAlign w:val="center"/>
          </w:tcPr>
          <w:p w14:paraId="0DBDC82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1000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t>
            </w:r>
          </w:p>
        </w:tc>
        <w:tc>
          <w:tcPr>
            <w:tcW w:w="1304" w:type="pct"/>
            <w:shd w:val="clear" w:color="auto" w:fill="auto"/>
            <w:noWrap/>
            <w:vAlign w:val="center"/>
          </w:tcPr>
          <w:p w14:paraId="44B46B1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3650</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d</w:t>
            </w:r>
          </w:p>
        </w:tc>
      </w:tr>
      <w:tr w14:paraId="6E079C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5617018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2207" w:type="dxa"/>
            <w:shd w:val="clear" w:color="auto" w:fill="auto"/>
            <w:noWrap/>
            <w:vAlign w:val="center"/>
          </w:tcPr>
          <w:p w14:paraId="4BA1FBD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127.00</w:t>
            </w:r>
          </w:p>
        </w:tc>
        <w:tc>
          <w:tcPr>
            <w:tcW w:w="2219" w:type="dxa"/>
            <w:shd w:val="clear" w:color="auto" w:fill="auto"/>
            <w:noWrap/>
            <w:vAlign w:val="center"/>
          </w:tcPr>
          <w:p w14:paraId="2048687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0.3</w:t>
            </w:r>
          </w:p>
        </w:tc>
        <w:tc>
          <w:tcPr>
            <w:tcW w:w="2226" w:type="dxa"/>
            <w:shd w:val="clear" w:color="auto" w:fill="auto"/>
            <w:noWrap/>
            <w:vAlign w:val="center"/>
          </w:tcPr>
          <w:p w14:paraId="14DC57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r>
      <w:tr w14:paraId="4B5C13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5178300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207" w:type="dxa"/>
            <w:shd w:val="clear" w:color="auto" w:fill="auto"/>
            <w:noWrap/>
            <w:vAlign w:val="center"/>
          </w:tcPr>
          <w:p w14:paraId="0AD7B9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158.00</w:t>
            </w:r>
          </w:p>
        </w:tc>
        <w:tc>
          <w:tcPr>
            <w:tcW w:w="2219" w:type="dxa"/>
            <w:shd w:val="clear" w:color="auto" w:fill="auto"/>
            <w:noWrap/>
            <w:vAlign w:val="center"/>
          </w:tcPr>
          <w:p w14:paraId="10F7940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0.41</w:t>
            </w:r>
          </w:p>
        </w:tc>
        <w:tc>
          <w:tcPr>
            <w:tcW w:w="2226" w:type="dxa"/>
            <w:shd w:val="clear" w:color="auto" w:fill="auto"/>
            <w:noWrap/>
            <w:vAlign w:val="center"/>
          </w:tcPr>
          <w:p w14:paraId="04F7611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r>
      <w:tr w14:paraId="03C4DC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274F9FD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2207" w:type="dxa"/>
            <w:shd w:val="clear" w:color="auto" w:fill="auto"/>
            <w:noWrap/>
            <w:vAlign w:val="center"/>
          </w:tcPr>
          <w:p w14:paraId="64C52BB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186.00</w:t>
            </w:r>
          </w:p>
        </w:tc>
        <w:tc>
          <w:tcPr>
            <w:tcW w:w="2219" w:type="dxa"/>
            <w:shd w:val="clear" w:color="auto" w:fill="auto"/>
            <w:noWrap/>
            <w:vAlign w:val="center"/>
          </w:tcPr>
          <w:p w14:paraId="7DFE451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0.52</w:t>
            </w:r>
          </w:p>
        </w:tc>
        <w:tc>
          <w:tcPr>
            <w:tcW w:w="2226" w:type="dxa"/>
            <w:shd w:val="clear" w:color="auto" w:fill="auto"/>
            <w:noWrap/>
            <w:vAlign w:val="center"/>
          </w:tcPr>
          <w:p w14:paraId="3FADFF0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r>
      <w:tr w14:paraId="4DB5E1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4C3DC3E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2207" w:type="dxa"/>
            <w:shd w:val="clear" w:color="auto" w:fill="auto"/>
            <w:noWrap/>
            <w:vAlign w:val="center"/>
          </w:tcPr>
          <w:p w14:paraId="0AF9D7C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217.00</w:t>
            </w:r>
          </w:p>
        </w:tc>
        <w:tc>
          <w:tcPr>
            <w:tcW w:w="2219" w:type="dxa"/>
            <w:shd w:val="clear" w:color="auto" w:fill="auto"/>
            <w:noWrap/>
            <w:vAlign w:val="center"/>
          </w:tcPr>
          <w:p w14:paraId="13EDC3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0.83</w:t>
            </w:r>
          </w:p>
        </w:tc>
        <w:tc>
          <w:tcPr>
            <w:tcW w:w="2226" w:type="dxa"/>
            <w:shd w:val="clear" w:color="auto" w:fill="auto"/>
            <w:noWrap/>
            <w:vAlign w:val="center"/>
          </w:tcPr>
          <w:p w14:paraId="11F67FD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r>
      <w:tr w14:paraId="2AE115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55608C1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45</w:t>
            </w:r>
          </w:p>
        </w:tc>
        <w:tc>
          <w:tcPr>
            <w:tcW w:w="2207" w:type="dxa"/>
            <w:shd w:val="clear" w:color="auto" w:fill="auto"/>
            <w:noWrap/>
            <w:vAlign w:val="center"/>
          </w:tcPr>
          <w:p w14:paraId="51AA4A7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114.00</w:t>
            </w:r>
          </w:p>
        </w:tc>
        <w:tc>
          <w:tcPr>
            <w:tcW w:w="2219" w:type="dxa"/>
            <w:shd w:val="clear" w:color="auto" w:fill="auto"/>
            <w:noWrap/>
            <w:vAlign w:val="center"/>
          </w:tcPr>
          <w:p w14:paraId="5EC6BA5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2.39</w:t>
            </w:r>
          </w:p>
        </w:tc>
        <w:tc>
          <w:tcPr>
            <w:tcW w:w="2226" w:type="dxa"/>
            <w:shd w:val="clear" w:color="auto" w:fill="auto"/>
            <w:noWrap/>
            <w:vAlign w:val="center"/>
          </w:tcPr>
          <w:p w14:paraId="69125C4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r>
      <w:tr w14:paraId="4D6359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547882B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2207" w:type="dxa"/>
            <w:shd w:val="clear" w:color="auto" w:fill="auto"/>
            <w:noWrap/>
            <w:vAlign w:val="center"/>
          </w:tcPr>
          <w:p w14:paraId="0897494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0.17</w:t>
            </w:r>
          </w:p>
        </w:tc>
        <w:tc>
          <w:tcPr>
            <w:tcW w:w="2219" w:type="dxa"/>
            <w:shd w:val="clear" w:color="auto" w:fill="auto"/>
            <w:noWrap/>
            <w:vAlign w:val="center"/>
          </w:tcPr>
          <w:p w14:paraId="1EF7F93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14.80</w:t>
            </w:r>
          </w:p>
        </w:tc>
        <w:tc>
          <w:tcPr>
            <w:tcW w:w="2226" w:type="dxa"/>
            <w:shd w:val="clear" w:color="auto" w:fill="auto"/>
            <w:noWrap/>
            <w:vAlign w:val="center"/>
          </w:tcPr>
          <w:p w14:paraId="7689881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r>
      <w:tr w14:paraId="298F2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5952C4F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2207" w:type="dxa"/>
            <w:shd w:val="clear" w:color="auto" w:fill="auto"/>
            <w:noWrap/>
            <w:vAlign w:val="center"/>
          </w:tcPr>
          <w:p w14:paraId="004AC42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c>
          <w:tcPr>
            <w:tcW w:w="2219" w:type="dxa"/>
            <w:shd w:val="clear" w:color="auto" w:fill="auto"/>
            <w:noWrap/>
            <w:vAlign w:val="center"/>
          </w:tcPr>
          <w:p w14:paraId="323186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66.90</w:t>
            </w:r>
          </w:p>
        </w:tc>
        <w:tc>
          <w:tcPr>
            <w:tcW w:w="2226" w:type="dxa"/>
            <w:shd w:val="clear" w:color="auto" w:fill="auto"/>
            <w:noWrap/>
            <w:vAlign w:val="center"/>
          </w:tcPr>
          <w:p w14:paraId="2C4EB99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r>
      <w:tr w14:paraId="46C47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54FB667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2207" w:type="dxa"/>
            <w:shd w:val="clear" w:color="auto" w:fill="auto"/>
            <w:noWrap/>
            <w:vAlign w:val="center"/>
          </w:tcPr>
          <w:p w14:paraId="77A1911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c>
          <w:tcPr>
            <w:tcW w:w="2219" w:type="dxa"/>
            <w:shd w:val="clear" w:color="auto" w:fill="auto"/>
            <w:noWrap/>
            <w:vAlign w:val="center"/>
          </w:tcPr>
          <w:p w14:paraId="04E51BC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29.70</w:t>
            </w:r>
          </w:p>
        </w:tc>
        <w:tc>
          <w:tcPr>
            <w:tcW w:w="2226" w:type="dxa"/>
            <w:shd w:val="clear" w:color="auto" w:fill="auto"/>
            <w:noWrap/>
            <w:vAlign w:val="center"/>
          </w:tcPr>
          <w:p w14:paraId="0123D45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0.02</w:t>
            </w:r>
          </w:p>
        </w:tc>
      </w:tr>
      <w:tr w14:paraId="019651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1CD182B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400</w:t>
            </w:r>
          </w:p>
        </w:tc>
        <w:tc>
          <w:tcPr>
            <w:tcW w:w="2207" w:type="dxa"/>
            <w:shd w:val="clear" w:color="auto" w:fill="auto"/>
            <w:noWrap/>
            <w:vAlign w:val="center"/>
          </w:tcPr>
          <w:p w14:paraId="6BBEE3B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c>
          <w:tcPr>
            <w:tcW w:w="2219" w:type="dxa"/>
            <w:shd w:val="clear" w:color="auto" w:fill="auto"/>
            <w:noWrap/>
            <w:vAlign w:val="center"/>
          </w:tcPr>
          <w:p w14:paraId="5969CD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1.28</w:t>
            </w:r>
          </w:p>
        </w:tc>
        <w:tc>
          <w:tcPr>
            <w:tcW w:w="2226" w:type="dxa"/>
            <w:shd w:val="clear" w:color="auto" w:fill="auto"/>
            <w:noWrap/>
            <w:vAlign w:val="center"/>
          </w:tcPr>
          <w:p w14:paraId="37D0B6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0.32</w:t>
            </w:r>
          </w:p>
        </w:tc>
      </w:tr>
      <w:tr w14:paraId="57A9DA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55F896E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500</w:t>
            </w:r>
          </w:p>
        </w:tc>
        <w:tc>
          <w:tcPr>
            <w:tcW w:w="2207" w:type="dxa"/>
            <w:shd w:val="clear" w:color="auto" w:fill="auto"/>
            <w:noWrap/>
            <w:vAlign w:val="center"/>
          </w:tcPr>
          <w:p w14:paraId="5F952C6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c>
          <w:tcPr>
            <w:tcW w:w="2219" w:type="dxa"/>
            <w:shd w:val="clear" w:color="auto" w:fill="auto"/>
            <w:noWrap/>
            <w:vAlign w:val="center"/>
          </w:tcPr>
          <w:p w14:paraId="6EBEACD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0.01</w:t>
            </w:r>
          </w:p>
        </w:tc>
        <w:tc>
          <w:tcPr>
            <w:tcW w:w="2226" w:type="dxa"/>
            <w:shd w:val="clear" w:color="auto" w:fill="auto"/>
            <w:noWrap/>
            <w:vAlign w:val="center"/>
          </w:tcPr>
          <w:p w14:paraId="1E75C11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2.72</w:t>
            </w:r>
          </w:p>
        </w:tc>
      </w:tr>
      <w:tr w14:paraId="1CC467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9" w:type="pct"/>
            <w:shd w:val="clear" w:color="auto" w:fill="auto"/>
            <w:noWrap/>
            <w:vAlign w:val="center"/>
          </w:tcPr>
          <w:p w14:paraId="04858C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800</w:t>
            </w:r>
          </w:p>
        </w:tc>
        <w:tc>
          <w:tcPr>
            <w:tcW w:w="2207" w:type="dxa"/>
            <w:shd w:val="clear" w:color="auto" w:fill="auto"/>
            <w:noWrap/>
            <w:vAlign w:val="center"/>
          </w:tcPr>
          <w:p w14:paraId="2A22DB8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c>
          <w:tcPr>
            <w:tcW w:w="2219" w:type="dxa"/>
            <w:shd w:val="clear" w:color="auto" w:fill="auto"/>
            <w:noWrap/>
            <w:vAlign w:val="center"/>
          </w:tcPr>
          <w:p w14:paraId="6D0641B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w:t>
            </w:r>
          </w:p>
        </w:tc>
        <w:tc>
          <w:tcPr>
            <w:tcW w:w="2226" w:type="dxa"/>
            <w:shd w:val="clear" w:color="auto" w:fill="auto"/>
            <w:noWrap/>
            <w:vAlign w:val="center"/>
          </w:tcPr>
          <w:p w14:paraId="34FBB3A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35.70</w:t>
            </w:r>
          </w:p>
        </w:tc>
      </w:tr>
    </w:tbl>
    <w:p w14:paraId="7B72412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非正常工况地下水环境影响分析</w:t>
      </w:r>
    </w:p>
    <w:p w14:paraId="49D17AE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从计算结果可知：发生上述非正常情况时，随着时间的推移，在地下水流的弥散作用下，泄漏污染物COD不断向外迁移，污染带不断扩散外移。发生泄漏后100天，COD预测的最大值为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217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，位于下游</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22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m，预测超标距离最远为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82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m，影响距离最远为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102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m；发生泄漏后1000天，COD预测的最大值为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69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，位于下游</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215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m，预测超标距离最远为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379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m，影响距离最远为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452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m；发生泄漏后3650天，COD预测的最大值为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36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mg/</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，位于下游</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793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m，预测超标距离最远为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800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m，影响距离最远为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800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泄漏点下游45 m处为项目厂界处，经预测，第35 d时项目厂界处预测浓度超标。</w:t>
      </w:r>
    </w:p>
    <w:p w14:paraId="4188B51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因此若本项目污水处理</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设施</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等发生泄漏，会对区域地下水产生一定影响。本评价要求建设单位应加强污水处理站的日常检查工作，若发现渗漏应及时修补，避免污染物持续性的泄漏，建设单位应同时按本评价提出的地下水监控计划，开展日常地下水监测工作，若发现监控点地下水污染和水质恶化时，应及时进行处理，开展系统调查，及时封堵泄漏点。综合以上评价，在及时切断泄漏源，避免持续性泄漏的情况下，则本项目的建设对区域地下水的影响是可以接受的。</w:t>
      </w:r>
    </w:p>
    <w:p w14:paraId="1B4423B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综上，建设单位在运营期应加强管理，降低废水渗漏污染地下水风险。</w:t>
      </w:r>
    </w:p>
    <w:p w14:paraId="00736E1B">
      <w:pPr>
        <w:pStyle w:val="6"/>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bookmarkStart w:id="344" w:name="_Toc13767"/>
      <w:r>
        <w:rPr>
          <w:rFonts w:hint="eastAsia" w:ascii="Times New Roman" w:hAnsi="Times New Roman" w:eastAsia="宋体" w:cs="Times New Roman"/>
          <w:color w:val="000000" w:themeColor="text1"/>
          <w:u w:val="none" w:color="auto"/>
          <w:lang w:val="en-US" w:eastAsia="zh-CN"/>
          <w14:textFill>
            <w14:solidFill>
              <w14:schemeClr w14:val="tx1"/>
            </w14:solidFill>
          </w14:textFill>
        </w:rPr>
        <w:t>6.4.5 地下水保护措施</w:t>
      </w:r>
      <w:bookmarkEnd w:id="344"/>
    </w:p>
    <w:p w14:paraId="0B72DE5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地下水保护与污染防治按照</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源头控制、分区防治、污染监控、应急响应</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的原则。本项目运行过程中要建立健全地下水保护与污染防治的措施与方法，采取必要的监测制度，一旦发现地下水遭受污染，就应及时采取措施，防微杜渐</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尽量减少污染物进入地下含水层的机会和数量。</w:t>
      </w:r>
    </w:p>
    <w:p w14:paraId="21939C81">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6.4.5.1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源头控制措施 </w:t>
      </w:r>
    </w:p>
    <w:p w14:paraId="34DD368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为防止项目运行对地下水造成污染，建设单位应先进、成熟、可靠的工艺技术，并对产生的废水进行合理利用和处理，从源头上减少污染物排放。严格按照国家相关规范要求，对工艺、管道、设备、</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储罐、</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设施</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构筑物采取相应的措施，防止和降低污染物的跑、冒、滴、漏，将污染物泄漏的环境风险事故降低到最低程度。优化排水系统设计，各类废水在厂区内收集后通过管线收集至污水池。为此，企业采取以下措施减轻对地下水的污染： </w:t>
      </w:r>
    </w:p>
    <w:p w14:paraId="64FDAB0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①处理和储存油脂的设备应按其物料的性质分类集中布置； </w:t>
      </w:r>
    </w:p>
    <w:p w14:paraId="2D2FA3E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②严格控制生产废水的泄漏，杜绝厂区存在长期事故性排放点源的存在，定期对废水管线、储罐区等进行检查。 </w:t>
      </w:r>
    </w:p>
    <w:p w14:paraId="0D2850A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③</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废弃油脂加工区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储罐区、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设施</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设置于满足防腐防渗要求的地面，四周设置围堰或导流沟； </w:t>
      </w:r>
    </w:p>
    <w:p w14:paraId="623E82A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④生产车间、成品储罐区、危废暂存间、废水处理设施等进行防渗处理，污水输送管道需建立防渗基础。</w:t>
      </w:r>
    </w:p>
    <w:p w14:paraId="337395DC">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6.4.5.2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分区防治措施 </w:t>
      </w:r>
    </w:p>
    <w:p w14:paraId="2D51CFE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根据《环境影响评价技术导则 地下水环境》（HJ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610-2016），本项目划分为重点防渗区、一般防渗区和简单防渗区。 </w:t>
      </w:r>
    </w:p>
    <w:p w14:paraId="1E48DA6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重点防渗区：包括生产车间、储罐区、污水处理站、应急事故池、危废暂存间、沉渣池。危废暂存间应按照《危险废物贮存污染控制标准》（GB</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18597-2023）要求采用混凝土底板+2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mm厚HDPE膜进行防渗（渗透系数 K≤10</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-10</w:t>
      </w:r>
      <w:r>
        <w:rPr>
          <w:rFonts w:hint="eastAsia" w:ascii="Times New Roman" w:hAnsi="Times New Roman" w:eastAsia="宋体" w:cs="Times New Roman"/>
          <w:color w:val="000000" w:themeColor="text1"/>
          <w:u w:val="none" w:color="auto"/>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cm/s），其余构筑物应按照《环境影响评价技术导则</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地下水环境》（HJ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610-2016）重点防渗区的要求。 </w:t>
      </w:r>
    </w:p>
    <w:p w14:paraId="56BA49C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一般防渗区：进出场道路等其他公用单元。按照《环境影响评价技术导则</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地下水环境》（HJ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610-2016）一般防渗区的要求。 </w:t>
      </w:r>
    </w:p>
    <w:p w14:paraId="46742FD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简单防渗区：管理区以及装置区外系统管廊区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等</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。按照《环境影响评价技术导则</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地下水环境》（HJ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610-2016）简单防渗区的要求。</w:t>
      </w:r>
    </w:p>
    <w:p w14:paraId="501E5E13">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本项目分区防渗要求一览表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21"/>
        <w:gridCol w:w="3396"/>
        <w:gridCol w:w="3811"/>
      </w:tblGrid>
      <w:tr w14:paraId="34EE87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pct"/>
            <w:shd w:val="clear" w:color="auto" w:fill="auto"/>
            <w:noWrap/>
            <w:vAlign w:val="center"/>
          </w:tcPr>
          <w:p w14:paraId="7B01150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防渗类型</w:t>
            </w:r>
          </w:p>
        </w:tc>
        <w:tc>
          <w:tcPr>
            <w:tcW w:w="1991" w:type="pct"/>
            <w:shd w:val="clear" w:color="auto" w:fill="auto"/>
            <w:noWrap/>
            <w:vAlign w:val="center"/>
          </w:tcPr>
          <w:p w14:paraId="3992EC4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污染防治区域及部位</w:t>
            </w:r>
          </w:p>
        </w:tc>
        <w:tc>
          <w:tcPr>
            <w:tcW w:w="2234" w:type="pct"/>
            <w:shd w:val="clear" w:color="auto" w:fill="auto"/>
            <w:noWrap/>
            <w:vAlign w:val="center"/>
          </w:tcPr>
          <w:p w14:paraId="5A4C830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防渗技术要求</w:t>
            </w:r>
          </w:p>
        </w:tc>
      </w:tr>
      <w:tr w14:paraId="58B67A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pct"/>
            <w:vMerge w:val="restart"/>
            <w:shd w:val="clear" w:color="auto" w:fill="auto"/>
            <w:noWrap/>
            <w:vAlign w:val="center"/>
          </w:tcPr>
          <w:p w14:paraId="5A70D1B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重点防渗区</w:t>
            </w:r>
          </w:p>
        </w:tc>
        <w:tc>
          <w:tcPr>
            <w:tcW w:w="1991" w:type="pct"/>
            <w:shd w:val="clear" w:color="auto" w:fill="auto"/>
            <w:noWrap/>
            <w:vAlign w:val="center"/>
          </w:tcPr>
          <w:p w14:paraId="5B4AEAA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生产车间、储罐区、污水处理站、应急事故池、沉渣池</w:t>
            </w:r>
          </w:p>
        </w:tc>
        <w:tc>
          <w:tcPr>
            <w:tcW w:w="2234" w:type="pct"/>
            <w:shd w:val="clear" w:color="auto" w:fill="auto"/>
            <w:noWrap/>
            <w:vAlign w:val="center"/>
          </w:tcPr>
          <w:p w14:paraId="6D2CB30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等效黏土防渗层Mb≥6.0 m，K≤1×10</w:t>
            </w:r>
            <w:r>
              <w:rPr>
                <w:rFonts w:hint="default" w:ascii="Times New Roman" w:hAnsi="Times New Roman" w:eastAsia="宋体" w:cs="Times New Roman"/>
                <w:i w:val="0"/>
                <w:iCs w:val="0"/>
                <w:color w:val="000000"/>
                <w:kern w:val="0"/>
                <w:sz w:val="21"/>
                <w:szCs w:val="21"/>
                <w:u w:val="none"/>
                <w:vertAlign w:val="superscript"/>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cm/s，或防渗能力与GB 18597要求等效。</w:t>
            </w:r>
          </w:p>
        </w:tc>
      </w:tr>
      <w:tr w14:paraId="6BE729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pct"/>
            <w:vMerge w:val="continue"/>
            <w:shd w:val="clear" w:color="auto" w:fill="auto"/>
            <w:noWrap/>
            <w:vAlign w:val="center"/>
          </w:tcPr>
          <w:p w14:paraId="0670681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91" w:type="pct"/>
            <w:shd w:val="clear" w:color="auto" w:fill="auto"/>
            <w:noWrap/>
            <w:vAlign w:val="center"/>
          </w:tcPr>
          <w:p w14:paraId="42FE8F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危废暂存间</w:t>
            </w:r>
          </w:p>
        </w:tc>
        <w:tc>
          <w:tcPr>
            <w:tcW w:w="2234" w:type="pct"/>
            <w:shd w:val="clear" w:color="auto" w:fill="auto"/>
            <w:noWrap/>
            <w:vAlign w:val="center"/>
          </w:tcPr>
          <w:p w14:paraId="41EB649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混凝土底板+2 mm厚HDPE膜进行防渗（渗透系数 K≤10</w:t>
            </w:r>
            <w:r>
              <w:rPr>
                <w:rFonts w:hint="default" w:ascii="Times New Roman" w:hAnsi="Times New Roman" w:eastAsia="宋体" w:cs="Times New Roman"/>
                <w:i w:val="0"/>
                <w:iCs w:val="0"/>
                <w:color w:val="000000"/>
                <w:kern w:val="0"/>
                <w:sz w:val="21"/>
                <w:szCs w:val="21"/>
                <w:u w:val="none"/>
                <w:vertAlign w:val="superscript"/>
                <w:lang w:val="en-US" w:eastAsia="zh-CN" w:bidi="ar"/>
              </w:rPr>
              <w:t>-10</w:t>
            </w:r>
            <w:r>
              <w:rPr>
                <w:rFonts w:hint="default" w:ascii="Times New Roman" w:hAnsi="Times New Roman" w:eastAsia="宋体" w:cs="Times New Roman"/>
                <w:i w:val="0"/>
                <w:iCs w:val="0"/>
                <w:color w:val="000000"/>
                <w:kern w:val="0"/>
                <w:sz w:val="21"/>
                <w:szCs w:val="21"/>
                <w:u w:val="none"/>
                <w:lang w:val="en-US" w:eastAsia="zh-CN" w:bidi="ar"/>
              </w:rPr>
              <w:t xml:space="preserve"> cm/s）</w:t>
            </w:r>
          </w:p>
        </w:tc>
      </w:tr>
      <w:tr w14:paraId="0DC713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pct"/>
            <w:shd w:val="clear" w:color="auto" w:fill="auto"/>
            <w:noWrap/>
            <w:vAlign w:val="center"/>
          </w:tcPr>
          <w:p w14:paraId="11D901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一般防渗区</w:t>
            </w:r>
          </w:p>
        </w:tc>
        <w:tc>
          <w:tcPr>
            <w:tcW w:w="1991" w:type="pct"/>
            <w:shd w:val="clear" w:color="auto" w:fill="auto"/>
            <w:noWrap/>
            <w:vAlign w:val="center"/>
          </w:tcPr>
          <w:p w14:paraId="07285B2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进出场道路等其他公用单元</w:t>
            </w:r>
          </w:p>
        </w:tc>
        <w:tc>
          <w:tcPr>
            <w:tcW w:w="2234" w:type="pct"/>
            <w:shd w:val="clear" w:color="auto" w:fill="auto"/>
            <w:noWrap/>
            <w:vAlign w:val="center"/>
          </w:tcPr>
          <w:p w14:paraId="017CB9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等效黏土防渗层Mb≥1.5 m，K≤1×10</w:t>
            </w:r>
            <w:r>
              <w:rPr>
                <w:rFonts w:hint="default" w:ascii="Times New Roman" w:hAnsi="Times New Roman" w:eastAsia="宋体" w:cs="Times New Roman"/>
                <w:i w:val="0"/>
                <w:iCs w:val="0"/>
                <w:color w:val="000000"/>
                <w:kern w:val="0"/>
                <w:sz w:val="21"/>
                <w:szCs w:val="21"/>
                <w:u w:val="none"/>
                <w:vertAlign w:val="superscript"/>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cm/s；或参考GB 16689执行。</w:t>
            </w:r>
          </w:p>
        </w:tc>
      </w:tr>
      <w:tr w14:paraId="6C3990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4" w:type="pct"/>
            <w:shd w:val="clear" w:color="auto" w:fill="auto"/>
            <w:noWrap/>
            <w:vAlign w:val="center"/>
          </w:tcPr>
          <w:p w14:paraId="31F9540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简单防渗区</w:t>
            </w:r>
          </w:p>
        </w:tc>
        <w:tc>
          <w:tcPr>
            <w:tcW w:w="1991" w:type="pct"/>
            <w:shd w:val="clear" w:color="auto" w:fill="auto"/>
            <w:noWrap/>
            <w:vAlign w:val="center"/>
          </w:tcPr>
          <w:p w14:paraId="1E68042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管理区以及装置区外系统管廊区等</w:t>
            </w:r>
          </w:p>
        </w:tc>
        <w:tc>
          <w:tcPr>
            <w:tcW w:w="2234" w:type="pct"/>
            <w:shd w:val="clear" w:color="auto" w:fill="auto"/>
            <w:noWrap/>
            <w:vAlign w:val="center"/>
          </w:tcPr>
          <w:p w14:paraId="211FC0E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地面硬化</w:t>
            </w:r>
          </w:p>
        </w:tc>
      </w:tr>
    </w:tbl>
    <w:p w14:paraId="75763DD3">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bCs/>
          <w:color w:val="FF0000"/>
          <w:u w:val="none" w:color="auto"/>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26" w:charSpace="0"/>
        </w:sectPr>
      </w:pPr>
    </w:p>
    <w:p w14:paraId="201BC348">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45" w:name="_Toc405"/>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5 运营期声环境影响分析</w:t>
      </w:r>
      <w:bookmarkEnd w:id="334"/>
      <w:bookmarkEnd w:id="335"/>
      <w:bookmarkEnd w:id="345"/>
    </w:p>
    <w:p w14:paraId="641F6EC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46" w:name="_Toc204350745"/>
      <w:bookmarkStart w:id="347" w:name="_Toc2776"/>
      <w:bookmarkStart w:id="348" w:name="_Toc199518039"/>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5.1 主要噪声源</w:t>
      </w:r>
      <w:bookmarkEnd w:id="346"/>
      <w:bookmarkEnd w:id="347"/>
      <w:bookmarkEnd w:id="348"/>
    </w:p>
    <w:p w14:paraId="24E9CF64">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5-1  本项目主要噪声源（室内声源）</w:t>
      </w:r>
    </w:p>
    <w:tbl>
      <w:tblPr>
        <w:tblStyle w:val="37"/>
        <w:tblW w:w="5007"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619"/>
        <w:gridCol w:w="1062"/>
        <w:gridCol w:w="1213"/>
        <w:gridCol w:w="1308"/>
        <w:gridCol w:w="600"/>
        <w:gridCol w:w="600"/>
        <w:gridCol w:w="1362"/>
        <w:gridCol w:w="510"/>
        <w:gridCol w:w="510"/>
        <w:gridCol w:w="552"/>
        <w:gridCol w:w="563"/>
        <w:gridCol w:w="563"/>
        <w:gridCol w:w="563"/>
        <w:gridCol w:w="577"/>
        <w:gridCol w:w="563"/>
        <w:gridCol w:w="563"/>
        <w:gridCol w:w="563"/>
        <w:gridCol w:w="588"/>
        <w:gridCol w:w="602"/>
        <w:gridCol w:w="527"/>
      </w:tblGrid>
      <w:tr w14:paraId="03225C64">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1" w:type="pct"/>
            <w:vMerge w:val="restart"/>
            <w:vAlign w:val="center"/>
          </w:tcPr>
          <w:p w14:paraId="4951A2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379" w:type="pct"/>
            <w:vMerge w:val="restart"/>
            <w:vAlign w:val="center"/>
          </w:tcPr>
          <w:p w14:paraId="7C46CD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建筑物</w:t>
            </w:r>
          </w:p>
        </w:tc>
        <w:tc>
          <w:tcPr>
            <w:tcW w:w="433" w:type="pct"/>
            <w:vMerge w:val="restart"/>
            <w:vAlign w:val="center"/>
          </w:tcPr>
          <w:p w14:paraId="015014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噪声源</w:t>
            </w:r>
          </w:p>
        </w:tc>
        <w:tc>
          <w:tcPr>
            <w:tcW w:w="467" w:type="pct"/>
            <w:vMerge w:val="restart"/>
            <w:vAlign w:val="center"/>
          </w:tcPr>
          <w:p w14:paraId="1365CA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型号</w:t>
            </w:r>
          </w:p>
        </w:tc>
        <w:tc>
          <w:tcPr>
            <w:tcW w:w="214" w:type="pct"/>
            <w:vMerge w:val="restart"/>
            <w:vAlign w:val="center"/>
          </w:tcPr>
          <w:p w14:paraId="6CC7E8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声功率级/dB（A）</w:t>
            </w:r>
          </w:p>
        </w:tc>
        <w:tc>
          <w:tcPr>
            <w:tcW w:w="214" w:type="pct"/>
            <w:vMerge w:val="restart"/>
            <w:vAlign w:val="center"/>
          </w:tcPr>
          <w:p w14:paraId="268351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数量</w:t>
            </w:r>
          </w:p>
        </w:tc>
        <w:tc>
          <w:tcPr>
            <w:tcW w:w="486" w:type="pct"/>
            <w:vMerge w:val="restart"/>
            <w:vAlign w:val="center"/>
          </w:tcPr>
          <w:p w14:paraId="1F7BA2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声源控制措施</w:t>
            </w:r>
          </w:p>
        </w:tc>
        <w:tc>
          <w:tcPr>
            <w:tcW w:w="561" w:type="pct"/>
            <w:gridSpan w:val="3"/>
            <w:vAlign w:val="center"/>
          </w:tcPr>
          <w:p w14:paraId="7C5165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空间相对位置/m</w:t>
            </w:r>
          </w:p>
        </w:tc>
        <w:tc>
          <w:tcPr>
            <w:tcW w:w="809" w:type="pct"/>
            <w:gridSpan w:val="4"/>
            <w:vAlign w:val="center"/>
          </w:tcPr>
          <w:p w14:paraId="66EFDB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距室内边界距离/m</w:t>
            </w:r>
          </w:p>
        </w:tc>
        <w:tc>
          <w:tcPr>
            <w:tcW w:w="813" w:type="pct"/>
            <w:gridSpan w:val="4"/>
            <w:vAlign w:val="center"/>
          </w:tcPr>
          <w:p w14:paraId="0CCD89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室内边界声级/dB（A</w:t>
            </w:r>
          </w:p>
        </w:tc>
        <w:tc>
          <w:tcPr>
            <w:tcW w:w="215" w:type="pct"/>
            <w:vMerge w:val="restart"/>
            <w:vAlign w:val="center"/>
          </w:tcPr>
          <w:p w14:paraId="0C1BEC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建筑物插入损失/dB（A）</w:t>
            </w:r>
          </w:p>
        </w:tc>
        <w:tc>
          <w:tcPr>
            <w:tcW w:w="184" w:type="pct"/>
            <w:vMerge w:val="restart"/>
            <w:vAlign w:val="center"/>
          </w:tcPr>
          <w:p w14:paraId="1BA8AA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运行时段</w:t>
            </w:r>
          </w:p>
        </w:tc>
      </w:tr>
      <w:tr w14:paraId="53C37FC8">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1" w:type="pct"/>
            <w:vMerge w:val="continue"/>
            <w:vAlign w:val="center"/>
          </w:tcPr>
          <w:p w14:paraId="0C50DF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79" w:type="pct"/>
            <w:vMerge w:val="continue"/>
            <w:vAlign w:val="center"/>
          </w:tcPr>
          <w:p w14:paraId="700730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3" w:type="pct"/>
            <w:vMerge w:val="continue"/>
            <w:vAlign w:val="center"/>
          </w:tcPr>
          <w:p w14:paraId="48BC80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67" w:type="pct"/>
            <w:vMerge w:val="continue"/>
            <w:vAlign w:val="center"/>
          </w:tcPr>
          <w:p w14:paraId="49F0E63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4" w:type="pct"/>
            <w:vMerge w:val="continue"/>
            <w:vAlign w:val="center"/>
          </w:tcPr>
          <w:p w14:paraId="1E8C46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4" w:type="pct"/>
            <w:vMerge w:val="continue"/>
            <w:vAlign w:val="center"/>
          </w:tcPr>
          <w:p w14:paraId="7FA635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86" w:type="pct"/>
            <w:vMerge w:val="continue"/>
            <w:vAlign w:val="center"/>
          </w:tcPr>
          <w:p w14:paraId="52D240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82" w:type="pct"/>
            <w:vAlign w:val="center"/>
          </w:tcPr>
          <w:p w14:paraId="471CAF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X</w:t>
            </w:r>
          </w:p>
        </w:tc>
        <w:tc>
          <w:tcPr>
            <w:tcW w:w="182" w:type="pct"/>
            <w:vAlign w:val="center"/>
          </w:tcPr>
          <w:p w14:paraId="5C684E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Y</w:t>
            </w:r>
          </w:p>
        </w:tc>
        <w:tc>
          <w:tcPr>
            <w:tcW w:w="197" w:type="pct"/>
            <w:vAlign w:val="center"/>
          </w:tcPr>
          <w:p w14:paraId="23D41AB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Z</w:t>
            </w:r>
          </w:p>
        </w:tc>
        <w:tc>
          <w:tcPr>
            <w:tcW w:w="201" w:type="pct"/>
            <w:vAlign w:val="center"/>
          </w:tcPr>
          <w:p w14:paraId="115374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东</w:t>
            </w:r>
          </w:p>
        </w:tc>
        <w:tc>
          <w:tcPr>
            <w:tcW w:w="201" w:type="pct"/>
            <w:vAlign w:val="center"/>
          </w:tcPr>
          <w:p w14:paraId="70A008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南</w:t>
            </w:r>
          </w:p>
        </w:tc>
        <w:tc>
          <w:tcPr>
            <w:tcW w:w="201" w:type="pct"/>
            <w:vAlign w:val="center"/>
          </w:tcPr>
          <w:p w14:paraId="4CDC82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西</w:t>
            </w:r>
          </w:p>
        </w:tc>
        <w:tc>
          <w:tcPr>
            <w:tcW w:w="205" w:type="pct"/>
            <w:vAlign w:val="center"/>
          </w:tcPr>
          <w:p w14:paraId="17D836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北</w:t>
            </w:r>
          </w:p>
        </w:tc>
        <w:tc>
          <w:tcPr>
            <w:tcW w:w="201" w:type="pct"/>
            <w:vAlign w:val="center"/>
          </w:tcPr>
          <w:p w14:paraId="3220B0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东</w:t>
            </w:r>
          </w:p>
        </w:tc>
        <w:tc>
          <w:tcPr>
            <w:tcW w:w="201" w:type="pct"/>
            <w:vAlign w:val="center"/>
          </w:tcPr>
          <w:p w14:paraId="7CB6282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南</w:t>
            </w:r>
          </w:p>
        </w:tc>
        <w:tc>
          <w:tcPr>
            <w:tcW w:w="201" w:type="pct"/>
            <w:vAlign w:val="center"/>
          </w:tcPr>
          <w:p w14:paraId="61D8EB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西</w:t>
            </w:r>
          </w:p>
        </w:tc>
        <w:tc>
          <w:tcPr>
            <w:tcW w:w="209" w:type="pct"/>
            <w:vAlign w:val="center"/>
          </w:tcPr>
          <w:p w14:paraId="3B4F67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北</w:t>
            </w:r>
          </w:p>
        </w:tc>
        <w:tc>
          <w:tcPr>
            <w:tcW w:w="215" w:type="pct"/>
            <w:vMerge w:val="continue"/>
            <w:vAlign w:val="center"/>
          </w:tcPr>
          <w:p w14:paraId="6715EE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84" w:type="pct"/>
            <w:vMerge w:val="continue"/>
            <w:vAlign w:val="center"/>
          </w:tcPr>
          <w:p w14:paraId="5424E0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D7ACC1B">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1" w:type="pct"/>
            <w:vAlign w:val="center"/>
          </w:tcPr>
          <w:p w14:paraId="09E8A5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379" w:type="pct"/>
            <w:vMerge w:val="restart"/>
            <w:vAlign w:val="center"/>
          </w:tcPr>
          <w:p w14:paraId="2A5437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w:t>
            </w:r>
          </w:p>
        </w:tc>
        <w:tc>
          <w:tcPr>
            <w:tcW w:w="433" w:type="pct"/>
            <w:vAlign w:val="center"/>
          </w:tcPr>
          <w:p w14:paraId="43662F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三相分离机</w:t>
            </w:r>
          </w:p>
        </w:tc>
        <w:tc>
          <w:tcPr>
            <w:tcW w:w="467" w:type="pct"/>
            <w:vAlign w:val="center"/>
          </w:tcPr>
          <w:p w14:paraId="48EBC6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XTLWS-350卧式螺旋卸料沉降离心机</w:t>
            </w:r>
          </w:p>
        </w:tc>
        <w:tc>
          <w:tcPr>
            <w:tcW w:w="214" w:type="pct"/>
            <w:vAlign w:val="center"/>
          </w:tcPr>
          <w:p w14:paraId="55464D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214" w:type="pct"/>
            <w:vAlign w:val="center"/>
          </w:tcPr>
          <w:p w14:paraId="701E21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10C9B2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vAlign w:val="center"/>
          </w:tcPr>
          <w:p w14:paraId="2296AF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37</w:t>
            </w:r>
          </w:p>
        </w:tc>
        <w:tc>
          <w:tcPr>
            <w:tcW w:w="182" w:type="pct"/>
            <w:vAlign w:val="center"/>
          </w:tcPr>
          <w:p w14:paraId="3C9918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48</w:t>
            </w:r>
          </w:p>
        </w:tc>
        <w:tc>
          <w:tcPr>
            <w:tcW w:w="197" w:type="pct"/>
            <w:vAlign w:val="center"/>
          </w:tcPr>
          <w:p w14:paraId="57387B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201" w:type="pct"/>
            <w:vAlign w:val="center"/>
          </w:tcPr>
          <w:p w14:paraId="65E75D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w:t>
            </w:r>
          </w:p>
        </w:tc>
        <w:tc>
          <w:tcPr>
            <w:tcW w:w="201" w:type="pct"/>
            <w:vAlign w:val="center"/>
          </w:tcPr>
          <w:p w14:paraId="374FD3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19</w:t>
            </w:r>
          </w:p>
        </w:tc>
        <w:tc>
          <w:tcPr>
            <w:tcW w:w="201" w:type="pct"/>
            <w:vAlign w:val="center"/>
          </w:tcPr>
          <w:p w14:paraId="79F0E55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205" w:type="pct"/>
            <w:vAlign w:val="center"/>
          </w:tcPr>
          <w:p w14:paraId="2E60E7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201" w:type="pct"/>
            <w:vAlign w:val="center"/>
          </w:tcPr>
          <w:p w14:paraId="46DD5B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32.4</w:t>
            </w:r>
          </w:p>
        </w:tc>
        <w:tc>
          <w:tcPr>
            <w:tcW w:w="201" w:type="pct"/>
            <w:vAlign w:val="center"/>
          </w:tcPr>
          <w:p w14:paraId="3EEE2F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38.4</w:t>
            </w:r>
          </w:p>
        </w:tc>
        <w:tc>
          <w:tcPr>
            <w:tcW w:w="201" w:type="pct"/>
            <w:vAlign w:val="center"/>
          </w:tcPr>
          <w:p w14:paraId="465EBD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50.0</w:t>
            </w:r>
          </w:p>
        </w:tc>
        <w:tc>
          <w:tcPr>
            <w:tcW w:w="209" w:type="pct"/>
            <w:vAlign w:val="center"/>
          </w:tcPr>
          <w:p w14:paraId="1635CD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52.0</w:t>
            </w:r>
          </w:p>
        </w:tc>
        <w:tc>
          <w:tcPr>
            <w:tcW w:w="215" w:type="pct"/>
            <w:vAlign w:val="center"/>
          </w:tcPr>
          <w:p w14:paraId="116A3C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184" w:type="pct"/>
            <w:vMerge w:val="restart"/>
            <w:vAlign w:val="center"/>
          </w:tcPr>
          <w:p w14:paraId="7A51CE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昼间8 h</w:t>
            </w:r>
          </w:p>
        </w:tc>
      </w:tr>
      <w:tr w14:paraId="1C223AFE">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1" w:type="pct"/>
            <w:vAlign w:val="center"/>
          </w:tcPr>
          <w:p w14:paraId="07029D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379" w:type="pct"/>
            <w:vMerge w:val="continue"/>
            <w:vAlign w:val="center"/>
          </w:tcPr>
          <w:p w14:paraId="44F5C1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433" w:type="pct"/>
            <w:vAlign w:val="center"/>
          </w:tcPr>
          <w:p w14:paraId="64A9A4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加工区油泵</w:t>
            </w:r>
          </w:p>
        </w:tc>
        <w:tc>
          <w:tcPr>
            <w:tcW w:w="467" w:type="pct"/>
            <w:vAlign w:val="center"/>
          </w:tcPr>
          <w:p w14:paraId="7EC6DB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214" w:type="pct"/>
            <w:vAlign w:val="center"/>
          </w:tcPr>
          <w:p w14:paraId="63B7C7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85</w:t>
            </w:r>
          </w:p>
        </w:tc>
        <w:tc>
          <w:tcPr>
            <w:tcW w:w="214" w:type="pct"/>
            <w:vAlign w:val="center"/>
          </w:tcPr>
          <w:p w14:paraId="01A9C3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10A3264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vAlign w:val="center"/>
          </w:tcPr>
          <w:p w14:paraId="2DE3A8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45</w:t>
            </w:r>
          </w:p>
        </w:tc>
        <w:tc>
          <w:tcPr>
            <w:tcW w:w="182" w:type="pct"/>
            <w:vAlign w:val="center"/>
          </w:tcPr>
          <w:p w14:paraId="2BC875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w:t>
            </w:r>
          </w:p>
        </w:tc>
        <w:tc>
          <w:tcPr>
            <w:tcW w:w="197" w:type="pct"/>
            <w:vAlign w:val="center"/>
          </w:tcPr>
          <w:p w14:paraId="1F8B62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201" w:type="pct"/>
            <w:vAlign w:val="center"/>
          </w:tcPr>
          <w:p w14:paraId="33208C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29</w:t>
            </w:r>
          </w:p>
        </w:tc>
        <w:tc>
          <w:tcPr>
            <w:tcW w:w="201" w:type="pct"/>
            <w:vAlign w:val="center"/>
          </w:tcPr>
          <w:p w14:paraId="469D4B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w:t>
            </w:r>
          </w:p>
        </w:tc>
        <w:tc>
          <w:tcPr>
            <w:tcW w:w="201" w:type="pct"/>
            <w:vAlign w:val="center"/>
          </w:tcPr>
          <w:p w14:paraId="101B35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13</w:t>
            </w:r>
          </w:p>
        </w:tc>
        <w:tc>
          <w:tcPr>
            <w:tcW w:w="205" w:type="pct"/>
            <w:vAlign w:val="center"/>
          </w:tcPr>
          <w:p w14:paraId="1BB13E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w:t>
            </w:r>
          </w:p>
        </w:tc>
        <w:tc>
          <w:tcPr>
            <w:tcW w:w="201" w:type="pct"/>
            <w:vAlign w:val="center"/>
          </w:tcPr>
          <w:p w14:paraId="4B565A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30.8</w:t>
            </w:r>
          </w:p>
        </w:tc>
        <w:tc>
          <w:tcPr>
            <w:tcW w:w="201" w:type="pct"/>
            <w:vAlign w:val="center"/>
          </w:tcPr>
          <w:p w14:paraId="331E0C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35.4</w:t>
            </w:r>
          </w:p>
        </w:tc>
        <w:tc>
          <w:tcPr>
            <w:tcW w:w="201" w:type="pct"/>
            <w:vAlign w:val="center"/>
          </w:tcPr>
          <w:p w14:paraId="53A999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37.7</w:t>
            </w:r>
          </w:p>
        </w:tc>
        <w:tc>
          <w:tcPr>
            <w:tcW w:w="209" w:type="pct"/>
            <w:vAlign w:val="center"/>
          </w:tcPr>
          <w:p w14:paraId="2256D7C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43.1</w:t>
            </w:r>
          </w:p>
        </w:tc>
        <w:tc>
          <w:tcPr>
            <w:tcW w:w="215" w:type="pct"/>
            <w:vAlign w:val="center"/>
          </w:tcPr>
          <w:p w14:paraId="1532A2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84" w:type="pct"/>
            <w:vMerge w:val="continue"/>
            <w:vAlign w:val="center"/>
          </w:tcPr>
          <w:p w14:paraId="191067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FAF8C97">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1" w:type="pct"/>
            <w:vAlign w:val="center"/>
          </w:tcPr>
          <w:p w14:paraId="368F1B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379" w:type="pct"/>
            <w:vMerge w:val="continue"/>
            <w:vAlign w:val="center"/>
          </w:tcPr>
          <w:p w14:paraId="6A50C5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3" w:type="pct"/>
            <w:vAlign w:val="center"/>
          </w:tcPr>
          <w:p w14:paraId="08CC44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成品区油泵</w:t>
            </w:r>
          </w:p>
        </w:tc>
        <w:tc>
          <w:tcPr>
            <w:tcW w:w="467" w:type="pct"/>
            <w:vAlign w:val="center"/>
          </w:tcPr>
          <w:p w14:paraId="573BEB9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214" w:type="pct"/>
            <w:vAlign w:val="center"/>
          </w:tcPr>
          <w:p w14:paraId="3F3DEE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214" w:type="pct"/>
            <w:vAlign w:val="center"/>
          </w:tcPr>
          <w:p w14:paraId="6E4172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5F8DBB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vAlign w:val="center"/>
          </w:tcPr>
          <w:p w14:paraId="6E2F4D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56</w:t>
            </w:r>
          </w:p>
        </w:tc>
        <w:tc>
          <w:tcPr>
            <w:tcW w:w="182" w:type="pct"/>
            <w:vAlign w:val="center"/>
          </w:tcPr>
          <w:p w14:paraId="19AC36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46</w:t>
            </w:r>
          </w:p>
        </w:tc>
        <w:tc>
          <w:tcPr>
            <w:tcW w:w="197" w:type="pct"/>
            <w:vAlign w:val="center"/>
          </w:tcPr>
          <w:p w14:paraId="056746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0.5</w:t>
            </w:r>
          </w:p>
        </w:tc>
        <w:tc>
          <w:tcPr>
            <w:tcW w:w="201" w:type="pct"/>
            <w:vAlign w:val="center"/>
          </w:tcPr>
          <w:p w14:paraId="79BA00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18</w:t>
            </w:r>
          </w:p>
        </w:tc>
        <w:tc>
          <w:tcPr>
            <w:tcW w:w="201" w:type="pct"/>
            <w:vAlign w:val="center"/>
          </w:tcPr>
          <w:p w14:paraId="27C798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p>
        </w:tc>
        <w:tc>
          <w:tcPr>
            <w:tcW w:w="201" w:type="pct"/>
            <w:vAlign w:val="center"/>
          </w:tcPr>
          <w:p w14:paraId="501C44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24</w:t>
            </w:r>
          </w:p>
        </w:tc>
        <w:tc>
          <w:tcPr>
            <w:tcW w:w="205" w:type="pct"/>
            <w:vAlign w:val="center"/>
          </w:tcPr>
          <w:p w14:paraId="16C3042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w:t>
            </w:r>
          </w:p>
        </w:tc>
        <w:tc>
          <w:tcPr>
            <w:tcW w:w="201" w:type="pct"/>
            <w:vAlign w:val="center"/>
          </w:tcPr>
          <w:p w14:paraId="6EEE8E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53.9</w:t>
            </w:r>
          </w:p>
        </w:tc>
        <w:tc>
          <w:tcPr>
            <w:tcW w:w="201" w:type="pct"/>
            <w:vAlign w:val="center"/>
          </w:tcPr>
          <w:p w14:paraId="243ACB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61.0</w:t>
            </w:r>
          </w:p>
        </w:tc>
        <w:tc>
          <w:tcPr>
            <w:tcW w:w="201" w:type="pct"/>
            <w:vAlign w:val="center"/>
          </w:tcPr>
          <w:p w14:paraId="1F7630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51.4</w:t>
            </w:r>
          </w:p>
        </w:tc>
        <w:tc>
          <w:tcPr>
            <w:tcW w:w="209" w:type="pct"/>
            <w:vAlign w:val="center"/>
          </w:tcPr>
          <w:p w14:paraId="4C0852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54.4</w:t>
            </w:r>
          </w:p>
        </w:tc>
        <w:tc>
          <w:tcPr>
            <w:tcW w:w="215" w:type="pct"/>
            <w:vAlign w:val="center"/>
          </w:tcPr>
          <w:p w14:paraId="34EF0C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15</w:t>
            </w:r>
          </w:p>
        </w:tc>
        <w:tc>
          <w:tcPr>
            <w:tcW w:w="184" w:type="pct"/>
            <w:vMerge w:val="continue"/>
            <w:vAlign w:val="center"/>
          </w:tcPr>
          <w:p w14:paraId="4A3D7E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6CE16C4">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1" w:type="pct"/>
            <w:vAlign w:val="center"/>
          </w:tcPr>
          <w:p w14:paraId="26394E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379" w:type="pct"/>
            <w:vMerge w:val="continue"/>
            <w:vAlign w:val="center"/>
          </w:tcPr>
          <w:p w14:paraId="49C102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3" w:type="pct"/>
            <w:vAlign w:val="center"/>
          </w:tcPr>
          <w:p w14:paraId="0D0A36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加工区风机</w:t>
            </w:r>
          </w:p>
        </w:tc>
        <w:tc>
          <w:tcPr>
            <w:tcW w:w="467" w:type="pct"/>
            <w:vAlign w:val="center"/>
          </w:tcPr>
          <w:p w14:paraId="408CBF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214" w:type="pct"/>
            <w:vAlign w:val="center"/>
          </w:tcPr>
          <w:p w14:paraId="5E498B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214" w:type="pct"/>
            <w:vAlign w:val="center"/>
          </w:tcPr>
          <w:p w14:paraId="78001B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543B2D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vAlign w:val="center"/>
          </w:tcPr>
          <w:p w14:paraId="6C494A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53</w:t>
            </w:r>
          </w:p>
        </w:tc>
        <w:tc>
          <w:tcPr>
            <w:tcW w:w="182" w:type="pct"/>
            <w:vAlign w:val="center"/>
          </w:tcPr>
          <w:p w14:paraId="03EDB6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56</w:t>
            </w:r>
          </w:p>
        </w:tc>
        <w:tc>
          <w:tcPr>
            <w:tcW w:w="197" w:type="pct"/>
            <w:vAlign w:val="center"/>
          </w:tcPr>
          <w:p w14:paraId="724A20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201" w:type="pct"/>
            <w:vAlign w:val="center"/>
          </w:tcPr>
          <w:p w14:paraId="16B756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18</w:t>
            </w:r>
          </w:p>
        </w:tc>
        <w:tc>
          <w:tcPr>
            <w:tcW w:w="201" w:type="pct"/>
            <w:vAlign w:val="center"/>
          </w:tcPr>
          <w:p w14:paraId="0DFA4C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19</w:t>
            </w:r>
          </w:p>
        </w:tc>
        <w:tc>
          <w:tcPr>
            <w:tcW w:w="201" w:type="pct"/>
            <w:vAlign w:val="center"/>
          </w:tcPr>
          <w:p w14:paraId="01316F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14</w:t>
            </w:r>
          </w:p>
        </w:tc>
        <w:tc>
          <w:tcPr>
            <w:tcW w:w="205" w:type="pct"/>
            <w:vAlign w:val="center"/>
          </w:tcPr>
          <w:p w14:paraId="56FD6A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201" w:type="pct"/>
            <w:vAlign w:val="center"/>
          </w:tcPr>
          <w:p w14:paraId="744356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38.9</w:t>
            </w:r>
          </w:p>
        </w:tc>
        <w:tc>
          <w:tcPr>
            <w:tcW w:w="201" w:type="pct"/>
            <w:vAlign w:val="center"/>
          </w:tcPr>
          <w:p w14:paraId="3AFFE79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38.4</w:t>
            </w:r>
          </w:p>
        </w:tc>
        <w:tc>
          <w:tcPr>
            <w:tcW w:w="201" w:type="pct"/>
            <w:vAlign w:val="center"/>
          </w:tcPr>
          <w:p w14:paraId="1B0EDB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41.1</w:t>
            </w:r>
          </w:p>
        </w:tc>
        <w:tc>
          <w:tcPr>
            <w:tcW w:w="209" w:type="pct"/>
            <w:vAlign w:val="center"/>
          </w:tcPr>
          <w:p w14:paraId="4351B5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50.0</w:t>
            </w:r>
          </w:p>
        </w:tc>
        <w:tc>
          <w:tcPr>
            <w:tcW w:w="215" w:type="pct"/>
            <w:vAlign w:val="center"/>
          </w:tcPr>
          <w:p w14:paraId="676DB6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84" w:type="pct"/>
            <w:vAlign w:val="center"/>
          </w:tcPr>
          <w:p w14:paraId="4C30CE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p>
        </w:tc>
      </w:tr>
      <w:tr w14:paraId="6560A7B1">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221" w:type="pct"/>
            <w:vAlign w:val="center"/>
          </w:tcPr>
          <w:p w14:paraId="591D901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c>
          <w:tcPr>
            <w:tcW w:w="379" w:type="pct"/>
            <w:vMerge w:val="continue"/>
            <w:vAlign w:val="center"/>
          </w:tcPr>
          <w:p w14:paraId="09D5D3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33" w:type="pct"/>
            <w:vAlign w:val="center"/>
          </w:tcPr>
          <w:p w14:paraId="0E65B5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成品区风机</w:t>
            </w:r>
          </w:p>
        </w:tc>
        <w:tc>
          <w:tcPr>
            <w:tcW w:w="467" w:type="pct"/>
            <w:vAlign w:val="center"/>
          </w:tcPr>
          <w:p w14:paraId="7B8A22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c>
          <w:tcPr>
            <w:tcW w:w="214" w:type="pct"/>
            <w:vAlign w:val="center"/>
          </w:tcPr>
          <w:p w14:paraId="731A34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214" w:type="pct"/>
            <w:vAlign w:val="center"/>
          </w:tcPr>
          <w:p w14:paraId="1214D3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台</w:t>
            </w:r>
          </w:p>
        </w:tc>
        <w:tc>
          <w:tcPr>
            <w:tcW w:w="486" w:type="pct"/>
            <w:vAlign w:val="center"/>
          </w:tcPr>
          <w:p w14:paraId="22420A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82" w:type="pct"/>
            <w:vAlign w:val="center"/>
          </w:tcPr>
          <w:p w14:paraId="0AE509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57</w:t>
            </w:r>
          </w:p>
        </w:tc>
        <w:tc>
          <w:tcPr>
            <w:tcW w:w="182" w:type="pct"/>
            <w:vAlign w:val="center"/>
          </w:tcPr>
          <w:p w14:paraId="74BE0D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48</w:t>
            </w:r>
          </w:p>
        </w:tc>
        <w:tc>
          <w:tcPr>
            <w:tcW w:w="197" w:type="pct"/>
            <w:vAlign w:val="center"/>
          </w:tcPr>
          <w:p w14:paraId="5C82CC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p>
        </w:tc>
        <w:tc>
          <w:tcPr>
            <w:tcW w:w="201" w:type="pct"/>
            <w:vAlign w:val="center"/>
          </w:tcPr>
          <w:p w14:paraId="45891B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17</w:t>
            </w:r>
          </w:p>
        </w:tc>
        <w:tc>
          <w:tcPr>
            <w:tcW w:w="201" w:type="pct"/>
            <w:vAlign w:val="center"/>
          </w:tcPr>
          <w:p w14:paraId="419E04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p>
        </w:tc>
        <w:tc>
          <w:tcPr>
            <w:tcW w:w="201" w:type="pct"/>
            <w:vAlign w:val="center"/>
          </w:tcPr>
          <w:p w14:paraId="7CC361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25</w:t>
            </w:r>
          </w:p>
        </w:tc>
        <w:tc>
          <w:tcPr>
            <w:tcW w:w="205" w:type="pct"/>
            <w:vAlign w:val="center"/>
          </w:tcPr>
          <w:p w14:paraId="23FF0C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201" w:type="pct"/>
            <w:vAlign w:val="center"/>
          </w:tcPr>
          <w:p w14:paraId="2052D7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39.4</w:t>
            </w:r>
          </w:p>
        </w:tc>
        <w:tc>
          <w:tcPr>
            <w:tcW w:w="201" w:type="pct"/>
            <w:vAlign w:val="center"/>
          </w:tcPr>
          <w:p w14:paraId="7DF68A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44.9</w:t>
            </w:r>
          </w:p>
        </w:tc>
        <w:tc>
          <w:tcPr>
            <w:tcW w:w="201" w:type="pct"/>
            <w:vAlign w:val="center"/>
          </w:tcPr>
          <w:p w14:paraId="673FAD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36.1</w:t>
            </w:r>
          </w:p>
        </w:tc>
        <w:tc>
          <w:tcPr>
            <w:tcW w:w="209" w:type="pct"/>
            <w:vAlign w:val="center"/>
          </w:tcPr>
          <w:p w14:paraId="3AFBC69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40.5</w:t>
            </w:r>
          </w:p>
        </w:tc>
        <w:tc>
          <w:tcPr>
            <w:tcW w:w="215" w:type="pct"/>
            <w:vAlign w:val="center"/>
          </w:tcPr>
          <w:p w14:paraId="25472E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15</w:t>
            </w:r>
          </w:p>
        </w:tc>
        <w:tc>
          <w:tcPr>
            <w:tcW w:w="184" w:type="pct"/>
            <w:vAlign w:val="center"/>
          </w:tcPr>
          <w:p w14:paraId="3BB78F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p>
        </w:tc>
      </w:tr>
      <w:tr w14:paraId="4E937FD5">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567" w:hRule="atLeast"/>
          <w:jc w:val="center"/>
        </w:trPr>
        <w:tc>
          <w:tcPr>
            <w:tcW w:w="5000" w:type="pct"/>
            <w:gridSpan w:val="20"/>
            <w:vAlign w:val="center"/>
          </w:tcPr>
          <w:p w14:paraId="159A1DC9">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备注：以项目厂界西南边界（113°16′21.921″，28°47′7.613″）为坐标原点，正东向为X轴正方向，正北向为Y轴正方向。</w:t>
            </w:r>
          </w:p>
        </w:tc>
      </w:tr>
    </w:tbl>
    <w:p w14:paraId="2B8D2E74">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5-2  本项目主要噪声源（室外声源）</w:t>
      </w:r>
    </w:p>
    <w:tbl>
      <w:tblPr>
        <w:tblStyle w:val="37"/>
        <w:tblW w:w="500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733"/>
        <w:gridCol w:w="2126"/>
        <w:gridCol w:w="1550"/>
        <w:gridCol w:w="2127"/>
        <w:gridCol w:w="1149"/>
        <w:gridCol w:w="936"/>
        <w:gridCol w:w="947"/>
        <w:gridCol w:w="1180"/>
        <w:gridCol w:w="2760"/>
        <w:gridCol w:w="502"/>
      </w:tblGrid>
      <w:tr w14:paraId="5E7E75A6">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2" w:type="pct"/>
            <w:vMerge w:val="restart"/>
            <w:vAlign w:val="center"/>
          </w:tcPr>
          <w:p w14:paraId="2831CC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759" w:type="pct"/>
            <w:vMerge w:val="restart"/>
            <w:vAlign w:val="center"/>
          </w:tcPr>
          <w:p w14:paraId="6AB269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噪声源</w:t>
            </w:r>
          </w:p>
        </w:tc>
        <w:tc>
          <w:tcPr>
            <w:tcW w:w="553" w:type="pct"/>
            <w:vMerge w:val="restart"/>
            <w:vAlign w:val="center"/>
          </w:tcPr>
          <w:p w14:paraId="511A8A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数量</w:t>
            </w:r>
          </w:p>
        </w:tc>
        <w:tc>
          <w:tcPr>
            <w:tcW w:w="759" w:type="pct"/>
            <w:vMerge w:val="restart"/>
            <w:vAlign w:val="center"/>
          </w:tcPr>
          <w:p w14:paraId="4E0A4A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型号</w:t>
            </w:r>
          </w:p>
        </w:tc>
        <w:tc>
          <w:tcPr>
            <w:tcW w:w="1082" w:type="pct"/>
            <w:gridSpan w:val="3"/>
            <w:vAlign w:val="center"/>
          </w:tcPr>
          <w:p w14:paraId="5EAB81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空间相对位置/m</w:t>
            </w:r>
          </w:p>
        </w:tc>
        <w:tc>
          <w:tcPr>
            <w:tcW w:w="421" w:type="pct"/>
            <w:vMerge w:val="restart"/>
            <w:vAlign w:val="center"/>
          </w:tcPr>
          <w:p w14:paraId="23F5C9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声功率级/dB（A）</w:t>
            </w:r>
          </w:p>
        </w:tc>
        <w:tc>
          <w:tcPr>
            <w:tcW w:w="985" w:type="pct"/>
            <w:vMerge w:val="restart"/>
            <w:vAlign w:val="center"/>
          </w:tcPr>
          <w:p w14:paraId="3C76B3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声源控制措施</w:t>
            </w:r>
          </w:p>
        </w:tc>
        <w:tc>
          <w:tcPr>
            <w:tcW w:w="175" w:type="pct"/>
            <w:vMerge w:val="restart"/>
            <w:vAlign w:val="center"/>
          </w:tcPr>
          <w:p w14:paraId="5E1298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运行时段</w:t>
            </w:r>
          </w:p>
        </w:tc>
      </w:tr>
      <w:tr w14:paraId="7179ED9A">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2" w:type="pct"/>
            <w:vMerge w:val="continue"/>
            <w:vAlign w:val="center"/>
          </w:tcPr>
          <w:p w14:paraId="208748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9" w:type="pct"/>
            <w:vMerge w:val="continue"/>
            <w:vAlign w:val="center"/>
          </w:tcPr>
          <w:p w14:paraId="4875C3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553" w:type="pct"/>
            <w:vMerge w:val="continue"/>
            <w:vAlign w:val="center"/>
          </w:tcPr>
          <w:p w14:paraId="720076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59" w:type="pct"/>
            <w:vMerge w:val="continue"/>
            <w:vAlign w:val="center"/>
          </w:tcPr>
          <w:p w14:paraId="3326A4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10" w:type="pct"/>
            <w:vAlign w:val="center"/>
          </w:tcPr>
          <w:p w14:paraId="55E2EE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X</w:t>
            </w:r>
          </w:p>
        </w:tc>
        <w:tc>
          <w:tcPr>
            <w:tcW w:w="334" w:type="pct"/>
            <w:vAlign w:val="center"/>
          </w:tcPr>
          <w:p w14:paraId="604993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Y</w:t>
            </w:r>
          </w:p>
        </w:tc>
        <w:tc>
          <w:tcPr>
            <w:tcW w:w="338" w:type="pct"/>
            <w:vAlign w:val="center"/>
          </w:tcPr>
          <w:p w14:paraId="4F7407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Z</w:t>
            </w:r>
          </w:p>
        </w:tc>
        <w:tc>
          <w:tcPr>
            <w:tcW w:w="421" w:type="pct"/>
            <w:vMerge w:val="continue"/>
            <w:vAlign w:val="center"/>
          </w:tcPr>
          <w:p w14:paraId="1360F4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5" w:type="pct"/>
            <w:vMerge w:val="continue"/>
            <w:vAlign w:val="center"/>
          </w:tcPr>
          <w:p w14:paraId="28B16B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75" w:type="pct"/>
            <w:vMerge w:val="continue"/>
            <w:vAlign w:val="center"/>
          </w:tcPr>
          <w:p w14:paraId="797A30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430A846">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2" w:type="pct"/>
            <w:vAlign w:val="center"/>
          </w:tcPr>
          <w:p w14:paraId="4EE52E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759" w:type="pct"/>
            <w:vAlign w:val="center"/>
          </w:tcPr>
          <w:p w14:paraId="578D02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风机</w:t>
            </w:r>
          </w:p>
        </w:tc>
        <w:tc>
          <w:tcPr>
            <w:tcW w:w="553" w:type="pct"/>
            <w:vAlign w:val="center"/>
          </w:tcPr>
          <w:p w14:paraId="068C78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1台</w:t>
            </w:r>
          </w:p>
        </w:tc>
        <w:tc>
          <w:tcPr>
            <w:tcW w:w="759" w:type="pct"/>
            <w:vAlign w:val="center"/>
          </w:tcPr>
          <w:p w14:paraId="4DBBF4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10" w:type="pct"/>
            <w:vAlign w:val="center"/>
          </w:tcPr>
          <w:p w14:paraId="6EB75F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56</w:t>
            </w:r>
          </w:p>
        </w:tc>
        <w:tc>
          <w:tcPr>
            <w:tcW w:w="334" w:type="pct"/>
            <w:vAlign w:val="center"/>
          </w:tcPr>
          <w:p w14:paraId="0235AC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38</w:t>
            </w:r>
          </w:p>
        </w:tc>
        <w:tc>
          <w:tcPr>
            <w:tcW w:w="338" w:type="pct"/>
            <w:vAlign w:val="center"/>
          </w:tcPr>
          <w:p w14:paraId="53F0AE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0.5</w:t>
            </w:r>
          </w:p>
        </w:tc>
        <w:tc>
          <w:tcPr>
            <w:tcW w:w="421" w:type="pct"/>
            <w:vAlign w:val="center"/>
          </w:tcPr>
          <w:p w14:paraId="1BA237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80</w:t>
            </w:r>
          </w:p>
        </w:tc>
        <w:tc>
          <w:tcPr>
            <w:tcW w:w="985" w:type="pct"/>
            <w:vAlign w:val="center"/>
          </w:tcPr>
          <w:p w14:paraId="6DC1F4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75" w:type="pct"/>
            <w:vAlign w:val="center"/>
          </w:tcPr>
          <w:p w14:paraId="00A32A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p>
        </w:tc>
      </w:tr>
      <w:tr w14:paraId="178B00C8">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2" w:type="pct"/>
            <w:vAlign w:val="center"/>
          </w:tcPr>
          <w:p w14:paraId="345C72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759" w:type="pct"/>
            <w:vAlign w:val="center"/>
          </w:tcPr>
          <w:p w14:paraId="1F4F63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喷淋塔</w:t>
            </w:r>
          </w:p>
        </w:tc>
        <w:tc>
          <w:tcPr>
            <w:tcW w:w="553" w:type="pct"/>
            <w:vAlign w:val="center"/>
          </w:tcPr>
          <w:p w14:paraId="6C82DB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个</w:t>
            </w:r>
          </w:p>
        </w:tc>
        <w:tc>
          <w:tcPr>
            <w:tcW w:w="759" w:type="pct"/>
            <w:vAlign w:val="center"/>
          </w:tcPr>
          <w:p w14:paraId="60E3CCA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410" w:type="pct"/>
            <w:vAlign w:val="center"/>
          </w:tcPr>
          <w:p w14:paraId="0ABA61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46</w:t>
            </w:r>
          </w:p>
        </w:tc>
        <w:tc>
          <w:tcPr>
            <w:tcW w:w="334" w:type="pct"/>
            <w:vAlign w:val="center"/>
          </w:tcPr>
          <w:p w14:paraId="76A49F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33</w:t>
            </w:r>
          </w:p>
        </w:tc>
        <w:tc>
          <w:tcPr>
            <w:tcW w:w="338" w:type="pct"/>
            <w:vAlign w:val="center"/>
          </w:tcPr>
          <w:p w14:paraId="38822B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421" w:type="pct"/>
            <w:vAlign w:val="center"/>
          </w:tcPr>
          <w:p w14:paraId="35AB17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p>
        </w:tc>
        <w:tc>
          <w:tcPr>
            <w:tcW w:w="985" w:type="pct"/>
            <w:vAlign w:val="center"/>
          </w:tcPr>
          <w:p w14:paraId="1461E9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选用低噪声设备，基础</w:t>
            </w:r>
            <w:r>
              <w:rPr>
                <w:rFonts w:hint="default" w:ascii="Times New Roman" w:hAnsi="Times New Roman" w:eastAsia="宋体" w:cs="Times New Roman"/>
                <w:color w:val="000000" w:themeColor="text1"/>
                <w:u w:val="none" w:color="auto"/>
                <w:lang w:eastAsia="zh-CN"/>
                <w14:textFill>
                  <w14:solidFill>
                    <w14:schemeClr w14:val="tx1"/>
                  </w14:solidFill>
                </w14:textFill>
              </w:rPr>
              <w:t>减振</w:t>
            </w:r>
          </w:p>
        </w:tc>
        <w:tc>
          <w:tcPr>
            <w:tcW w:w="175" w:type="pct"/>
            <w:vAlign w:val="center"/>
          </w:tcPr>
          <w:p w14:paraId="426AFF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h</w:t>
            </w:r>
          </w:p>
        </w:tc>
      </w:tr>
      <w:tr w14:paraId="0EA0DE5E">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000" w:type="pct"/>
            <w:gridSpan w:val="10"/>
            <w:vAlign w:val="center"/>
          </w:tcPr>
          <w:p w14:paraId="60F055B2">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备注：以项目厂界西南边界（113°16′21.921″，28°47′7.613″）为坐标原点，正东向为X轴正方向，正北向为Y轴正方向。</w:t>
            </w:r>
          </w:p>
        </w:tc>
      </w:tr>
    </w:tbl>
    <w:p w14:paraId="677B4402">
      <w:pPr>
        <w:rPr>
          <w:rFonts w:hint="default" w:ascii="Times New Roman" w:hAnsi="Times New Roman" w:eastAsia="宋体" w:cs="Times New Roman"/>
          <w:color w:val="000000" w:themeColor="text1"/>
          <w:u w:val="none" w:color="auto"/>
          <w14:textFill>
            <w14:solidFill>
              <w14:schemeClr w14:val="tx1"/>
            </w14:solidFill>
          </w14:textFill>
        </w:rPr>
      </w:pPr>
    </w:p>
    <w:p w14:paraId="6B3B111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p>
    <w:p w14:paraId="540BC1B9">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color w:val="000000" w:themeColor="text1"/>
          <w:u w:val="none" w:color="auto"/>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linePitch="326" w:charSpace="0"/>
        </w:sectPr>
      </w:pPr>
    </w:p>
    <w:p w14:paraId="6213C7B9">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49" w:name="_Toc28154"/>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5.2 预测模式</w:t>
      </w:r>
      <w:bookmarkEnd w:id="349"/>
    </w:p>
    <w:p w14:paraId="2BE1E52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（1）室内声源</w:t>
      </w:r>
    </w:p>
    <w:p w14:paraId="142157C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对于室内声源根据《环境影响评价技术导则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声环境》（HJ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2.4-2009）推荐的室内声源的声传播模式，将室内声源等效为等效室外点声源，据此，室内声源传播衰减公式为：</w:t>
      </w:r>
    </w:p>
    <w:p w14:paraId="5E300BE8">
      <w:pPr>
        <w:keepNext w:val="0"/>
        <w:keepLines w:val="0"/>
        <w:pageBreakBefore w:val="0"/>
        <w:widowControl w:val="0"/>
        <w:kinsoku/>
        <w:wordWrap/>
        <w:overflowPunct/>
        <w:topLinePunct w:val="0"/>
        <w:bidi w:val="0"/>
        <w:spacing w:line="360" w:lineRule="auto"/>
        <w:jc w:val="righ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27" o:spt="75" type="#_x0000_t75" style="height:38.2pt;width:189.7pt;" o:ole="t" filled="f" o:preferrelative="t" stroked="f" coordsize="21600,21600">
            <v:path/>
            <v:fill on="f" focussize="0,0"/>
            <v:stroke on="f" joinstyle="miter"/>
            <v:imagedata r:id="rId36" o:title=""/>
            <o:lock v:ext="edit" aspectratio="t"/>
            <w10:wrap type="none"/>
            <w10:anchorlock/>
          </v:shape>
          <o:OLEObject Type="Embed" ProgID="Equation.DSMT4" ShapeID="_x0000_i1027" DrawAspect="Content" ObjectID="_1468075727" r:id="rId35">
            <o:LockedField>false</o:LockedField>
          </o:OLEObject>
        </w:objec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w:t>
      </w:r>
    </w:p>
    <w:p w14:paraId="7445B518">
      <w:pPr>
        <w:keepNext w:val="0"/>
        <w:keepLines w:val="0"/>
        <w:pageBreakBefore w:val="0"/>
        <w:widowControl w:val="0"/>
        <w:kinsoku/>
        <w:wordWrap/>
        <w:overflowPunct/>
        <w:topLinePunct w:val="0"/>
        <w:bidi w:val="0"/>
        <w:spacing w:line="360" w:lineRule="auto"/>
        <w:ind w:left="0" w:leftChars="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式中：</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p</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(r)</w:t>
      </w:r>
      <w:r>
        <w:rPr>
          <w:rFonts w:hint="default" w:ascii="Times New Roman" w:hAnsi="Times New Roman" w:eastAsia="宋体" w:cs="Times New Roman"/>
          <w:color w:val="000000" w:themeColor="text1"/>
          <w:u w:val="none" w:color="auto"/>
          <w14:textFill>
            <w14:solidFill>
              <w14:schemeClr w14:val="tx1"/>
            </w14:solidFill>
          </w14:textFill>
        </w:rPr>
        <w:t>——距离噪声源rm处的声压级，dB（A）；</w:t>
      </w:r>
    </w:p>
    <w:p w14:paraId="3141568D">
      <w:pPr>
        <w:keepNext w:val="0"/>
        <w:keepLines w:val="0"/>
        <w:pageBreakBefore w:val="0"/>
        <w:widowControl w:val="0"/>
        <w:kinsoku/>
        <w:wordWrap/>
        <w:overflowPunct/>
        <w:topLinePunct w:val="0"/>
        <w:bidi w:val="0"/>
        <w:spacing w:line="360" w:lineRule="auto"/>
        <w:ind w:left="720"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p0</w:t>
      </w:r>
      <w:r>
        <w:rPr>
          <w:rFonts w:hint="default" w:ascii="Times New Roman" w:hAnsi="Times New Roman" w:eastAsia="宋体" w:cs="Times New Roman"/>
          <w:color w:val="000000" w:themeColor="text1"/>
          <w:u w:val="none" w:color="auto"/>
          <w14:textFill>
            <w14:solidFill>
              <w14:schemeClr w14:val="tx1"/>
            </w14:solidFill>
          </w14:textFill>
        </w:rPr>
        <w:t>——为距声源中心r</w:t>
      </w:r>
      <w:r>
        <w:rPr>
          <w:rFonts w:hint="default" w:ascii="Times New Roman" w:hAnsi="Times New Roman" w:eastAsia="宋体" w:cs="Times New Roman"/>
          <w:color w:val="000000" w:themeColor="text1"/>
          <w:u w:val="none" w:color="auto"/>
          <w:vertAlign w:val="subscript"/>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处测的声压级，dB（A）；</w:t>
      </w:r>
    </w:p>
    <w:p w14:paraId="32A22A60">
      <w:pPr>
        <w:keepNext w:val="0"/>
        <w:keepLines w:val="0"/>
        <w:pageBreakBefore w:val="0"/>
        <w:widowControl w:val="0"/>
        <w:kinsoku/>
        <w:wordWrap/>
        <w:overflowPunct/>
        <w:topLinePunct w:val="0"/>
        <w:bidi w:val="0"/>
        <w:spacing w:line="360" w:lineRule="auto"/>
        <w:ind w:left="720"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TL——墙壁隔声量，本项目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生产期间</w:t>
      </w:r>
      <w:r>
        <w:rPr>
          <w:rFonts w:hint="default" w:ascii="Times New Roman" w:hAnsi="Times New Roman" w:eastAsia="宋体" w:cs="Times New Roman"/>
          <w:color w:val="000000" w:themeColor="text1"/>
          <w:u w:val="none" w:color="auto"/>
          <w14:textFill>
            <w14:solidFill>
              <w14:schemeClr w14:val="tx1"/>
            </w14:solidFill>
          </w14:textFill>
        </w:rPr>
        <w:t>生产车间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密闭</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故</w:t>
      </w:r>
      <w:r>
        <w:rPr>
          <w:rFonts w:hint="default" w:ascii="Times New Roman" w:hAnsi="Times New Roman" w:eastAsia="宋体" w:cs="Times New Roman"/>
          <w:color w:val="000000" w:themeColor="text1"/>
          <w:u w:val="none" w:color="auto"/>
          <w14:textFill>
            <w14:solidFill>
              <w14:schemeClr w14:val="tx1"/>
            </w14:solidFill>
          </w14:textFill>
        </w:rPr>
        <w:t>隔声量取15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dB（A）；</w:t>
      </w:r>
    </w:p>
    <w:p w14:paraId="124085D6">
      <w:pPr>
        <w:keepNext w:val="0"/>
        <w:keepLines w:val="0"/>
        <w:pageBreakBefore w:val="0"/>
        <w:widowControl w:val="0"/>
        <w:kinsoku/>
        <w:wordWrap/>
        <w:overflowPunct/>
        <w:topLinePunct w:val="0"/>
        <w:bidi w:val="0"/>
        <w:spacing w:line="360" w:lineRule="auto"/>
        <w:ind w:left="720"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α——平均吸声系数，本项目中取0.15；</w:t>
      </w:r>
    </w:p>
    <w:p w14:paraId="505B17DE">
      <w:pPr>
        <w:keepNext w:val="0"/>
        <w:keepLines w:val="0"/>
        <w:pageBreakBefore w:val="0"/>
        <w:widowControl w:val="0"/>
        <w:kinsoku/>
        <w:wordWrap/>
        <w:overflowPunct/>
        <w:topLinePunct w:val="0"/>
        <w:bidi w:val="0"/>
        <w:spacing w:line="360" w:lineRule="auto"/>
        <w:ind w:left="720"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r——参考位置距噪声源的距离，（车间中心至预测点距离）m；</w:t>
      </w:r>
    </w:p>
    <w:p w14:paraId="51AF712B">
      <w:pPr>
        <w:keepNext w:val="0"/>
        <w:keepLines w:val="0"/>
        <w:pageBreakBefore w:val="0"/>
        <w:widowControl w:val="0"/>
        <w:kinsoku/>
        <w:wordWrap/>
        <w:overflowPunct/>
        <w:topLinePunct w:val="0"/>
        <w:bidi w:val="0"/>
        <w:spacing w:line="360" w:lineRule="auto"/>
        <w:ind w:left="720"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r</w:t>
      </w:r>
      <w:r>
        <w:rPr>
          <w:rFonts w:hint="default" w:ascii="Times New Roman" w:hAnsi="Times New Roman" w:eastAsia="宋体" w:cs="Times New Roman"/>
          <w:color w:val="000000" w:themeColor="text1"/>
          <w:u w:val="none" w:color="auto"/>
          <w:vertAlign w:val="subscript"/>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——（测量L</w:t>
      </w:r>
      <w:r>
        <w:rPr>
          <w:rFonts w:hint="default" w:ascii="Times New Roman" w:hAnsi="Times New Roman" w:eastAsia="宋体" w:cs="Times New Roman"/>
          <w:color w:val="000000" w:themeColor="text1"/>
          <w:u w:val="none" w:color="auto"/>
          <w:vertAlign w:val="subscript"/>
          <w14:textFill>
            <w14:solidFill>
              <w14:schemeClr w14:val="tx1"/>
            </w14:solidFill>
          </w14:textFill>
        </w:rPr>
        <w:t>p0</w:t>
      </w:r>
      <w:r>
        <w:rPr>
          <w:rFonts w:hint="default" w:ascii="Times New Roman" w:hAnsi="Times New Roman" w:eastAsia="宋体" w:cs="Times New Roman"/>
          <w:color w:val="000000" w:themeColor="text1"/>
          <w:u w:val="none" w:color="auto"/>
          <w14:textFill>
            <w14:solidFill>
              <w14:schemeClr w14:val="tx1"/>
            </w14:solidFill>
          </w14:textFill>
        </w:rPr>
        <w:t>时距设备中心的距离）墙外1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m处至预测点的距离，参数距离为1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w:t>
      </w:r>
    </w:p>
    <w:p w14:paraId="5295707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（2）室外声源</w:t>
      </w:r>
    </w:p>
    <w:p w14:paraId="4A074F2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某个噪声源在预测点的声压级为</w:t>
      </w:r>
    </w:p>
    <w:p w14:paraId="15747C8A">
      <w:pPr>
        <w:keepNext w:val="0"/>
        <w:keepLines w:val="0"/>
        <w:pageBreakBefore w:val="0"/>
        <w:widowControl w:val="0"/>
        <w:kinsoku/>
        <w:wordWrap/>
        <w:overflowPunct/>
        <w:topLinePunct w:val="0"/>
        <w:bidi w:val="0"/>
        <w:spacing w:line="360" w:lineRule="auto"/>
        <w:ind w:firstLine="480" w:firstLineChars="200"/>
        <w:jc w:val="righ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28" o:spt="75" type="#_x0000_t75" style="height:19.4pt;width:163.4pt;" o:ole="t" filled="f" o:preferrelative="t" stroked="f" coordsize="21600,21600">
            <v:path/>
            <v:fill on="f" focussize="0,0"/>
            <v:stroke on="f" joinstyle="miter"/>
            <v:imagedata r:id="rId38" o:title=""/>
            <o:lock v:ext="edit" aspectratio="t"/>
            <w10:wrap type="none"/>
            <w10:anchorlock/>
          </v:shape>
          <o:OLEObject Type="Embed" ProgID="Equation.3" ShapeID="_x0000_i1028" DrawAspect="Content" ObjectID="_1468075728" r:id="rId37">
            <o:LockedField>false</o:LockedField>
          </o:OLEObject>
        </w:objec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w:t>
      </w:r>
    </w:p>
    <w:p w14:paraId="30DA66C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式中：</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p</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(r)</w:t>
      </w:r>
      <w:r>
        <w:rPr>
          <w:rFonts w:hint="default" w:ascii="Times New Roman" w:hAnsi="Times New Roman" w:eastAsia="宋体" w:cs="Times New Roman"/>
          <w:color w:val="000000" w:themeColor="text1"/>
          <w:u w:val="none" w:color="auto"/>
          <w14:textFill>
            <w14:solidFill>
              <w14:schemeClr w14:val="tx1"/>
            </w14:solidFill>
          </w14:textFill>
        </w:rPr>
        <w:t>——噪声源在预测点产生的声压级，dB（A）；</w:t>
      </w:r>
    </w:p>
    <w:p w14:paraId="45A6371D">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p</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(r</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——参考位置r</w:t>
      </w:r>
      <w:r>
        <w:rPr>
          <w:rFonts w:hint="default" w:ascii="Times New Roman" w:hAnsi="Times New Roman" w:eastAsia="宋体" w:cs="Times New Roman"/>
          <w:color w:val="000000" w:themeColor="text1"/>
          <w:u w:val="none" w:color="auto"/>
          <w:vertAlign w:val="subscript"/>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处的声压级，dB（A）；</w:t>
      </w:r>
    </w:p>
    <w:p w14:paraId="149D2450">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r</w:t>
      </w:r>
      <w:r>
        <w:rPr>
          <w:rFonts w:hint="default" w:ascii="Times New Roman" w:hAnsi="Times New Roman" w:eastAsia="宋体" w:cs="Times New Roman"/>
          <w:color w:val="000000" w:themeColor="text1"/>
          <w:u w:val="none" w:color="auto"/>
          <w:vertAlign w:val="subscript"/>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——参考位置距声源中心的位置，m；</w:t>
      </w:r>
    </w:p>
    <w:p w14:paraId="6B86BD31">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r——声源中心至预测点的距离，m；</w:t>
      </w:r>
    </w:p>
    <w:p w14:paraId="2B15007B">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14:textFill>
            <w14:solidFill>
              <w14:schemeClr w14:val="tx1"/>
            </w14:solidFill>
          </w14:textFill>
        </w:rPr>
        <w:t>——各种因素引起的声衰减量（如声屏障，遮挡物，空气吸收，地面吸收等引起的声衰减。</w:t>
      </w:r>
    </w:p>
    <w:p w14:paraId="5FC035F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如果已知噪声源的声功率级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w</w:t>
      </w:r>
      <w:r>
        <w:rPr>
          <w:rFonts w:hint="default" w:ascii="Times New Roman" w:hAnsi="Times New Roman" w:eastAsia="宋体" w:cs="Times New Roman"/>
          <w:color w:val="000000" w:themeColor="text1"/>
          <w:u w:val="none" w:color="auto"/>
          <w14:textFill>
            <w14:solidFill>
              <w14:schemeClr w14:val="tx1"/>
            </w14:solidFill>
          </w14:textFill>
        </w:rPr>
        <w:t>，且声源处于置于地面上，则</w:t>
      </w:r>
    </w:p>
    <w:p w14:paraId="6BE22E6C">
      <w:pPr>
        <w:keepNext w:val="0"/>
        <w:keepLines w:val="0"/>
        <w:pageBreakBefore w:val="0"/>
        <w:widowControl w:val="0"/>
        <w:kinsoku/>
        <w:wordWrap/>
        <w:overflowPunct/>
        <w:topLinePunct w:val="0"/>
        <w:bidi w:val="0"/>
        <w:spacing w:line="360" w:lineRule="auto"/>
        <w:ind w:firstLine="480" w:firstLineChars="200"/>
        <w:jc w:val="righ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29" o:spt="75" type="#_x0000_t75" style="height:19.4pt;width:147.75pt;" o:ole="t" filled="f" o:preferrelative="t" stroked="f" coordsize="21600,21600">
            <v:path/>
            <v:fill on="f" focussize="0,0"/>
            <v:stroke on="f" joinstyle="miter"/>
            <v:imagedata r:id="rId40" o:title=""/>
            <o:lock v:ext="edit" aspectratio="t"/>
            <w10:wrap type="none"/>
            <w10:anchorlock/>
          </v:shape>
          <o:OLEObject Type="Embed" ProgID="Equation.DSMT4" ShapeID="_x0000_i1029" DrawAspect="Content" ObjectID="_1468075729" r:id="rId39">
            <o:LockedField>false</o:LockedField>
          </o:OLEObject>
        </w:objec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w:t>
      </w:r>
    </w:p>
    <w:p w14:paraId="5F1BD73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将公式3式代入公式2得：</w:t>
      </w:r>
    </w:p>
    <w:p w14:paraId="4A1BA402">
      <w:pPr>
        <w:keepNext w:val="0"/>
        <w:keepLines w:val="0"/>
        <w:pageBreakBefore w:val="0"/>
        <w:widowControl w:val="0"/>
        <w:kinsoku/>
        <w:wordWrap/>
        <w:overflowPunct/>
        <w:topLinePunct w:val="0"/>
        <w:bidi w:val="0"/>
        <w:spacing w:line="360" w:lineRule="auto"/>
        <w:ind w:firstLine="480" w:firstLineChars="200"/>
        <w:jc w:val="righ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30" o:spt="75" type="#_x0000_t75" style="height:19.4pt;width:138.35pt;" o:ole="t" filled="f" o:preferrelative="t" stroked="f" coordsize="21600,21600">
            <v:path/>
            <v:fill on="f" focussize="0,0"/>
            <v:stroke on="f" joinstyle="miter"/>
            <v:imagedata r:id="rId42" o:title=""/>
            <o:lock v:ext="edit" aspectratio="t"/>
            <w10:wrap type="none"/>
            <w10:anchorlock/>
          </v:shape>
          <o:OLEObject Type="Embed" ProgID="Equation.3" ShapeID="_x0000_i1030" DrawAspect="Content" ObjectID="_1468075730" r:id="rId41">
            <o:LockedField>false</o:LockedField>
          </o:OLEObject>
        </w:objec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（4）</w:t>
      </w:r>
    </w:p>
    <w:p w14:paraId="216FAA7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（3）噪声贡献值计算</w:t>
      </w:r>
    </w:p>
    <w:p w14:paraId="53EB1A2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设第i个室外声源在预测点产生的A声级为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Ai</w:t>
      </w:r>
      <w:r>
        <w:rPr>
          <w:rFonts w:hint="default" w:ascii="Times New Roman" w:hAnsi="Times New Roman" w:eastAsia="宋体" w:cs="Times New Roman"/>
          <w:color w:val="000000" w:themeColor="text1"/>
          <w:u w:val="none" w:color="auto"/>
          <w14:textFill>
            <w14:solidFill>
              <w14:schemeClr w14:val="tx1"/>
            </w14:solidFill>
          </w14:textFill>
        </w:rPr>
        <w:t>，在T时间内该声源工作时间为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t</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i</w:t>
      </w:r>
      <w:r>
        <w:rPr>
          <w:rFonts w:hint="default" w:ascii="Times New Roman" w:hAnsi="Times New Roman" w:eastAsia="宋体" w:cs="Times New Roman"/>
          <w:color w:val="000000" w:themeColor="text1"/>
          <w:u w:val="none" w:color="auto"/>
          <w14:textFill>
            <w14:solidFill>
              <w14:schemeClr w14:val="tx1"/>
            </w14:solidFill>
          </w14:textFill>
        </w:rPr>
        <w:t>；设第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j</w:t>
      </w:r>
      <w:r>
        <w:rPr>
          <w:rFonts w:hint="default" w:ascii="Times New Roman" w:hAnsi="Times New Roman" w:eastAsia="宋体" w:cs="Times New Roman"/>
          <w:color w:val="000000" w:themeColor="text1"/>
          <w:u w:val="none" w:color="auto"/>
          <w14:textFill>
            <w14:solidFill>
              <w14:schemeClr w14:val="tx1"/>
            </w14:solidFill>
          </w14:textFill>
        </w:rPr>
        <w:t>个等效室外声源在预测点产生的A声级为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Aj</w:t>
      </w:r>
      <w:r>
        <w:rPr>
          <w:rFonts w:hint="default" w:ascii="Times New Roman" w:hAnsi="Times New Roman" w:eastAsia="宋体" w:cs="Times New Roman"/>
          <w:color w:val="000000" w:themeColor="text1"/>
          <w:u w:val="none" w:color="auto"/>
          <w14:textFill>
            <w14:solidFill>
              <w14:schemeClr w14:val="tx1"/>
            </w14:solidFill>
          </w14:textFill>
        </w:rPr>
        <w:t>，在T时间内该声源工作时间为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t</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j</w:t>
      </w:r>
      <w:r>
        <w:rPr>
          <w:rFonts w:hint="default" w:ascii="Times New Roman" w:hAnsi="Times New Roman" w:eastAsia="宋体" w:cs="Times New Roman"/>
          <w:color w:val="000000" w:themeColor="text1"/>
          <w:u w:val="none" w:color="auto"/>
          <w14:textFill>
            <w14:solidFill>
              <w14:schemeClr w14:val="tx1"/>
            </w14:solidFill>
          </w14:textFill>
        </w:rPr>
        <w:t>。则拟建工程声源对预测点产生的贡献值（</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eqg</w:t>
      </w:r>
      <w:r>
        <w:rPr>
          <w:rFonts w:hint="default" w:ascii="Times New Roman" w:hAnsi="Times New Roman" w:eastAsia="宋体" w:cs="Times New Roman"/>
          <w:color w:val="000000" w:themeColor="text1"/>
          <w:u w:val="none" w:color="auto"/>
          <w14:textFill>
            <w14:solidFill>
              <w14:schemeClr w14:val="tx1"/>
            </w14:solidFill>
          </w14:textFill>
        </w:rPr>
        <w:t>）为：</w:t>
      </w:r>
    </w:p>
    <w:p w14:paraId="7D57273A">
      <w:pPr>
        <w:keepNext w:val="0"/>
        <w:keepLines w:val="0"/>
        <w:pageBreakBefore w:val="0"/>
        <w:widowControl w:val="0"/>
        <w:kinsoku/>
        <w:wordWrap/>
        <w:overflowPunct/>
        <w:topLinePunct w:val="0"/>
        <w:bidi w:val="0"/>
        <w:spacing w:line="360" w:lineRule="auto"/>
        <w:ind w:firstLine="480" w:firstLineChars="200"/>
        <w:jc w:val="righ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31" o:spt="75" type="#_x0000_t75" style="height:43.2pt;width:208.5pt;" o:ole="t" filled="f" o:preferrelative="t" stroked="f" coordsize="21600,21600">
            <v:path/>
            <v:fill on="f" focussize="0,0"/>
            <v:stroke on="f" joinstyle="miter"/>
            <v:imagedata r:id="rId44" o:title=""/>
            <o:lock v:ext="edit" aspectratio="t"/>
            <w10:wrap type="none"/>
            <w10:anchorlock/>
          </v:shape>
          <o:OLEObject Type="Embed" ProgID="Equation.3" ShapeID="_x0000_i1031" DrawAspect="Content" ObjectID="_1468075731" r:id="rId43">
            <o:LockedField>false</o:LockedField>
          </o:OLEObject>
        </w:objec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（5）</w:t>
      </w:r>
    </w:p>
    <w:p w14:paraId="1388CCD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式中：T——用于计算等效声级的时间；</w:t>
      </w:r>
    </w:p>
    <w:p w14:paraId="022715D2">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t</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i</w:t>
      </w:r>
      <w:r>
        <w:rPr>
          <w:rFonts w:hint="default" w:ascii="Times New Roman" w:hAnsi="Times New Roman" w:eastAsia="宋体" w:cs="Times New Roman"/>
          <w:color w:val="000000" w:themeColor="text1"/>
          <w:u w:val="none" w:color="auto"/>
          <w14:textFill>
            <w14:solidFill>
              <w14:schemeClr w14:val="tx1"/>
            </w14:solidFill>
          </w14:textFill>
        </w:rPr>
        <w:t>——在T时间内i声源工作时间；为室外声源个数；N为室内声源个数；</w:t>
      </w:r>
    </w:p>
    <w:p w14:paraId="307CD83B">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t</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j</w:t>
      </w:r>
      <w:r>
        <w:rPr>
          <w:rFonts w:hint="default" w:ascii="Times New Roman" w:hAnsi="Times New Roman" w:eastAsia="宋体" w:cs="Times New Roman"/>
          <w:color w:val="000000" w:themeColor="text1"/>
          <w:u w:val="none" w:color="auto"/>
          <w14:textFill>
            <w14:solidFill>
              <w14:schemeClr w14:val="tx1"/>
            </w14:solidFill>
          </w14:textFill>
        </w:rPr>
        <w:t>——在T时间内j声源工作时间；</w:t>
      </w:r>
    </w:p>
    <w:p w14:paraId="40801917">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N——室外声源个数；</w:t>
      </w:r>
    </w:p>
    <w:p w14:paraId="0D4F670B">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M——等效室外声源个数。</w:t>
      </w:r>
    </w:p>
    <w:p w14:paraId="3A30C2C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（4）预测点的预测等效声级（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eq</w:t>
      </w:r>
      <w:r>
        <w:rPr>
          <w:rFonts w:hint="default" w:ascii="Times New Roman" w:hAnsi="Times New Roman" w:eastAsia="宋体" w:cs="Times New Roman"/>
          <w:color w:val="000000" w:themeColor="text1"/>
          <w:u w:val="none" w:color="auto"/>
          <w14:textFill>
            <w14:solidFill>
              <w14:schemeClr w14:val="tx1"/>
            </w14:solidFill>
          </w14:textFill>
        </w:rPr>
        <w:t>）计算公式</w:t>
      </w:r>
    </w:p>
    <w:p w14:paraId="7BAC0A9A">
      <w:pPr>
        <w:keepNext w:val="0"/>
        <w:keepLines w:val="0"/>
        <w:pageBreakBefore w:val="0"/>
        <w:widowControl w:val="0"/>
        <w:kinsoku/>
        <w:wordWrap/>
        <w:overflowPunct/>
        <w:topLinePunct w:val="0"/>
        <w:bidi w:val="0"/>
        <w:spacing w:line="360" w:lineRule="auto"/>
        <w:ind w:firstLine="480" w:firstLineChars="200"/>
        <w:jc w:val="righ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32" o:spt="75" type="#_x0000_t75" style="height:19.4pt;width:144pt;" o:ole="t" filled="f" o:preferrelative="t" stroked="f" coordsize="21600,21600">
            <v:path/>
            <v:fill on="f" focussize="0,0"/>
            <v:stroke on="f" joinstyle="miter"/>
            <v:imagedata r:id="rId46" o:title=""/>
            <o:lock v:ext="edit" aspectratio="t"/>
            <w10:wrap type="none"/>
            <w10:anchorlock/>
          </v:shape>
          <o:OLEObject Type="Embed" ProgID="Equation.3" ShapeID="_x0000_i1032" DrawAspect="Content" ObjectID="_1468075732" r:id="rId45">
            <o:LockedField>false</o:LockedField>
          </o:OLEObject>
        </w:objec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（6）</w:t>
      </w:r>
    </w:p>
    <w:p w14:paraId="121FA16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式中：</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eqg</w:t>
      </w:r>
      <w:r>
        <w:rPr>
          <w:rFonts w:hint="default" w:ascii="Times New Roman" w:hAnsi="Times New Roman" w:eastAsia="宋体" w:cs="Times New Roman"/>
          <w:color w:val="000000" w:themeColor="text1"/>
          <w:u w:val="none" w:color="auto"/>
          <w14:textFill>
            <w14:solidFill>
              <w14:schemeClr w14:val="tx1"/>
            </w14:solidFill>
          </w14:textFill>
        </w:rPr>
        <w:t>——建设项目声源在预测点的等效声级贡献值，dB（A）；</w:t>
      </w:r>
    </w:p>
    <w:p w14:paraId="627F6573">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L</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eqb</w:t>
      </w:r>
      <w:r>
        <w:rPr>
          <w:rFonts w:hint="default" w:ascii="Times New Roman" w:hAnsi="Times New Roman" w:eastAsia="宋体" w:cs="Times New Roman"/>
          <w:color w:val="000000" w:themeColor="text1"/>
          <w:u w:val="none" w:color="auto"/>
          <w14:textFill>
            <w14:solidFill>
              <w14:schemeClr w14:val="tx1"/>
            </w14:solidFill>
          </w14:textFill>
        </w:rPr>
        <w:t>——预测点的背景值，dB（A）。</w:t>
      </w:r>
    </w:p>
    <w:p w14:paraId="4C63CAB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（5）评价方法和评价量</w:t>
      </w:r>
    </w:p>
    <w:p w14:paraId="2B6585F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根据噪声预测结果和环境噪声评价标准，评价建设项目在运营期噪声的影响程度、影响范围，给出厂界达标分析。</w:t>
      </w:r>
    </w:p>
    <w:p w14:paraId="70D0E4E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本项目为新建项目，进行厂界噪声评价时，自有厂区以本项目噪声贡献值作为评价量。</w:t>
      </w:r>
    </w:p>
    <w:p w14:paraId="18EAC7D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（6）预测结果与评价</w:t>
      </w:r>
    </w:p>
    <w:p w14:paraId="02014D1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本项目营运后，昼间和夜间噪声影响和预测结果见下表。</w:t>
      </w:r>
    </w:p>
    <w:p w14:paraId="2914C85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5-3  厂界噪声预测结果一览表   单位：dB（A）</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718"/>
        <w:gridCol w:w="1889"/>
        <w:gridCol w:w="1889"/>
        <w:gridCol w:w="1890"/>
      </w:tblGrid>
      <w:tr w14:paraId="4F6441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Align w:val="center"/>
          </w:tcPr>
          <w:p w14:paraId="1D5650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007" w:type="pct"/>
            <w:vAlign w:val="center"/>
          </w:tcPr>
          <w:p w14:paraId="1355DC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位置</w:t>
            </w:r>
          </w:p>
        </w:tc>
        <w:tc>
          <w:tcPr>
            <w:tcW w:w="1107" w:type="pct"/>
            <w:vAlign w:val="center"/>
          </w:tcPr>
          <w:p w14:paraId="5FE80C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时间</w:t>
            </w:r>
          </w:p>
        </w:tc>
        <w:tc>
          <w:tcPr>
            <w:tcW w:w="1107" w:type="pct"/>
            <w:vAlign w:val="center"/>
          </w:tcPr>
          <w:p w14:paraId="6437FC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贡献最大值</w:t>
            </w:r>
          </w:p>
        </w:tc>
        <w:tc>
          <w:tcPr>
            <w:tcW w:w="1107" w:type="pct"/>
            <w:vAlign w:val="center"/>
          </w:tcPr>
          <w:p w14:paraId="52EFAA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标准值</w:t>
            </w:r>
          </w:p>
        </w:tc>
      </w:tr>
      <w:tr w14:paraId="73E963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Merge w:val="restart"/>
            <w:vAlign w:val="center"/>
          </w:tcPr>
          <w:p w14:paraId="544037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007" w:type="pct"/>
            <w:vMerge w:val="restart"/>
            <w:vAlign w:val="center"/>
          </w:tcPr>
          <w:p w14:paraId="3EA385C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项目厂界东侧外1 m处</w:t>
            </w:r>
          </w:p>
        </w:tc>
        <w:tc>
          <w:tcPr>
            <w:tcW w:w="1107" w:type="pct"/>
            <w:vAlign w:val="center"/>
          </w:tcPr>
          <w:p w14:paraId="22506F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1107" w:type="pct"/>
            <w:vAlign w:val="center"/>
          </w:tcPr>
          <w:p w14:paraId="02DFAD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40.9</w:t>
            </w:r>
          </w:p>
        </w:tc>
        <w:tc>
          <w:tcPr>
            <w:tcW w:w="1107" w:type="pct"/>
            <w:vAlign w:val="center"/>
          </w:tcPr>
          <w:p w14:paraId="59FDAD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65</w:t>
            </w:r>
          </w:p>
        </w:tc>
      </w:tr>
      <w:tr w14:paraId="0634ED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Merge w:val="continue"/>
            <w:vAlign w:val="center"/>
          </w:tcPr>
          <w:p w14:paraId="5BA2BE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07" w:type="pct"/>
            <w:vMerge w:val="continue"/>
            <w:vAlign w:val="center"/>
          </w:tcPr>
          <w:p w14:paraId="0D6EDF9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07" w:type="pct"/>
            <w:vAlign w:val="center"/>
          </w:tcPr>
          <w:p w14:paraId="718569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c>
          <w:tcPr>
            <w:tcW w:w="1107" w:type="pct"/>
            <w:vAlign w:val="center"/>
          </w:tcPr>
          <w:p w14:paraId="262730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40.8</w:t>
            </w:r>
          </w:p>
        </w:tc>
        <w:tc>
          <w:tcPr>
            <w:tcW w:w="1107" w:type="pct"/>
            <w:vAlign w:val="center"/>
          </w:tcPr>
          <w:p w14:paraId="488089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r>
      <w:tr w14:paraId="66EA14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Merge w:val="restart"/>
            <w:vAlign w:val="center"/>
          </w:tcPr>
          <w:p w14:paraId="378DCC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1007" w:type="pct"/>
            <w:vMerge w:val="restart"/>
            <w:vAlign w:val="center"/>
          </w:tcPr>
          <w:p w14:paraId="55E74FC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项目厂界南侧外1 m处</w:t>
            </w:r>
          </w:p>
        </w:tc>
        <w:tc>
          <w:tcPr>
            <w:tcW w:w="1107" w:type="pct"/>
            <w:vAlign w:val="center"/>
          </w:tcPr>
          <w:p w14:paraId="25EB6B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1107" w:type="pct"/>
            <w:vAlign w:val="center"/>
          </w:tcPr>
          <w:p w14:paraId="539211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52.0</w:t>
            </w:r>
          </w:p>
        </w:tc>
        <w:tc>
          <w:tcPr>
            <w:tcW w:w="1107" w:type="pct"/>
            <w:vAlign w:val="center"/>
          </w:tcPr>
          <w:p w14:paraId="25A5DB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65</w:t>
            </w:r>
          </w:p>
        </w:tc>
      </w:tr>
      <w:tr w14:paraId="1848B0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Merge w:val="continue"/>
            <w:vAlign w:val="center"/>
          </w:tcPr>
          <w:p w14:paraId="3D2828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07" w:type="pct"/>
            <w:vMerge w:val="continue"/>
            <w:vAlign w:val="center"/>
          </w:tcPr>
          <w:p w14:paraId="48B81F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07" w:type="pct"/>
            <w:vAlign w:val="center"/>
          </w:tcPr>
          <w:p w14:paraId="5A97FC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c>
          <w:tcPr>
            <w:tcW w:w="1107" w:type="pct"/>
            <w:vAlign w:val="center"/>
          </w:tcPr>
          <w:p w14:paraId="13CD82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52.0</w:t>
            </w:r>
          </w:p>
        </w:tc>
        <w:tc>
          <w:tcPr>
            <w:tcW w:w="1107" w:type="pct"/>
            <w:vAlign w:val="center"/>
          </w:tcPr>
          <w:p w14:paraId="4E25B97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r>
      <w:tr w14:paraId="6A6DC2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Merge w:val="restart"/>
            <w:vAlign w:val="center"/>
          </w:tcPr>
          <w:p w14:paraId="379A51D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1007" w:type="pct"/>
            <w:vMerge w:val="restart"/>
            <w:vAlign w:val="center"/>
          </w:tcPr>
          <w:p w14:paraId="364242C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项目厂界西侧外1 m处</w:t>
            </w:r>
          </w:p>
        </w:tc>
        <w:tc>
          <w:tcPr>
            <w:tcW w:w="1107" w:type="pct"/>
            <w:vAlign w:val="center"/>
          </w:tcPr>
          <w:p w14:paraId="2708A3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1107" w:type="pct"/>
            <w:vAlign w:val="center"/>
          </w:tcPr>
          <w:p w14:paraId="1172BC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37.9</w:t>
            </w:r>
          </w:p>
        </w:tc>
        <w:tc>
          <w:tcPr>
            <w:tcW w:w="1107" w:type="pct"/>
            <w:vAlign w:val="center"/>
          </w:tcPr>
          <w:p w14:paraId="79BD33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65</w:t>
            </w:r>
          </w:p>
        </w:tc>
      </w:tr>
      <w:tr w14:paraId="2408E2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Merge w:val="continue"/>
            <w:vAlign w:val="center"/>
          </w:tcPr>
          <w:p w14:paraId="0FDD55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07" w:type="pct"/>
            <w:vMerge w:val="continue"/>
            <w:vAlign w:val="center"/>
          </w:tcPr>
          <w:p w14:paraId="391951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07" w:type="pct"/>
            <w:vAlign w:val="center"/>
          </w:tcPr>
          <w:p w14:paraId="1B65DC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c>
          <w:tcPr>
            <w:tcW w:w="1107" w:type="pct"/>
            <w:vAlign w:val="center"/>
          </w:tcPr>
          <w:p w14:paraId="2DB5FA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37.8</w:t>
            </w:r>
          </w:p>
        </w:tc>
        <w:tc>
          <w:tcPr>
            <w:tcW w:w="1107" w:type="pct"/>
            <w:vAlign w:val="center"/>
          </w:tcPr>
          <w:p w14:paraId="39699F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r>
      <w:tr w14:paraId="56510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Merge w:val="restart"/>
            <w:vAlign w:val="center"/>
          </w:tcPr>
          <w:p w14:paraId="03D9309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1007" w:type="pct"/>
            <w:vMerge w:val="restart"/>
            <w:vAlign w:val="center"/>
          </w:tcPr>
          <w:p w14:paraId="3E28CCD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项目厂界北侧外1 m处</w:t>
            </w:r>
          </w:p>
        </w:tc>
        <w:tc>
          <w:tcPr>
            <w:tcW w:w="1107" w:type="pct"/>
            <w:vAlign w:val="center"/>
          </w:tcPr>
          <w:p w14:paraId="3E474D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1107" w:type="pct"/>
            <w:vAlign w:val="center"/>
          </w:tcPr>
          <w:p w14:paraId="507D37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36.5</w:t>
            </w:r>
          </w:p>
        </w:tc>
        <w:tc>
          <w:tcPr>
            <w:tcW w:w="1107" w:type="pct"/>
            <w:vAlign w:val="center"/>
          </w:tcPr>
          <w:p w14:paraId="6ED0AB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65</w:t>
            </w:r>
          </w:p>
        </w:tc>
      </w:tr>
      <w:tr w14:paraId="15B0BD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70" w:type="pct"/>
            <w:vMerge w:val="continue"/>
            <w:vAlign w:val="center"/>
          </w:tcPr>
          <w:p w14:paraId="7D91E3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007" w:type="pct"/>
            <w:vMerge w:val="continue"/>
            <w:vAlign w:val="center"/>
          </w:tcPr>
          <w:p w14:paraId="60DA06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107" w:type="pct"/>
            <w:vAlign w:val="center"/>
          </w:tcPr>
          <w:p w14:paraId="273366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c>
          <w:tcPr>
            <w:tcW w:w="1107" w:type="pct"/>
            <w:vAlign w:val="center"/>
          </w:tcPr>
          <w:p w14:paraId="79F0C7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36.4</w:t>
            </w:r>
          </w:p>
        </w:tc>
        <w:tc>
          <w:tcPr>
            <w:tcW w:w="1107" w:type="pct"/>
            <w:vAlign w:val="center"/>
          </w:tcPr>
          <w:p w14:paraId="251E47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55</w:t>
            </w:r>
          </w:p>
        </w:tc>
      </w:tr>
    </w:tbl>
    <w:p w14:paraId="3871D24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由上表可知，厂区项目厂界噪声能够满足《工业企业厂界环境噪声排放标准》（GB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12348-2008）中的3类标准要求。</w:t>
      </w:r>
    </w:p>
    <w:p w14:paraId="019DEB8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5-4  敏感点噪声预测结果一览表   单位：dB（A）</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8"/>
        <w:gridCol w:w="1218"/>
        <w:gridCol w:w="1218"/>
        <w:gridCol w:w="1220"/>
        <w:gridCol w:w="1218"/>
        <w:gridCol w:w="1220"/>
      </w:tblGrid>
      <w:tr w14:paraId="43BA77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Align w:val="center"/>
          </w:tcPr>
          <w:p w14:paraId="22626B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敏感点</w:t>
            </w:r>
          </w:p>
        </w:tc>
        <w:tc>
          <w:tcPr>
            <w:tcW w:w="1428" w:type="pct"/>
            <w:gridSpan w:val="2"/>
            <w:vAlign w:val="center"/>
          </w:tcPr>
          <w:p w14:paraId="34C96B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背景值（最大）</w:t>
            </w:r>
          </w:p>
        </w:tc>
        <w:tc>
          <w:tcPr>
            <w:tcW w:w="1429" w:type="pct"/>
            <w:gridSpan w:val="2"/>
            <w:vAlign w:val="center"/>
          </w:tcPr>
          <w:p w14:paraId="2E1E53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贡献值</w:t>
            </w:r>
          </w:p>
        </w:tc>
        <w:tc>
          <w:tcPr>
            <w:tcW w:w="1429" w:type="pct"/>
            <w:gridSpan w:val="2"/>
            <w:vAlign w:val="center"/>
          </w:tcPr>
          <w:p w14:paraId="5C6C59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噪声预测值</w:t>
            </w:r>
          </w:p>
        </w:tc>
      </w:tr>
      <w:tr w14:paraId="4E22B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restart"/>
            <w:vAlign w:val="center"/>
          </w:tcPr>
          <w:p w14:paraId="638E97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项目西北侧最近居民点</w:t>
            </w:r>
          </w:p>
        </w:tc>
        <w:tc>
          <w:tcPr>
            <w:tcW w:w="714" w:type="pct"/>
            <w:vAlign w:val="center"/>
          </w:tcPr>
          <w:p w14:paraId="7066EB4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714" w:type="pct"/>
            <w:vAlign w:val="center"/>
          </w:tcPr>
          <w:p w14:paraId="375E26D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c>
          <w:tcPr>
            <w:tcW w:w="714" w:type="pct"/>
            <w:vAlign w:val="center"/>
          </w:tcPr>
          <w:p w14:paraId="3204EAB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715" w:type="pct"/>
            <w:vAlign w:val="center"/>
          </w:tcPr>
          <w:p w14:paraId="01AE05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c>
          <w:tcPr>
            <w:tcW w:w="714" w:type="pct"/>
            <w:vAlign w:val="center"/>
          </w:tcPr>
          <w:p w14:paraId="0C279C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昼间</w:t>
            </w:r>
          </w:p>
        </w:tc>
        <w:tc>
          <w:tcPr>
            <w:tcW w:w="715" w:type="pct"/>
            <w:vAlign w:val="center"/>
          </w:tcPr>
          <w:p w14:paraId="669DC8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夜间</w:t>
            </w:r>
          </w:p>
        </w:tc>
      </w:tr>
      <w:tr w14:paraId="43FA46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Merge w:val="continue"/>
            <w:vAlign w:val="center"/>
          </w:tcPr>
          <w:p w14:paraId="25C8BE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714" w:type="pct"/>
            <w:vAlign w:val="center"/>
          </w:tcPr>
          <w:p w14:paraId="214EB8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53</w:t>
            </w:r>
          </w:p>
        </w:tc>
        <w:tc>
          <w:tcPr>
            <w:tcW w:w="714" w:type="pct"/>
            <w:vAlign w:val="center"/>
          </w:tcPr>
          <w:p w14:paraId="6403BB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49</w:t>
            </w:r>
          </w:p>
        </w:tc>
        <w:tc>
          <w:tcPr>
            <w:tcW w:w="714" w:type="pct"/>
            <w:vAlign w:val="center"/>
          </w:tcPr>
          <w:p w14:paraId="7E449B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714" w:type="pct"/>
            <w:vAlign w:val="center"/>
          </w:tcPr>
          <w:p w14:paraId="28D1AA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p>
        </w:tc>
        <w:tc>
          <w:tcPr>
            <w:tcW w:w="714" w:type="pct"/>
            <w:vAlign w:val="center"/>
          </w:tcPr>
          <w:p w14:paraId="291985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53</w:t>
            </w:r>
          </w:p>
        </w:tc>
        <w:tc>
          <w:tcPr>
            <w:tcW w:w="715" w:type="pct"/>
            <w:vAlign w:val="center"/>
          </w:tcPr>
          <w:p w14:paraId="53216A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49</w:t>
            </w:r>
          </w:p>
        </w:tc>
      </w:tr>
      <w:tr w14:paraId="395FB5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Align w:val="center"/>
          </w:tcPr>
          <w:p w14:paraId="737373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评价标准</w:t>
            </w:r>
          </w:p>
        </w:tc>
        <w:tc>
          <w:tcPr>
            <w:tcW w:w="714" w:type="pct"/>
            <w:vAlign w:val="center"/>
          </w:tcPr>
          <w:p w14:paraId="2F2156D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60</w:t>
            </w:r>
          </w:p>
        </w:tc>
        <w:tc>
          <w:tcPr>
            <w:tcW w:w="714" w:type="pct"/>
            <w:vAlign w:val="center"/>
          </w:tcPr>
          <w:p w14:paraId="2D0CB8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w:t>
            </w:r>
          </w:p>
        </w:tc>
        <w:tc>
          <w:tcPr>
            <w:tcW w:w="714" w:type="pct"/>
            <w:vAlign w:val="center"/>
          </w:tcPr>
          <w:p w14:paraId="5C06CE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715" w:type="pct"/>
            <w:vAlign w:val="center"/>
          </w:tcPr>
          <w:p w14:paraId="0C26C9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714" w:type="pct"/>
            <w:vAlign w:val="center"/>
          </w:tcPr>
          <w:p w14:paraId="4700C0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60</w:t>
            </w:r>
          </w:p>
        </w:tc>
        <w:tc>
          <w:tcPr>
            <w:tcW w:w="715" w:type="pct"/>
            <w:vAlign w:val="center"/>
          </w:tcPr>
          <w:p w14:paraId="02F62E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w:t>
            </w:r>
          </w:p>
        </w:tc>
      </w:tr>
      <w:tr w14:paraId="6ABB59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vAlign w:val="center"/>
          </w:tcPr>
          <w:p w14:paraId="27BF3E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是否达标</w:t>
            </w:r>
          </w:p>
        </w:tc>
        <w:tc>
          <w:tcPr>
            <w:tcW w:w="714" w:type="pct"/>
            <w:vAlign w:val="center"/>
          </w:tcPr>
          <w:p w14:paraId="6EC454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达标</w:t>
            </w:r>
          </w:p>
        </w:tc>
        <w:tc>
          <w:tcPr>
            <w:tcW w:w="714" w:type="pct"/>
            <w:vAlign w:val="center"/>
          </w:tcPr>
          <w:p w14:paraId="7CF9DD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达标</w:t>
            </w:r>
          </w:p>
        </w:tc>
        <w:tc>
          <w:tcPr>
            <w:tcW w:w="714" w:type="pct"/>
            <w:vAlign w:val="center"/>
          </w:tcPr>
          <w:p w14:paraId="18A468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715" w:type="pct"/>
            <w:vAlign w:val="center"/>
          </w:tcPr>
          <w:p w14:paraId="763E04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714" w:type="pct"/>
            <w:vAlign w:val="center"/>
          </w:tcPr>
          <w:p w14:paraId="444847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达标</w:t>
            </w:r>
          </w:p>
        </w:tc>
        <w:tc>
          <w:tcPr>
            <w:tcW w:w="715" w:type="pct"/>
            <w:vAlign w:val="center"/>
          </w:tcPr>
          <w:p w14:paraId="23DCDA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达标</w:t>
            </w:r>
          </w:p>
        </w:tc>
      </w:tr>
    </w:tbl>
    <w:p w14:paraId="30676FF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由上表可知，敏感点噪声能够满足《声环境质量标准》（GB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3096-2008）2类标准要求。</w:t>
      </w:r>
    </w:p>
    <w:p w14:paraId="0B3FD065">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50" w:name="_Toc14596"/>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5.3 结论</w:t>
      </w:r>
      <w:bookmarkEnd w:id="350"/>
    </w:p>
    <w:p w14:paraId="2A2A6ED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由以上分析预测可知，本工程在严格落实环评规定对噪声源采取隔声、减振等措施情况下，运营后不会对周围声环境造成明显影响，从声环境影响角度讲，项目建设可行。</w:t>
      </w:r>
    </w:p>
    <w:p w14:paraId="38EBC24B">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51" w:name="_Toc26374"/>
      <w:bookmarkStart w:id="352" w:name="_Toc187011348"/>
      <w:bookmarkStart w:id="353" w:name="_Toc144276941"/>
      <w:bookmarkStart w:id="354" w:name="_Toc164200830"/>
      <w:bookmarkStart w:id="355" w:name="_Toc144236811"/>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6 运营期固体废物环境影响分析</w:t>
      </w:r>
      <w:bookmarkEnd w:id="351"/>
      <w:bookmarkEnd w:id="352"/>
      <w:bookmarkEnd w:id="353"/>
      <w:bookmarkEnd w:id="354"/>
      <w:bookmarkEnd w:id="355"/>
    </w:p>
    <w:p w14:paraId="47897EF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56" w:name="_Toc10834"/>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6.1 固体废物处置原则</w:t>
      </w:r>
      <w:bookmarkEnd w:id="356"/>
    </w:p>
    <w:p w14:paraId="00D829F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为防止固体废物污染环境，保障人体健康，对固体废物的处置首先考虑合理使用资源，充分回收，尽可能减少固体废物产生量，其次考虑对其安全、合理、卫生的处置，力图以最经济和最可靠的方式将废物量减量化、无害化和资源化，最大限度降低对环境的不利影响。</w:t>
      </w:r>
    </w:p>
    <w:p w14:paraId="7FCE9B9A">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57" w:name="_Toc1853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6.2 一般固体废物环境影响分析</w:t>
      </w:r>
      <w:bookmarkEnd w:id="357"/>
    </w:p>
    <w:p w14:paraId="34346FF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本项目一般固废主要是</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废弃油脂加工产生的废渣、污水处理设施隔油池产生的浮渣、成品油检验产生的废油、员工生活产生的生活垃圾。</w:t>
      </w:r>
    </w:p>
    <w:p w14:paraId="21712E3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废弃油脂加工产生的废渣</w:t>
      </w:r>
    </w:p>
    <w:p w14:paraId="5E8D4BB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本项目在生产过程中会产生废渣，根据原料含渣率得知，废渣的产生量约为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248 </w:t>
      </w:r>
      <w:r>
        <w:rPr>
          <w:rFonts w:hint="default" w:ascii="Times New Roman" w:hAnsi="Times New Roman" w:eastAsia="宋体" w:cs="Times New Roman"/>
          <w:color w:val="000000" w:themeColor="text1"/>
          <w:u w:val="none" w:color="auto"/>
          <w14:textFill>
            <w14:solidFill>
              <w14:schemeClr w14:val="tx1"/>
            </w14:solidFill>
          </w14:textFill>
        </w:rPr>
        <w:t>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废渣于沉渣池暂存，定期转运综合利用。</w:t>
      </w:r>
    </w:p>
    <w:p w14:paraId="7610B56E">
      <w:pPr>
        <w:keepNext w:val="0"/>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22"/>
          <w:u w:val="none" w:color="auto"/>
          <w:lang w:val="en-US" w:eastAsia="zh-CN" w:bidi="ar-SA"/>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污水处理设施隔油池产生的浮渣</w:t>
      </w:r>
    </w:p>
    <w:p w14:paraId="108C6BC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废弃油脂加工过程会有少量废渣随废水经收集管道排入隔油池，产生量约0.1 t/a，建设单位定期收集后回用。</w:t>
      </w:r>
    </w:p>
    <w:p w14:paraId="5309C8C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3）成品油检验产生的废油</w:t>
      </w:r>
    </w:p>
    <w:p w14:paraId="5068288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生产过程中，需定期取样化验，检测油品，根据建设单位提供资料，检测后废油产生量为0.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 </w:t>
      </w:r>
      <w:r>
        <w:rPr>
          <w:rFonts w:hint="default" w:ascii="Times New Roman" w:hAnsi="Times New Roman" w:eastAsia="宋体" w:cs="Times New Roman"/>
          <w:color w:val="000000" w:themeColor="text1"/>
          <w:u w:val="none" w:color="auto"/>
          <w14:textFill>
            <w14:solidFill>
              <w14:schemeClr w14:val="tx1"/>
            </w14:solidFill>
          </w14:textFill>
        </w:rPr>
        <w:t>t/a，</w:t>
      </w:r>
      <w:r>
        <w:rPr>
          <w:rFonts w:hint="default" w:ascii="Times New Roman" w:hAnsi="Times New Roman" w:eastAsia="宋体" w:cs="Times New Roman"/>
          <w:color w:val="000000" w:themeColor="text1"/>
          <w:u w:val="none" w:color="auto"/>
          <w:lang w:eastAsia="zh-CN"/>
          <w14:textFill>
            <w14:solidFill>
              <w14:schemeClr w14:val="tx1"/>
            </w14:solidFill>
          </w14:textFill>
        </w:rPr>
        <w:t>可作为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原料回用</w:t>
      </w:r>
      <w:r>
        <w:rPr>
          <w:rFonts w:hint="default" w:ascii="Times New Roman" w:hAnsi="Times New Roman" w:eastAsia="宋体" w:cs="Times New Roman"/>
          <w:color w:val="000000" w:themeColor="text1"/>
          <w:u w:val="none" w:color="auto"/>
          <w14:textFill>
            <w14:solidFill>
              <w14:schemeClr w14:val="tx1"/>
            </w14:solidFill>
          </w14:textFill>
        </w:rPr>
        <w:t>。</w:t>
      </w:r>
    </w:p>
    <w:p w14:paraId="46117E4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生活垃圾</w:t>
      </w:r>
    </w:p>
    <w:p w14:paraId="59700C7C">
      <w:pPr>
        <w:keepNext w:val="0"/>
        <w:keepLines w:val="0"/>
        <w:pageBreakBefore w:val="0"/>
        <w:widowControl w:val="0"/>
        <w:kinsoku/>
        <w:wordWrap/>
        <w:overflowPunct/>
        <w:topLinePunct w:val="0"/>
        <w:bidi w:val="0"/>
        <w:spacing w:line="360" w:lineRule="auto"/>
        <w:ind w:firstLine="44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pacing w:val="-10"/>
          <w:szCs w:val="24"/>
          <w:u w:val="none" w:color="auto"/>
          <w14:textFill>
            <w14:solidFill>
              <w14:schemeClr w14:val="tx1"/>
            </w14:solidFill>
          </w14:textFill>
        </w:rPr>
        <w:t>本项目总定员</w:t>
      </w:r>
      <w:r>
        <w:rPr>
          <w:rFonts w:hint="default" w:ascii="Times New Roman" w:hAnsi="Times New Roman" w:eastAsia="宋体" w:cs="Times New Roman"/>
          <w:color w:val="000000" w:themeColor="text1"/>
          <w:szCs w:val="20"/>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Cs w:val="20"/>
          <w:u w:val="none" w:color="auto"/>
          <w14:textFill>
            <w14:solidFill>
              <w14:schemeClr w14:val="tx1"/>
            </w14:solidFill>
          </w14:textFill>
        </w:rPr>
        <w:t>人</w:t>
      </w:r>
      <w:r>
        <w:rPr>
          <w:rFonts w:hint="default" w:ascii="Times New Roman" w:hAnsi="Times New Roman" w:eastAsia="宋体" w:cs="Times New Roman"/>
          <w:color w:val="000000" w:themeColor="text1"/>
          <w:u w:val="none" w:color="auto"/>
          <w14:textFill>
            <w14:solidFill>
              <w14:schemeClr w14:val="tx1"/>
            </w14:solidFill>
          </w14:textFill>
        </w:rPr>
        <w:t>，生活垃圾产生量按每人0.5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kg/d计，则生活垃圾产生量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3 </w:t>
      </w:r>
      <w:r>
        <w:rPr>
          <w:rFonts w:hint="default" w:ascii="Times New Roman" w:hAnsi="Times New Roman" w:eastAsia="宋体" w:cs="Times New Roman"/>
          <w:color w:val="000000" w:themeColor="text1"/>
          <w:u w:val="none" w:color="auto"/>
          <w14:textFill>
            <w14:solidFill>
              <w14:schemeClr w14:val="tx1"/>
            </w14:solidFill>
          </w14:textFill>
        </w:rPr>
        <w:t>t/a，经收集后交由环卫部门处置。</w:t>
      </w:r>
    </w:p>
    <w:p w14:paraId="649E30F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综上，</w:t>
      </w:r>
      <w:r>
        <w:rPr>
          <w:rFonts w:hint="default" w:ascii="Times New Roman" w:hAnsi="Times New Roman" w:eastAsia="宋体" w:cs="Times New Roman"/>
          <w:color w:val="000000" w:themeColor="text1"/>
          <w:u w:val="none" w:color="auto"/>
          <w14:textFill>
            <w14:solidFill>
              <w14:schemeClr w14:val="tx1"/>
            </w14:solidFill>
          </w14:textFill>
        </w:rPr>
        <w:t>本项目一般固废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均能得到妥善处置</w:t>
      </w:r>
      <w:r>
        <w:rPr>
          <w:rFonts w:hint="default" w:ascii="Times New Roman" w:hAnsi="Times New Roman" w:eastAsia="宋体" w:cs="Times New Roman"/>
          <w:color w:val="000000" w:themeColor="text1"/>
          <w:u w:val="none" w:color="auto"/>
          <w14:textFill>
            <w14:solidFill>
              <w14:schemeClr w14:val="tx1"/>
            </w14:solidFill>
          </w14:textFill>
        </w:rPr>
        <w:t>，对周边环境影响小。</w:t>
      </w:r>
    </w:p>
    <w:p w14:paraId="23C9232A">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58" w:name="_Toc1659"/>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6.3 危险废物环境影响分析</w:t>
      </w:r>
      <w:bookmarkEnd w:id="358"/>
    </w:p>
    <w:p w14:paraId="7656B4E8">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（1）危险废物产生和处置情况</w:t>
      </w:r>
    </w:p>
    <w:p w14:paraId="660CDD1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废气处理设施产生的废过滤棉</w:t>
      </w:r>
    </w:p>
    <w:p w14:paraId="7A0BD78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为保护活性炭及保障活性炭的处理效率，喷淋塔和二级活性炭之间使用过滤棉吸附喷淋塔产生的水汽，以及辅助废气处理，过滤棉每三个月更换一次，废过滤棉产生量约0.004 t/a</w:t>
      </w:r>
      <w:r>
        <w:rPr>
          <w:rFonts w:hint="default" w:ascii="Times New Roman" w:hAnsi="Times New Roman" w:eastAsia="宋体" w:cs="Times New Roman"/>
          <w:color w:val="000000" w:themeColor="text1"/>
          <w:u w:val="none" w:color="auto"/>
          <w14:textFill>
            <w14:solidFill>
              <w14:schemeClr w14:val="tx1"/>
            </w14:solidFill>
          </w14:textFill>
        </w:rPr>
        <w:t>（含吸附的有机废气）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依据《国家危险废物名录》（2025版），属于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含有或者沾染毒性、感染性危险废物的废弃的包装物、容器、过滤吸附介质</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属于危险废物，</w:t>
      </w:r>
      <w:r>
        <w:rPr>
          <w:rFonts w:hint="default" w:ascii="Times New Roman" w:hAnsi="Times New Roman" w:eastAsia="宋体" w:cs="Times New Roman"/>
          <w:color w:val="000000" w:themeColor="text1"/>
          <w:u w:val="none" w:color="auto"/>
          <w14:textFill>
            <w14:solidFill>
              <w14:schemeClr w14:val="tx1"/>
            </w14:solidFill>
          </w14:textFill>
        </w:rPr>
        <w:t>危废类别为HW4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，危废代码为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41</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废过滤棉</w:t>
      </w:r>
      <w:r>
        <w:rPr>
          <w:rFonts w:hint="default" w:ascii="Times New Roman" w:hAnsi="Times New Roman" w:eastAsia="宋体" w:cs="Times New Roman"/>
          <w:color w:val="000000" w:themeColor="text1"/>
          <w:u w:val="none" w:color="auto"/>
          <w14:textFill>
            <w14:solidFill>
              <w14:schemeClr w14:val="tx1"/>
            </w14:solidFill>
          </w14:textFill>
        </w:rPr>
        <w:t>使用防水密闭编织袋，暂存于危废暂存间，定期委托有资质单位处置。</w:t>
      </w:r>
    </w:p>
    <w:p w14:paraId="2947584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2）废气处理设施产生的废活性炭</w:t>
      </w:r>
    </w:p>
    <w:p w14:paraId="4F4B757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有机废气在活性炭中的过滤停留时间应为0.2～2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s。根据《活性炭吸附技术及其在环境工程中的应用》（郭坤敏等著），活性炭吸附力约为0.3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kg（废气）/kg活性炭，根据上文分析，本项目经活性炭吸附装置吸附的有机废气量为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0.4753516 </w:t>
      </w:r>
      <w:r>
        <w:rPr>
          <w:rFonts w:hint="default" w:ascii="Times New Roman" w:hAnsi="Times New Roman" w:eastAsia="宋体" w:cs="Times New Roman"/>
          <w:color w:val="000000" w:themeColor="text1"/>
          <w:u w:val="none" w:color="auto"/>
          <w14:textFill>
            <w14:solidFill>
              <w14:schemeClr w14:val="tx1"/>
            </w14:solidFill>
          </w14:textFill>
        </w:rPr>
        <w:t>t/a，则活性炭需求量为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1.58 t</w:t>
      </w:r>
      <w:r>
        <w:rPr>
          <w:rFonts w:hint="default" w:ascii="Times New Roman" w:hAnsi="Times New Roman" w:eastAsia="宋体" w:cs="Times New Roman"/>
          <w:color w:val="000000" w:themeColor="text1"/>
          <w:u w:val="none" w:color="auto"/>
          <w14:textFill>
            <w14:solidFill>
              <w14:schemeClr w14:val="tx1"/>
            </w14:solidFill>
          </w14:textFill>
        </w:rPr>
        <w:t>/a，为确保活性炭吸附效率，需要对活性炭进行定期更换，本环评要求项目活性炭每次更换量不少于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1.58 t</w:t>
      </w:r>
      <w:r>
        <w:rPr>
          <w:rFonts w:hint="default" w:ascii="Times New Roman" w:hAnsi="Times New Roman" w:eastAsia="宋体" w:cs="Times New Roman"/>
          <w:color w:val="000000" w:themeColor="text1"/>
          <w:u w:val="none" w:color="auto"/>
          <w14:textFill>
            <w14:solidFill>
              <w14:schemeClr w14:val="tx1"/>
            </w14:solidFill>
          </w14:textFill>
        </w:rPr>
        <w:t>，建议每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年</w:t>
      </w:r>
      <w:r>
        <w:rPr>
          <w:rFonts w:hint="default" w:ascii="Times New Roman" w:hAnsi="Times New Roman" w:eastAsia="宋体" w:cs="Times New Roman"/>
          <w:color w:val="000000" w:themeColor="text1"/>
          <w:u w:val="none" w:color="auto"/>
          <w14:textFill>
            <w14:solidFill>
              <w14:schemeClr w14:val="tx1"/>
            </w14:solidFill>
          </w14:textFill>
        </w:rPr>
        <w:t>更换一次，则废活性炭产生量为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1.58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 t</w:t>
      </w:r>
      <w:r>
        <w:rPr>
          <w:rFonts w:hint="default" w:ascii="Times New Roman" w:hAnsi="Times New Roman" w:eastAsia="宋体" w:cs="Times New Roman"/>
          <w:color w:val="000000" w:themeColor="text1"/>
          <w:u w:val="none" w:color="auto"/>
          <w14:textFill>
            <w14:solidFill>
              <w14:schemeClr w14:val="tx1"/>
            </w14:solidFill>
          </w14:textFill>
        </w:rPr>
        <w:t>/a（含吸附的有机废气）。依据《国家危险废物名录》（2025版），属于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VOCs治理过程中产生的废活性炭</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属于危险废物，</w:t>
      </w:r>
      <w:r>
        <w:rPr>
          <w:rFonts w:hint="default" w:ascii="Times New Roman" w:hAnsi="Times New Roman" w:eastAsia="宋体" w:cs="Times New Roman"/>
          <w:color w:val="000000" w:themeColor="text1"/>
          <w:u w:val="none" w:color="auto"/>
          <w14:textFill>
            <w14:solidFill>
              <w14:schemeClr w14:val="tx1"/>
            </w14:solidFill>
          </w14:textFill>
        </w:rPr>
        <w:t>危废类别为HW4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，危废代码为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39</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废活性炭</w:t>
      </w:r>
      <w:r>
        <w:rPr>
          <w:rFonts w:hint="default" w:ascii="Times New Roman" w:hAnsi="Times New Roman" w:eastAsia="宋体" w:cs="Times New Roman"/>
          <w:color w:val="000000" w:themeColor="text1"/>
          <w:u w:val="none" w:color="auto"/>
          <w14:textFill>
            <w14:solidFill>
              <w14:schemeClr w14:val="tx1"/>
            </w14:solidFill>
          </w14:textFill>
        </w:rPr>
        <w:t>使用防水密闭编织袋，暂存于危废暂存间，定期委托有资质单位处置。</w:t>
      </w:r>
    </w:p>
    <w:p w14:paraId="6E45A23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）设备检修产生的废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润滑油</w:t>
      </w:r>
    </w:p>
    <w:p w14:paraId="5C54FDB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生产设备维护和检修过程中也会产生废矿物油，产生量约0.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5 </w:t>
      </w:r>
      <w:r>
        <w:rPr>
          <w:rFonts w:hint="default" w:ascii="Times New Roman" w:hAnsi="Times New Roman" w:eastAsia="宋体" w:cs="Times New Roman"/>
          <w:color w:val="000000" w:themeColor="text1"/>
          <w:u w:val="none" w:color="auto"/>
          <w14:textFill>
            <w14:solidFill>
              <w14:schemeClr w14:val="tx1"/>
            </w14:solidFill>
          </w14:textFill>
        </w:rPr>
        <w:t>t/a</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依据《国家危险废物名录》（2025版），</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属于机械维修过程中产生的废润滑油，</w:t>
      </w:r>
      <w:r>
        <w:rPr>
          <w:rFonts w:hint="default" w:ascii="Times New Roman" w:hAnsi="Times New Roman" w:eastAsia="宋体" w:cs="Times New Roman"/>
          <w:color w:val="000000" w:themeColor="text1"/>
          <w:u w:val="none" w:color="auto"/>
          <w14:textFill>
            <w14:solidFill>
              <w14:schemeClr w14:val="tx1"/>
            </w14:solidFill>
          </w14:textFill>
        </w:rPr>
        <w:t>属于危险废物</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危废类别为HW08，废物代码：900-214-08，经收集后委托有资质的单位回收处理。</w:t>
      </w:r>
    </w:p>
    <w:p w14:paraId="7188AE2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废劳保用品</w:t>
      </w:r>
    </w:p>
    <w:p w14:paraId="352F351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项目生产过程中废弃的劳保用品产生量约为0.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 </w:t>
      </w:r>
      <w:r>
        <w:rPr>
          <w:rFonts w:hint="default" w:ascii="Times New Roman" w:hAnsi="Times New Roman" w:eastAsia="宋体" w:cs="Times New Roman"/>
          <w:color w:val="000000" w:themeColor="text1"/>
          <w:u w:val="none" w:color="auto"/>
          <w14:textFill>
            <w14:solidFill>
              <w14:schemeClr w14:val="tx1"/>
            </w14:solidFill>
          </w14:textFill>
        </w:rPr>
        <w:t>t/a，该部分废弃劳保用品，主要为检修过程产生的含油抹布、手套等</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依据《国家危险废物名录》（2025版），</w:t>
      </w:r>
      <w:r>
        <w:rPr>
          <w:rFonts w:hint="default" w:ascii="Times New Roman" w:hAnsi="Times New Roman" w:eastAsia="宋体" w:cs="Times New Roman"/>
          <w:b w:val="0"/>
          <w:bCs w:val="0"/>
          <w:caps w:val="0"/>
          <w:color w:val="000000" w:themeColor="text1"/>
          <w:spacing w:val="0"/>
          <w:position w:val="0"/>
          <w:sz w:val="24"/>
          <w:u w:val="none" w:color="auto"/>
          <w:lang w:val="en-US" w:eastAsia="zh-CN"/>
          <w14:textFill>
            <w14:solidFill>
              <w14:schemeClr w14:val="tx1"/>
            </w14:solidFill>
          </w14:textFill>
        </w:rPr>
        <w:t>属于含有或沾染毒性、感染性危险废物的废弃包装物、容器、过滤吸附介质，属于</w:t>
      </w:r>
      <w:r>
        <w:rPr>
          <w:rFonts w:hint="default" w:ascii="Times New Roman" w:hAnsi="Times New Roman" w:eastAsia="宋体" w:cs="Times New Roman"/>
          <w:color w:val="000000" w:themeColor="text1"/>
          <w:u w:val="none" w:color="auto"/>
          <w14:textFill>
            <w14:solidFill>
              <w14:schemeClr w14:val="tx1"/>
            </w14:solidFill>
          </w14:textFill>
        </w:rPr>
        <w:t>危险废物</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危废类别为HW49，废物代码：900-041-49，经收集后暂存于危废暂存间，定期委托有资质单位处置。</w:t>
      </w:r>
    </w:p>
    <w:p w14:paraId="389B597F">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（2）危险废物贮存场所（设施）环境影响分析</w:t>
      </w:r>
    </w:p>
    <w:p w14:paraId="3AC5209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1）危险废物贮存场所选址的可行性分析</w:t>
      </w:r>
    </w:p>
    <w:p w14:paraId="377F6D2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根据《危险废物贮存污染控制标准》（GB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18597-2023），危险废物集中贮存设施的主要选址要求如下：</w:t>
      </w:r>
    </w:p>
    <w:p w14:paraId="2E8B9BD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①贮存设施选址应满足生态环境保护法律法规、规划和</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三线一单</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生态环境分区管控的要求，建设项目应依法进行环境影响评价；</w:t>
      </w:r>
    </w:p>
    <w:p w14:paraId="3CE6F1D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②集中贮存设施不应选在生态保护红线区域、永久基本农田和其他需要特别保护的区域内，不应建在溶洞区或易遭受洪水、滑坡、泥石流、潮汐等严重自然灾害影响的地区；</w:t>
      </w:r>
    </w:p>
    <w:p w14:paraId="02D93B7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③贮存设施不应选在江河、湖泊、运河、渠道、水库及其最高水位线以下的滩地和岸坡，以及法律法规规定禁止贮存危险废物的其他地点；</w:t>
      </w:r>
    </w:p>
    <w:p w14:paraId="62CB4D6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④贮存设施场址的位置以及其与周围环境敏感目标的距离应依据环境影响评价文件确定。</w:t>
      </w:r>
    </w:p>
    <w:p w14:paraId="2C66187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由上述分析可知，本项目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拟</w:t>
      </w:r>
      <w:r>
        <w:rPr>
          <w:rFonts w:hint="default" w:ascii="Times New Roman" w:hAnsi="Times New Roman" w:eastAsia="宋体" w:cs="Times New Roman"/>
          <w:color w:val="000000" w:themeColor="text1"/>
          <w:u w:val="none" w:color="auto"/>
          <w14:textFill>
            <w14:solidFill>
              <w14:schemeClr w14:val="tx1"/>
            </w14:solidFill>
          </w14:textFill>
        </w:rPr>
        <w:t>建设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10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的危废暂存间，建设要求符合《危险废物贮存污染控制标准》（GB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18597-2023）中危险废物集中贮存设施的选址要求，本项目在落实危险废物贮存场所相关建设、设计和管理要求的前提下，对周边环境和敏感点影响较小。</w:t>
      </w:r>
    </w:p>
    <w:p w14:paraId="63C5F4E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2）危险废物贮存场所贮存能力分析</w:t>
      </w:r>
    </w:p>
    <w:p w14:paraId="3C515A6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危废暂存间</w:t>
      </w:r>
      <w:r>
        <w:rPr>
          <w:rFonts w:hint="default" w:ascii="Times New Roman" w:hAnsi="Times New Roman" w:eastAsia="宋体" w:cs="Times New Roman"/>
          <w:color w:val="000000" w:themeColor="text1"/>
          <w:u w:val="none" w:color="auto"/>
          <w14:textFill>
            <w14:solidFill>
              <w14:schemeClr w14:val="tx1"/>
            </w14:solidFill>
          </w14:textFill>
        </w:rPr>
        <w:t>占地面积为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10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至少每年转运一次。</w:t>
      </w:r>
      <w:r>
        <w:rPr>
          <w:rFonts w:hint="default" w:ascii="Times New Roman" w:hAnsi="Times New Roman" w:eastAsia="宋体" w:cs="Times New Roman"/>
          <w:color w:val="000000" w:themeColor="text1"/>
          <w:u w:val="none" w:color="auto"/>
          <w14:textFill>
            <w14:solidFill>
              <w14:schemeClr w14:val="tx1"/>
            </w14:solidFill>
          </w14:textFill>
        </w:rPr>
        <w:t>其中</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废过滤棉4袋/年，占地面积月2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废活性炭0.006 t/a，占地面积约0.5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废润滑油0.1 t/a（约10个废油桶），占地面积约3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废劳保用品0.1 t/a，占地面积约0.5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危废暂存间面积能满足项目需求。</w:t>
      </w:r>
    </w:p>
    <w:p w14:paraId="1F8E3FE7">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（3）危险废物贮存过程中对环境以及敏感点的影响分析</w:t>
      </w:r>
    </w:p>
    <w:p w14:paraId="2F36569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危险废物在贮存过程中，若管理不严格或不妥善，会造成土壤、大气、地下水和地表水污染，其主要可能途径为贮存场所无防雨、防风、防渗设施，雨水洗淋后污染物随渗滤液进入土壤和地表、地下水环境，大风时也可造成风蚀流失。本项目危废暂存间在上述所列污染途径情况下，可能对环境的污染危害影响主要有：</w:t>
      </w:r>
    </w:p>
    <w:p w14:paraId="52A39D6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①土壤结构和土质受到破坏，土壤中微生物生长受到毒素和抑制，栖息环境恶劣，微生物种群改变和减少；</w:t>
      </w:r>
    </w:p>
    <w:p w14:paraId="69D9DF5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②由于土壤污染，而对周边地面树木、花草的生长发育造成不良影响；</w:t>
      </w:r>
    </w:p>
    <w:p w14:paraId="6659060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③土壤受污染后，由于污染物在雨水淋滤下转移至地下水层，致使地下水（特别是潜层水）污染；</w:t>
      </w:r>
    </w:p>
    <w:p w14:paraId="0049586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危险废物对环境造成影响的程度取决于释放过程中污染物的转移量及其进入环境后的浓度。本项目危险废物委托有资质的单位处理。建设单位对危废暂存间的设计、建设和管理严格按照《危险废物贮存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18597-2023）、《环境保护图形标志</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固体废物贮存（处置）场》（GB 15562.2-1995）及2023年修改单和《危险废物收集、贮存、运输技术规范》（HJ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2025-2012）的规定进行。</w:t>
      </w:r>
    </w:p>
    <w:p w14:paraId="18D1CFD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本项目产生的危险废物，在落实危险废物贮存场所相关建设、设计和管理要求的前提下，对周边环境和敏感点影响较小。</w:t>
      </w:r>
    </w:p>
    <w:p w14:paraId="441F7C8B">
      <w:pPr>
        <w:keepNext w:val="0"/>
        <w:keepLines w:val="0"/>
        <w:pageBreakBefore w:val="0"/>
        <w:widowControl w:val="0"/>
        <w:kinsoku/>
        <w:wordWrap/>
        <w:overflowPunct/>
        <w:topLinePunct w:val="0"/>
        <w:bidi w:val="0"/>
        <w:spacing w:line="360" w:lineRule="auto"/>
        <w:ind w:firstLine="482" w:firstLineChars="200"/>
        <w:rPr>
          <w:rFonts w:hint="default" w:ascii="Times New Roman" w:hAnsi="Times New Roman" w:eastAsia="宋体" w:cs="Times New Roman"/>
          <w:b/>
          <w:color w:val="000000" w:themeColor="text1"/>
          <w:u w:val="none" w:color="auto"/>
          <w14:textFill>
            <w14:solidFill>
              <w14:schemeClr w14:val="tx1"/>
            </w14:solidFill>
          </w14:textFill>
        </w:rPr>
      </w:pPr>
      <w:r>
        <w:rPr>
          <w:rFonts w:hint="default" w:ascii="Times New Roman" w:hAnsi="Times New Roman" w:eastAsia="宋体" w:cs="Times New Roman"/>
          <w:b/>
          <w:color w:val="000000" w:themeColor="text1"/>
          <w:u w:val="none" w:color="auto"/>
          <w14:textFill>
            <w14:solidFill>
              <w14:schemeClr w14:val="tx1"/>
            </w14:solidFill>
          </w14:textFill>
        </w:rPr>
        <w:t>（4）运输过程的环境影响分析</w:t>
      </w:r>
    </w:p>
    <w:p w14:paraId="06F9B7F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本项目危险废物在危废产生运输到危废暂存间和处置设施过程中存在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跑、冒、滴、漏</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引起环境污染的可能性。建设单位应及时地将危废送到危废暂存间；盛装危险废物的容器或包装材料适合于所盛危险废物，并要有足够的强度，装卸过程不易破损，确保危险废物运输到危废暂存间过程中不扬散、不渗漏、不释放有毒有害气体和臭味。</w:t>
      </w:r>
    </w:p>
    <w:p w14:paraId="4403DF6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综上所述</w:t>
      </w:r>
      <w:r>
        <w:rPr>
          <w:rFonts w:hint="default" w:ascii="Times New Roman" w:hAnsi="Times New Roman" w:eastAsia="宋体" w:cs="Times New Roman"/>
          <w:color w:val="000000" w:themeColor="text1"/>
          <w:u w:val="none" w:color="auto"/>
          <w14:textFill>
            <w14:solidFill>
              <w14:schemeClr w14:val="tx1"/>
            </w14:solidFill>
          </w14:textFill>
        </w:rPr>
        <w:t>，本项目产生的固体废物均得到合理处置，从根本上防止了固体废物的污染，因此工程生产过程排放的固体废物对周围环境影响很小。</w:t>
      </w:r>
    </w:p>
    <w:p w14:paraId="639ED2D4">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59" w:name="_Toc21183"/>
      <w:bookmarkStart w:id="360" w:name="_Toc187011349"/>
      <w:bookmarkStart w:id="361" w:name="_Toc144276942"/>
      <w:bookmarkStart w:id="362" w:name="_Toc164200831"/>
      <w:bookmarkStart w:id="363" w:name="_Toc144236812"/>
      <w:bookmarkStart w:id="364" w:name="_Toc144276943"/>
      <w:bookmarkStart w:id="365" w:name="_Toc187011350"/>
      <w:bookmarkStart w:id="366" w:name="_Toc144236813"/>
      <w:bookmarkStart w:id="367" w:name="_Toc16420083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7 运营期土壤环境影响分析</w:t>
      </w:r>
      <w:bookmarkEnd w:id="359"/>
      <w:bookmarkEnd w:id="360"/>
      <w:bookmarkEnd w:id="361"/>
      <w:bookmarkEnd w:id="362"/>
      <w:bookmarkEnd w:id="363"/>
    </w:p>
    <w:p w14:paraId="5F0AE96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bookmarkStart w:id="368" w:name="_Toc11273"/>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7.1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评价等级</w:t>
      </w:r>
      <w:bookmarkEnd w:id="368"/>
    </w:p>
    <w:p w14:paraId="6EEA314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根据第2.6章分析</w:t>
      </w:r>
      <w:r>
        <w:rPr>
          <w:rFonts w:hint="default" w:ascii="Times New Roman" w:hAnsi="Times New Roman" w:eastAsia="宋体" w:cs="Times New Roman"/>
          <w:color w:val="000000" w:themeColor="text1"/>
          <w:u w:val="none" w:color="auto"/>
          <w14:textFill>
            <w14:solidFill>
              <w14:schemeClr w14:val="tx1"/>
            </w14:solidFill>
          </w14:textFill>
        </w:rPr>
        <w:t>，本项目土壤环境影响评价工作等级为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三</w:t>
      </w:r>
      <w:r>
        <w:rPr>
          <w:rFonts w:hint="default" w:ascii="Times New Roman" w:hAnsi="Times New Roman" w:eastAsia="宋体" w:cs="Times New Roman"/>
          <w:color w:val="000000" w:themeColor="text1"/>
          <w:u w:val="none" w:color="auto"/>
          <w14:textFill>
            <w14:solidFill>
              <w14:schemeClr w14:val="tx1"/>
            </w14:solidFill>
          </w14:textFill>
        </w:rPr>
        <w:t>级</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依据</w:t>
      </w:r>
      <w:r>
        <w:rPr>
          <w:rFonts w:hint="default" w:ascii="Times New Roman" w:hAnsi="Times New Roman" w:eastAsia="宋体" w:cs="Times New Roman"/>
          <w:color w:val="000000" w:themeColor="text1"/>
          <w:u w:val="none" w:color="auto"/>
          <w14:textFill>
            <w14:solidFill>
              <w14:schemeClr w14:val="tx1"/>
            </w14:solidFill>
          </w14:textFill>
        </w:rPr>
        <w:t>《环境影响评价技术导则</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土壤环境（试行）》（HJ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964-2018）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第8.7.4条</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评价工作等级为三级的建设项目，可采用定性描述或类比分析法进行预测。</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p>
    <w:p w14:paraId="09A0F510">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69" w:name="_Toc12507"/>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7.2 土壤环境影响</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途径</w:t>
      </w:r>
      <w:r>
        <w:rPr>
          <w:rFonts w:hint="default" w:ascii="Times New Roman" w:hAnsi="Times New Roman" w:eastAsia="宋体" w:cs="Times New Roman"/>
          <w:color w:val="000000" w:themeColor="text1"/>
          <w:u w:val="none" w:color="auto"/>
          <w14:textFill>
            <w14:solidFill>
              <w14:schemeClr w14:val="tx1"/>
            </w14:solidFill>
          </w14:textFill>
        </w:rPr>
        <w:t>分析</w:t>
      </w:r>
      <w:bookmarkEnd w:id="369"/>
    </w:p>
    <w:p w14:paraId="2C73B67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）大气沉降对土壤环境影响</w:t>
      </w:r>
    </w:p>
    <w:p w14:paraId="6E2B6A9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本项目废气主要为氨、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硫化氢、臭气浓度、非甲烷总烃</w:t>
      </w:r>
      <w:r>
        <w:rPr>
          <w:rFonts w:hint="default" w:ascii="Times New Roman" w:hAnsi="Times New Roman" w:eastAsia="宋体" w:cs="Times New Roman"/>
          <w:color w:val="000000" w:themeColor="text1"/>
          <w:u w:val="none" w:color="auto"/>
          <w14:textFill>
            <w14:solidFill>
              <w14:schemeClr w14:val="tx1"/>
            </w14:solidFill>
          </w14:textFill>
        </w:rPr>
        <w:t>，无其他重金属废气产生，项目运行对土壤影响较小，因此，可不考虑废气对周边土壤的大气沉降影响。</w:t>
      </w:r>
    </w:p>
    <w:p w14:paraId="12A5E72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）地面漫流对土壤环境影响</w:t>
      </w:r>
    </w:p>
    <w:p w14:paraId="01A155A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在事故工况产生的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油脂和</w:t>
      </w:r>
      <w:r>
        <w:rPr>
          <w:rFonts w:hint="default" w:ascii="Times New Roman" w:hAnsi="Times New Roman" w:eastAsia="宋体" w:cs="Times New Roman"/>
          <w:color w:val="000000" w:themeColor="text1"/>
          <w:u w:val="none" w:color="auto"/>
          <w14:textFill>
            <w14:solidFill>
              <w14:schemeClr w14:val="tx1"/>
            </w14:solidFill>
          </w14:textFill>
        </w:rPr>
        <w:t>事故废水可能会发生地面漫流，进一步污染土壤。建设单位应按照国家环境保护法律法规及标准要求，建立从污染源头、过程处理和最终排放的厂内三级防控体系，其中一级防控系统为各装置区围堰，二级防控系统为全厂事故水池，三级防控系统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雨、污排放口安装阻断阀</w:t>
      </w:r>
      <w:r>
        <w:rPr>
          <w:rFonts w:hint="default" w:ascii="Times New Roman" w:hAnsi="Times New Roman" w:eastAsia="宋体" w:cs="Times New Roman"/>
          <w:color w:val="000000" w:themeColor="text1"/>
          <w:u w:val="none" w:color="auto"/>
          <w14:textFill>
            <w14:solidFill>
              <w14:schemeClr w14:val="tx1"/>
            </w14:solidFill>
          </w14:textFill>
        </w:rPr>
        <w:t>。</w:t>
      </w:r>
    </w:p>
    <w:p w14:paraId="2560A28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通过三级防控系统，可将事故状态下事故废水控制在本项目范围内。确保事故废水和可能受污染的雨水不会发生地面漫流，进入土壤。在全面落实三级防控措施的情况下，事故废水的地面漫流对土壤影响较小。</w:t>
      </w:r>
    </w:p>
    <w:p w14:paraId="0747858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）厂区物料泄漏对土壤环境影响</w:t>
      </w:r>
    </w:p>
    <w:p w14:paraId="5DDAA71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装置或储存设施一旦发生泄漏后会导致物料泄漏，在未被引燃发生火灾爆炸的情况下，如果泄漏的有毒有害液体物料冲出装置围堰，未被及时收集的情况下，将进入土壤，甚至渗入至地下水层。泄漏物料一旦进入土壤可能对周围土壤造成污染，影响土壤微生物生存，造成土壤的盐碱化，破坏土壤的结构，对土壤环境造成局部斑块状的影响。</w:t>
      </w:r>
    </w:p>
    <w:p w14:paraId="2849A03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根据分析，确定本项目对土壤的影响类型和途径见下表所示，建设项目土壤环境影响类型与途径见下表。</w:t>
      </w:r>
    </w:p>
    <w:p w14:paraId="2B93772E">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7-1  建设项目土壤环境影响类型与影响途径表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5"/>
        <w:gridCol w:w="1705"/>
        <w:gridCol w:w="1706"/>
        <w:gridCol w:w="1706"/>
        <w:gridCol w:w="1707"/>
      </w:tblGrid>
      <w:tr w14:paraId="365AE9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Merge w:val="restart"/>
            <w:tcBorders>
              <w:top w:val="single" w:color="auto" w:sz="12" w:space="0"/>
            </w:tcBorders>
            <w:vAlign w:val="center"/>
          </w:tcPr>
          <w:p w14:paraId="534FF1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不同时段</w:t>
            </w:r>
          </w:p>
        </w:tc>
        <w:tc>
          <w:tcPr>
            <w:tcW w:w="6823" w:type="dxa"/>
            <w:gridSpan w:val="4"/>
            <w:tcBorders>
              <w:top w:val="single" w:color="auto" w:sz="12" w:space="0"/>
            </w:tcBorders>
            <w:vAlign w:val="center"/>
          </w:tcPr>
          <w:p w14:paraId="3CEEF5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污染影响型</w:t>
            </w:r>
          </w:p>
        </w:tc>
      </w:tr>
      <w:tr w14:paraId="5BB9BB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Merge w:val="continue"/>
            <w:tcBorders>
              <w:top w:val="single" w:color="auto" w:sz="12" w:space="0"/>
            </w:tcBorders>
            <w:vAlign w:val="center"/>
          </w:tcPr>
          <w:p w14:paraId="58B86D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705" w:type="dxa"/>
            <w:vAlign w:val="center"/>
          </w:tcPr>
          <w:p w14:paraId="364BE9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大气沉降</w:t>
            </w:r>
          </w:p>
        </w:tc>
        <w:tc>
          <w:tcPr>
            <w:tcW w:w="1706" w:type="dxa"/>
            <w:vAlign w:val="center"/>
          </w:tcPr>
          <w:p w14:paraId="195B4E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地面漫流</w:t>
            </w:r>
          </w:p>
        </w:tc>
        <w:tc>
          <w:tcPr>
            <w:tcW w:w="1706" w:type="dxa"/>
            <w:vAlign w:val="center"/>
          </w:tcPr>
          <w:p w14:paraId="5EE4E6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垂直入渗</w:t>
            </w:r>
          </w:p>
        </w:tc>
        <w:tc>
          <w:tcPr>
            <w:tcW w:w="1706" w:type="dxa"/>
            <w:vAlign w:val="center"/>
          </w:tcPr>
          <w:p w14:paraId="0E6535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其他</w:t>
            </w:r>
          </w:p>
        </w:tc>
      </w:tr>
      <w:tr w14:paraId="626590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vAlign w:val="center"/>
          </w:tcPr>
          <w:p w14:paraId="7F6BA32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建设期</w:t>
            </w:r>
          </w:p>
        </w:tc>
        <w:tc>
          <w:tcPr>
            <w:tcW w:w="1705" w:type="dxa"/>
            <w:vAlign w:val="center"/>
          </w:tcPr>
          <w:p w14:paraId="5F5FF0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1706" w:type="dxa"/>
            <w:vAlign w:val="center"/>
          </w:tcPr>
          <w:p w14:paraId="7E873D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1706" w:type="dxa"/>
            <w:vAlign w:val="center"/>
          </w:tcPr>
          <w:p w14:paraId="2550B5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1706" w:type="dxa"/>
            <w:vAlign w:val="center"/>
          </w:tcPr>
          <w:p w14:paraId="24516A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76D5A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tcBorders>
              <w:bottom w:val="single" w:color="auto" w:sz="12" w:space="0"/>
            </w:tcBorders>
            <w:vAlign w:val="center"/>
          </w:tcPr>
          <w:p w14:paraId="6D6D54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运营期</w:t>
            </w:r>
          </w:p>
        </w:tc>
        <w:tc>
          <w:tcPr>
            <w:tcW w:w="1705" w:type="dxa"/>
            <w:tcBorders>
              <w:bottom w:val="single" w:color="auto" w:sz="12" w:space="0"/>
            </w:tcBorders>
            <w:vAlign w:val="center"/>
          </w:tcPr>
          <w:p w14:paraId="165C4A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1706" w:type="dxa"/>
            <w:tcBorders>
              <w:bottom w:val="single" w:color="auto" w:sz="12" w:space="0"/>
            </w:tcBorders>
            <w:vAlign w:val="center"/>
          </w:tcPr>
          <w:p w14:paraId="6DA298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1706" w:type="dxa"/>
            <w:tcBorders>
              <w:bottom w:val="single" w:color="auto" w:sz="12" w:space="0"/>
            </w:tcBorders>
            <w:vAlign w:val="center"/>
          </w:tcPr>
          <w:p w14:paraId="11CD69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1706" w:type="dxa"/>
            <w:tcBorders>
              <w:bottom w:val="single" w:color="auto" w:sz="12" w:space="0"/>
            </w:tcBorders>
            <w:vAlign w:val="center"/>
          </w:tcPr>
          <w:p w14:paraId="1067BD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bl>
    <w:p w14:paraId="7DF8230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建设项目土壤环境影响源及影响因子识别见下表。</w:t>
      </w:r>
    </w:p>
    <w:p w14:paraId="336511D2">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7-2  建设项目土壤环境影响源及影响因子识别表</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13"/>
        <w:gridCol w:w="1377"/>
        <w:gridCol w:w="1194"/>
        <w:gridCol w:w="1533"/>
        <w:gridCol w:w="1533"/>
        <w:gridCol w:w="1379"/>
      </w:tblGrid>
      <w:tr w14:paraId="20FEC7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3" w:type="dxa"/>
            <w:tcBorders>
              <w:top w:val="single" w:color="auto" w:sz="12" w:space="0"/>
            </w:tcBorders>
            <w:vAlign w:val="center"/>
          </w:tcPr>
          <w:p w14:paraId="476981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污染源</w:t>
            </w:r>
          </w:p>
        </w:tc>
        <w:tc>
          <w:tcPr>
            <w:tcW w:w="1377" w:type="dxa"/>
            <w:tcBorders>
              <w:top w:val="single" w:color="auto" w:sz="12" w:space="0"/>
            </w:tcBorders>
            <w:vAlign w:val="center"/>
          </w:tcPr>
          <w:p w14:paraId="359522C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工艺流程</w:t>
            </w:r>
          </w:p>
        </w:tc>
        <w:tc>
          <w:tcPr>
            <w:tcW w:w="1194" w:type="dxa"/>
            <w:tcBorders>
              <w:top w:val="single" w:color="auto" w:sz="12" w:space="0"/>
            </w:tcBorders>
            <w:vAlign w:val="center"/>
          </w:tcPr>
          <w:p w14:paraId="3564238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污染途径</w:t>
            </w:r>
          </w:p>
        </w:tc>
        <w:tc>
          <w:tcPr>
            <w:tcW w:w="1533" w:type="dxa"/>
            <w:tcBorders>
              <w:top w:val="single" w:color="auto" w:sz="12" w:space="0"/>
            </w:tcBorders>
            <w:vAlign w:val="center"/>
          </w:tcPr>
          <w:p w14:paraId="5DB2E5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全部污染指标</w:t>
            </w:r>
          </w:p>
        </w:tc>
        <w:tc>
          <w:tcPr>
            <w:tcW w:w="1533" w:type="dxa"/>
            <w:tcBorders>
              <w:top w:val="single" w:color="auto" w:sz="12" w:space="0"/>
            </w:tcBorders>
            <w:vAlign w:val="center"/>
          </w:tcPr>
          <w:p w14:paraId="33149C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特征因子</w:t>
            </w:r>
          </w:p>
        </w:tc>
        <w:tc>
          <w:tcPr>
            <w:tcW w:w="1379" w:type="dxa"/>
            <w:tcBorders>
              <w:top w:val="single" w:color="auto" w:sz="12" w:space="0"/>
            </w:tcBorders>
            <w:vAlign w:val="center"/>
          </w:tcPr>
          <w:p w14:paraId="38CCB9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备注</w:t>
            </w:r>
          </w:p>
        </w:tc>
      </w:tr>
      <w:tr w14:paraId="65F260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3" w:type="dxa"/>
            <w:vAlign w:val="center"/>
          </w:tcPr>
          <w:p w14:paraId="69290D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加工区</w:t>
            </w:r>
          </w:p>
        </w:tc>
        <w:tc>
          <w:tcPr>
            <w:tcW w:w="1377" w:type="dxa"/>
            <w:vAlign w:val="center"/>
          </w:tcPr>
          <w:p w14:paraId="67037E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生产过程</w:t>
            </w:r>
          </w:p>
        </w:tc>
        <w:tc>
          <w:tcPr>
            <w:tcW w:w="1194" w:type="dxa"/>
            <w:vAlign w:val="center"/>
          </w:tcPr>
          <w:p w14:paraId="0C09F60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垂直入渗</w:t>
            </w:r>
          </w:p>
        </w:tc>
        <w:tc>
          <w:tcPr>
            <w:tcW w:w="1533" w:type="dxa"/>
            <w:vAlign w:val="center"/>
          </w:tcPr>
          <w:p w14:paraId="753130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有机物</w:t>
            </w:r>
          </w:p>
        </w:tc>
        <w:tc>
          <w:tcPr>
            <w:tcW w:w="1533" w:type="dxa"/>
            <w:vAlign w:val="center"/>
          </w:tcPr>
          <w:p w14:paraId="7B209D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石油烃</w:t>
            </w:r>
          </w:p>
        </w:tc>
        <w:tc>
          <w:tcPr>
            <w:tcW w:w="1379" w:type="dxa"/>
            <w:vAlign w:val="center"/>
          </w:tcPr>
          <w:p w14:paraId="2D4C5F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事故</w:t>
            </w:r>
          </w:p>
        </w:tc>
      </w:tr>
      <w:tr w14:paraId="33A64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3" w:type="dxa"/>
            <w:vAlign w:val="center"/>
          </w:tcPr>
          <w:p w14:paraId="585A4A6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储罐区</w:t>
            </w:r>
          </w:p>
        </w:tc>
        <w:tc>
          <w:tcPr>
            <w:tcW w:w="1377" w:type="dxa"/>
            <w:shd w:val="clear" w:color="auto" w:fill="auto"/>
            <w:vAlign w:val="center"/>
          </w:tcPr>
          <w:p w14:paraId="56BE6C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贮存</w:t>
            </w:r>
            <w:r>
              <w:rPr>
                <w:rFonts w:hint="default" w:ascii="Times New Roman" w:hAnsi="Times New Roman" w:eastAsia="宋体" w:cs="Times New Roman"/>
                <w:color w:val="000000" w:themeColor="text1"/>
                <w:u w:val="none" w:color="auto"/>
                <w14:textFill>
                  <w14:solidFill>
                    <w14:schemeClr w14:val="tx1"/>
                  </w14:solidFill>
                </w14:textFill>
              </w:rPr>
              <w:t>过程</w:t>
            </w:r>
          </w:p>
        </w:tc>
        <w:tc>
          <w:tcPr>
            <w:tcW w:w="1194" w:type="dxa"/>
            <w:shd w:val="clear" w:color="auto" w:fill="auto"/>
            <w:vAlign w:val="center"/>
          </w:tcPr>
          <w:p w14:paraId="5B947C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垂直入渗</w:t>
            </w:r>
          </w:p>
        </w:tc>
        <w:tc>
          <w:tcPr>
            <w:tcW w:w="1533" w:type="dxa"/>
            <w:shd w:val="clear" w:color="auto" w:fill="auto"/>
            <w:vAlign w:val="center"/>
          </w:tcPr>
          <w:p w14:paraId="59336F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有机物</w:t>
            </w:r>
          </w:p>
        </w:tc>
        <w:tc>
          <w:tcPr>
            <w:tcW w:w="1533" w:type="dxa"/>
            <w:shd w:val="clear" w:color="auto" w:fill="auto"/>
            <w:vAlign w:val="center"/>
          </w:tcPr>
          <w:p w14:paraId="3357A8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石油烃</w:t>
            </w:r>
          </w:p>
        </w:tc>
        <w:tc>
          <w:tcPr>
            <w:tcW w:w="1379" w:type="dxa"/>
            <w:shd w:val="clear" w:color="auto" w:fill="auto"/>
            <w:vAlign w:val="center"/>
          </w:tcPr>
          <w:p w14:paraId="525B11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事故</w:t>
            </w:r>
          </w:p>
        </w:tc>
      </w:tr>
    </w:tbl>
    <w:p w14:paraId="15EA8148">
      <w:pPr>
        <w:pStyle w:val="6"/>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bookmarkStart w:id="370" w:name="_Toc20363"/>
      <w:r>
        <w:rPr>
          <w:rFonts w:hint="eastAsia" w:ascii="Times New Roman" w:hAnsi="Times New Roman" w:eastAsia="宋体" w:cs="Times New Roman"/>
          <w:color w:val="000000" w:themeColor="text1"/>
          <w:u w:val="none" w:color="auto"/>
          <w:lang w:val="en-US" w:eastAsia="zh-CN"/>
          <w14:textFill>
            <w14:solidFill>
              <w14:schemeClr w14:val="tx1"/>
            </w14:solidFill>
          </w14:textFill>
        </w:rPr>
        <w:t>6.7.3 土壤保护措施</w:t>
      </w:r>
      <w:bookmarkEnd w:id="370"/>
    </w:p>
    <w:p w14:paraId="32F34BE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土壤</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保护与污染防治按照</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源头控制、分区防治、污染监控、应急响应</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的原则。本项目运行过程中要建立健全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土壤</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保护与污染防治的措施与方法，采取必要的监测制度，一旦发现</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土壤</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遭受污染，就应及时采取措施，防微杜渐</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尽量减少污染物进入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土壤</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的机会和数量。</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土壤保护措施参照本章“6.4.5地下水保护措施”执行。</w:t>
      </w:r>
    </w:p>
    <w:p w14:paraId="19FD6FA9">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71" w:name="_Toc3705"/>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土壤环境影响分析</w:t>
      </w:r>
      <w:bookmarkEnd w:id="371"/>
    </w:p>
    <w:p w14:paraId="791C68AE">
      <w:pPr>
        <w:adjustRightInd w:val="0"/>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正常情况下，项目</w:t>
      </w:r>
      <w:r>
        <w:rPr>
          <w:rFonts w:hint="default" w:ascii="Times New Roman" w:hAnsi="Times New Roman" w:eastAsia="宋体" w:cs="Times New Roman"/>
          <w:color w:val="auto"/>
          <w:sz w:val="24"/>
          <w:szCs w:val="24"/>
          <w:u w:val="none" w:color="auto"/>
          <w:lang w:val="en-US" w:eastAsia="zh-CN"/>
        </w:rPr>
        <w:t>生产废水经密闭管道收集汇入隔油池+A/O预处理后通过园区污水管网排入园平江高新区污水处理厂深度处理，生活污水经园区化粪池处理后通过园区污水管网排入园平江高新区污水处理厂深度处理</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污水收集处理地面区域做好防渗漏措施，不会污染土壤；</w:t>
      </w:r>
      <w:r>
        <w:rPr>
          <w:rFonts w:hint="default" w:ascii="Times New Roman" w:hAnsi="Times New Roman" w:eastAsia="宋体" w:cs="Times New Roman"/>
          <w:color w:val="auto"/>
          <w:sz w:val="24"/>
          <w:szCs w:val="24"/>
          <w:u w:val="none" w:color="auto"/>
          <w:lang w:val="en-US" w:eastAsia="zh-CN"/>
        </w:rPr>
        <w:t>成品油</w:t>
      </w:r>
      <w:r>
        <w:rPr>
          <w:rFonts w:hint="default" w:ascii="Times New Roman" w:hAnsi="Times New Roman" w:eastAsia="宋体" w:cs="Times New Roman"/>
          <w:color w:val="auto"/>
          <w:sz w:val="24"/>
          <w:szCs w:val="24"/>
          <w:u w:val="none" w:color="auto"/>
        </w:rPr>
        <w:t>储罐为双层碳钢储罐，储罐区设有</w:t>
      </w:r>
      <w:r>
        <w:rPr>
          <w:rFonts w:hint="default" w:ascii="Times New Roman" w:hAnsi="Times New Roman" w:eastAsia="宋体" w:cs="Times New Roman"/>
          <w:color w:val="auto"/>
          <w:sz w:val="24"/>
          <w:szCs w:val="24"/>
          <w:u w:val="none" w:color="auto"/>
          <w:lang w:val="en-US" w:eastAsia="zh-CN"/>
        </w:rPr>
        <w:t>设置长2300 cm，宽850 cm，高60 cm的围堰</w:t>
      </w:r>
      <w:r>
        <w:rPr>
          <w:rFonts w:hint="default" w:ascii="Times New Roman" w:hAnsi="Times New Roman" w:eastAsia="宋体" w:cs="Times New Roman"/>
          <w:color w:val="auto"/>
          <w:sz w:val="24"/>
          <w:szCs w:val="24"/>
          <w:u w:val="none" w:color="auto"/>
        </w:rPr>
        <w:t>，地面与裙脚用坚固、防渗的材料建造耐腐蚀的硬化地面。产生的固废均得到妥善暂存、处理处置。项目运营期废水、固废、废气对土壤基本不会造成污染。</w:t>
      </w:r>
    </w:p>
    <w:p w14:paraId="1CE4D55A">
      <w:pPr>
        <w:adjustRightInd w:val="0"/>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事故情况下，项目运营期废水对土壤的影响主要</w:t>
      </w:r>
      <w:r>
        <w:rPr>
          <w:rFonts w:hint="default" w:ascii="Times New Roman" w:hAnsi="Times New Roman" w:eastAsia="宋体" w:cs="Times New Roman"/>
          <w:color w:val="auto"/>
          <w:sz w:val="24"/>
          <w:szCs w:val="24"/>
          <w:u w:val="none" w:color="auto"/>
          <w:lang w:val="en-US" w:eastAsia="zh-CN"/>
        </w:rPr>
        <w:t>因为</w:t>
      </w:r>
      <w:r>
        <w:rPr>
          <w:rFonts w:hint="default" w:ascii="Times New Roman" w:hAnsi="Times New Roman" w:eastAsia="宋体" w:cs="Times New Roman"/>
          <w:color w:val="auto"/>
          <w:sz w:val="24"/>
          <w:szCs w:val="24"/>
          <w:u w:val="none" w:color="auto"/>
        </w:rPr>
        <w:t>污水设施破裂，废水污染地下水及厂区周围土壤环境。成品油储罐发生裂缝导致物料发生泄漏，</w:t>
      </w:r>
      <w:r>
        <w:rPr>
          <w:rFonts w:hint="default" w:ascii="Times New Roman" w:hAnsi="Times New Roman" w:eastAsia="宋体" w:cs="Times New Roman"/>
          <w:color w:val="auto"/>
          <w:sz w:val="24"/>
          <w:szCs w:val="24"/>
          <w:u w:val="none" w:color="auto"/>
          <w:lang w:val="en-US" w:eastAsia="zh-CN"/>
        </w:rPr>
        <w:t>储罐区围堰破裂，</w:t>
      </w:r>
      <w:r>
        <w:rPr>
          <w:rFonts w:hint="default" w:ascii="Times New Roman" w:hAnsi="Times New Roman" w:eastAsia="宋体" w:cs="Times New Roman"/>
          <w:color w:val="auto"/>
          <w:sz w:val="24"/>
          <w:szCs w:val="24"/>
          <w:u w:val="none" w:color="auto"/>
        </w:rPr>
        <w:t>对土壤进行污染。</w:t>
      </w:r>
    </w:p>
    <w:p w14:paraId="19AFDF64">
      <w:pPr>
        <w:adjustRightInd w:val="0"/>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因此要求建设单位做好厂区地面防渗工作，避免污染土壤环境。运营期加强管道及设备的日常检查和维护管理，确保管道及设备不出现跑、冒、滴、漏的现象出现，可减少事故情况下对土壤环境的影响。</w:t>
      </w:r>
    </w:p>
    <w:p w14:paraId="084B546A">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综合分析，本项目在建设运营过程中通过采取各项有效措施后对土壤环境的影响很小。</w:t>
      </w:r>
    </w:p>
    <w:p w14:paraId="4FE45627">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372" w:name="_Toc22882"/>
      <w:r>
        <w:rPr>
          <w:rFonts w:hint="default" w:ascii="Times New Roman" w:hAnsi="Times New Roman" w:eastAsia="宋体" w:cs="Times New Roman"/>
          <w:color w:val="000000" w:themeColor="text1"/>
          <w:u w:val="none" w:color="auto"/>
          <w:lang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8 生态环境影响分析</w:t>
      </w:r>
      <w:bookmarkEnd w:id="364"/>
      <w:bookmarkEnd w:id="365"/>
      <w:bookmarkEnd w:id="366"/>
      <w:bookmarkEnd w:id="367"/>
      <w:bookmarkEnd w:id="372"/>
    </w:p>
    <w:p w14:paraId="05C9FCD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所在的平江高新技术产业园已开发建成的区域有明显的人类活动干扰痕迹，动植物数量锐减，分布的植被以人工城市绿化带的植被为主，而未开发的区域内植被和动植物情况基本保持原貌，分布的植被多为松散的灌丛，间有马尾松、杉木等疏林地及蔬菜等农作物。据调查，评价区域内无珍稀、濒危植物及国家法规保护的植物资源，项目与周边功能区划相容。</w:t>
      </w:r>
    </w:p>
    <w:p w14:paraId="30F4D84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评价建议建设单位在厂区周围种植灌木、花草等植被，既可美化景观，又可以吸收净化生产车间产生的异味。项目建设对周边生态环境影响较小；本项目废水采取雨污分流，初期雨水及后期雨水设有切换阀，废水不会出现未经处理直接进入周边水体的情况。本项目外排废水最终受纳水体为凌公桥河，对水环境的影响已纳入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相关评价，不会改变受纳水体的功能。</w:t>
      </w:r>
    </w:p>
    <w:p w14:paraId="3C1A33C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pPr>
    </w:p>
    <w:p w14:paraId="54400E50">
      <w:pPr>
        <w:keepNext w:val="0"/>
        <w:keepLines w:val="0"/>
        <w:pageBreakBefore w:val="0"/>
        <w:widowControl w:val="0"/>
        <w:kinsoku/>
        <w:wordWrap/>
        <w:overflowPunct/>
        <w:topLinePunct w:val="0"/>
        <w:bidi w:val="0"/>
        <w:rPr>
          <w:rFonts w:hint="default" w:ascii="Times New Roman" w:hAnsi="Times New Roman" w:eastAsia="宋体" w:cs="Times New Roman"/>
          <w:color w:val="FF0000"/>
          <w:u w:val="none" w:color="auto"/>
        </w:rPr>
        <w:sectPr>
          <w:headerReference r:id="rId14" w:type="first"/>
          <w:footerReference r:id="rId17" w:type="first"/>
          <w:headerReference r:id="rId12" w:type="default"/>
          <w:footerReference r:id="rId15" w:type="default"/>
          <w:headerReference r:id="rId13" w:type="even"/>
          <w:footerReference r:id="rId16" w:type="even"/>
          <w:pgSz w:w="11907" w:h="16840"/>
          <w:pgMar w:top="1440" w:right="1797" w:bottom="1440" w:left="1797" w:header="851" w:footer="992" w:gutter="0"/>
          <w:pgBorders>
            <w:top w:val="none" w:sz="0" w:space="0"/>
            <w:left w:val="none" w:sz="0" w:space="0"/>
            <w:bottom w:val="none" w:sz="0" w:space="0"/>
            <w:right w:val="none" w:sz="0" w:space="0"/>
          </w:pgBorders>
          <w:cols w:space="720" w:num="1"/>
          <w:docGrid w:linePitch="326" w:charSpace="0"/>
        </w:sectPr>
      </w:pPr>
    </w:p>
    <w:p w14:paraId="3871EA6E">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373" w:name="_Toc6009"/>
      <w:bookmarkStart w:id="374" w:name="_Toc191240064"/>
      <w:bookmarkStart w:id="375" w:name="_Toc188005906"/>
      <w:r>
        <w:rPr>
          <w:rFonts w:hint="default" w:ascii="Times New Roman" w:hAnsi="Times New Roman" w:eastAsia="宋体" w:cs="Times New Roman"/>
          <w:color w:val="000000" w:themeColor="text1"/>
          <w:u w:val="none" w:color="auto"/>
          <w14:textFill>
            <w14:solidFill>
              <w14:schemeClr w14:val="tx1"/>
            </w14:solidFill>
          </w14:textFill>
        </w:rPr>
        <w:t>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章 环境风险分析</w:t>
      </w:r>
      <w:bookmarkEnd w:id="373"/>
      <w:bookmarkEnd w:id="374"/>
      <w:bookmarkEnd w:id="375"/>
    </w:p>
    <w:p w14:paraId="5E34906A">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76" w:name="_Toc7920"/>
      <w:bookmarkStart w:id="377" w:name="_Toc164200842"/>
      <w:bookmarkStart w:id="378" w:name="_Toc191240065"/>
      <w:bookmarkStart w:id="379" w:name="_Toc144236823"/>
      <w:bookmarkStart w:id="380" w:name="_Toc187011352"/>
      <w:bookmarkStart w:id="381" w:name="_Toc102658227"/>
      <w:bookmarkStart w:id="382" w:name="_Toc144276953"/>
      <w:r>
        <w:rPr>
          <w:rFonts w:hint="default" w:ascii="Times New Roman" w:hAnsi="Times New Roman" w:eastAsia="宋体" w:cs="Times New Roman"/>
          <w:color w:val="000000" w:themeColor="text1"/>
          <w:u w:val="none" w:color="auto"/>
          <w:lang w:val="en-US" w:eastAsia="zh-CN"/>
          <w14:textFill>
            <w14:solidFill>
              <w14:schemeClr w14:val="tx1"/>
            </w14:solidFill>
          </w14:textFill>
        </w:rPr>
        <w:t>7.1 环境风险评价原则及评价程序</w:t>
      </w:r>
      <w:bookmarkEnd w:id="376"/>
    </w:p>
    <w:p w14:paraId="77CBF2D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环境风险是指突发性事故造成重大环境污染的事件，具有危害性大、影响范围广等特点，同时风险发生又有很大的不确定性，可能不会发生，但一旦发生，对环境会产生较大影响。</w:t>
      </w:r>
    </w:p>
    <w:p w14:paraId="3C7F345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环境风险评价应以突发性事故导致的危险物质环境应急损害防控为目标，对建设项目的环境风险进行分析、预测和评估，提出环境风险预防、控制、减缓措施，明确环境风险监控及应急建议要求，为建设项目环境风险防控提供科学依据。</w:t>
      </w:r>
    </w:p>
    <w:p w14:paraId="1A9D3F2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本次评价根据《建设项目环境风险评价技术导则》（HJ 169-2018）的规定要求对拟建项目的环境风险进行评价，同时根据建设项目环境风险可能影响的范围与程度，提出缓解环境风险的建议措施。</w:t>
      </w:r>
    </w:p>
    <w:p w14:paraId="7289645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评价工作程序见下图。</w:t>
      </w:r>
    </w:p>
    <w:p w14:paraId="49BEA07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4445635" cy="4590415"/>
            <wp:effectExtent l="0" t="0" r="12065" b="635"/>
            <wp:docPr id="225" name="图片 86"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86" descr="wps1"/>
                    <pic:cNvPicPr>
                      <a:picLocks noChangeAspect="1"/>
                    </pic:cNvPicPr>
                  </pic:nvPicPr>
                  <pic:blipFill>
                    <a:blip r:embed="rId47"/>
                    <a:stretch>
                      <a:fillRect/>
                    </a:stretch>
                  </pic:blipFill>
                  <pic:spPr>
                    <a:xfrm>
                      <a:off x="0" y="0"/>
                      <a:ext cx="4445566" cy="4590007"/>
                    </a:xfrm>
                    <a:prstGeom prst="rect">
                      <a:avLst/>
                    </a:prstGeom>
                    <a:noFill/>
                    <a:ln>
                      <a:noFill/>
                    </a:ln>
                  </pic:spPr>
                </pic:pic>
              </a:graphicData>
            </a:graphic>
          </wp:inline>
        </w:drawing>
      </w:r>
    </w:p>
    <w:p w14:paraId="7C9C78C5">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图</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  评价工作程序</w:t>
      </w:r>
    </w:p>
    <w:p w14:paraId="0447E4F3">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83" w:name="_Toc10443"/>
      <w:r>
        <w:rPr>
          <w:rFonts w:hint="eastAsia" w:ascii="Times New Roman" w:hAnsi="Times New Roman" w:eastAsia="宋体" w:cs="Times New Roman"/>
          <w:color w:val="000000" w:themeColor="text1"/>
          <w:u w:val="none" w:color="auto"/>
          <w:lang w:val="en-US" w:eastAsia="zh-CN"/>
          <w14:textFill>
            <w14:solidFill>
              <w14:schemeClr w14:val="tx1"/>
            </w14:solidFill>
          </w14:textFill>
        </w:rPr>
        <w:t>7.2 环境风险识别</w:t>
      </w:r>
      <w:bookmarkEnd w:id="383"/>
    </w:p>
    <w:p w14:paraId="4EF7600F">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84" w:name="_Toc14888"/>
      <w:r>
        <w:rPr>
          <w:rFonts w:hint="eastAsia" w:ascii="Times New Roman" w:hAnsi="Times New Roman" w:eastAsia="宋体" w:cs="Times New Roman"/>
          <w:color w:val="000000" w:themeColor="text1"/>
          <w:u w:val="none" w:color="auto"/>
          <w:lang w:val="en-US" w:eastAsia="zh-CN"/>
          <w14:textFill>
            <w14:solidFill>
              <w14:schemeClr w14:val="tx1"/>
            </w14:solidFill>
          </w14:textFill>
        </w:rPr>
        <w:t>7.2.1 风险源调查</w:t>
      </w:r>
      <w:bookmarkEnd w:id="384"/>
    </w:p>
    <w:p w14:paraId="2C8BB0CB">
      <w:pPr>
        <w:pStyle w:val="7"/>
        <w:keepNext w:val="0"/>
        <w:keepLines w:val="0"/>
        <w:pageBreakBefore w:val="0"/>
        <w:widowControl w:val="0"/>
        <w:tabs>
          <w:tab w:val="left" w:pos="4080"/>
        </w:tabs>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7.2.1.1 环境风险物质调查</w:t>
      </w:r>
    </w:p>
    <w:p w14:paraId="0CD1951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按照《建设项目环境风险评价技术导则》（HJ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169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2018），本项目涉及的环境风险物质为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加工区暂存的废弃油脂、成品油储罐贮存的油类、危废暂存间暂存的</w:t>
      </w:r>
      <w:r>
        <w:rPr>
          <w:rFonts w:hint="default" w:ascii="Times New Roman" w:hAnsi="Times New Roman" w:eastAsia="宋体" w:cs="Times New Roman"/>
          <w:color w:val="000000" w:themeColor="text1"/>
          <w:u w:val="none" w:color="auto"/>
          <w14:textFill>
            <w14:solidFill>
              <w14:schemeClr w14:val="tx1"/>
            </w14:solidFill>
          </w14:textFill>
        </w:rPr>
        <w:t>危险废物，具体见下表所示。</w:t>
      </w:r>
    </w:p>
    <w:p w14:paraId="611F2C06">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 xml:space="preserve">  项目主要环境风险物质最大存储量一览表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926"/>
        <w:gridCol w:w="1909"/>
        <w:gridCol w:w="1704"/>
        <w:gridCol w:w="1710"/>
      </w:tblGrid>
      <w:tr w14:paraId="5CD71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8" w:type="pct"/>
            <w:vAlign w:val="center"/>
          </w:tcPr>
          <w:p w14:paraId="389BF8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序号</w:t>
            </w:r>
          </w:p>
        </w:tc>
        <w:tc>
          <w:tcPr>
            <w:tcW w:w="1129" w:type="pct"/>
            <w:vAlign w:val="center"/>
          </w:tcPr>
          <w:p w14:paraId="37F82B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危险单元</w:t>
            </w:r>
          </w:p>
        </w:tc>
        <w:tc>
          <w:tcPr>
            <w:tcW w:w="1119" w:type="pct"/>
            <w:vAlign w:val="center"/>
          </w:tcPr>
          <w:p w14:paraId="79AE22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危险物质</w:t>
            </w:r>
          </w:p>
        </w:tc>
        <w:tc>
          <w:tcPr>
            <w:tcW w:w="999" w:type="pct"/>
            <w:vAlign w:val="center"/>
          </w:tcPr>
          <w:p w14:paraId="7A07320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最大储存量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/t</w:t>
            </w:r>
          </w:p>
        </w:tc>
        <w:tc>
          <w:tcPr>
            <w:tcW w:w="1002" w:type="pct"/>
            <w:vAlign w:val="center"/>
          </w:tcPr>
          <w:p w14:paraId="377D42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贮存形式</w:t>
            </w:r>
          </w:p>
        </w:tc>
      </w:tr>
      <w:tr w14:paraId="527E06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6" w:type="dxa"/>
            <w:shd w:val="clear" w:color="auto" w:fill="auto"/>
            <w:vAlign w:val="center"/>
          </w:tcPr>
          <w:p w14:paraId="46288B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1129" w:type="pct"/>
            <w:vAlign w:val="center"/>
          </w:tcPr>
          <w:p w14:paraId="1A5DAA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原料收运</w:t>
            </w:r>
          </w:p>
        </w:tc>
        <w:tc>
          <w:tcPr>
            <w:tcW w:w="1119" w:type="pct"/>
            <w:vAlign w:val="center"/>
          </w:tcPr>
          <w:p w14:paraId="791683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w:t>
            </w:r>
          </w:p>
        </w:tc>
        <w:tc>
          <w:tcPr>
            <w:tcW w:w="999" w:type="pct"/>
            <w:vAlign w:val="center"/>
          </w:tcPr>
          <w:p w14:paraId="12DF73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27</w:t>
            </w:r>
          </w:p>
        </w:tc>
        <w:tc>
          <w:tcPr>
            <w:tcW w:w="1002" w:type="pct"/>
            <w:vAlign w:val="center"/>
          </w:tcPr>
          <w:p w14:paraId="268620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罐装</w:t>
            </w:r>
          </w:p>
        </w:tc>
      </w:tr>
      <w:tr w14:paraId="295364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6" w:type="dxa"/>
            <w:shd w:val="clear" w:color="auto" w:fill="auto"/>
            <w:vAlign w:val="center"/>
          </w:tcPr>
          <w:p w14:paraId="605D06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p>
        </w:tc>
        <w:tc>
          <w:tcPr>
            <w:tcW w:w="1129" w:type="pct"/>
            <w:vAlign w:val="center"/>
          </w:tcPr>
          <w:p w14:paraId="132D65F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原料加工区</w:t>
            </w:r>
          </w:p>
        </w:tc>
        <w:tc>
          <w:tcPr>
            <w:tcW w:w="1119" w:type="pct"/>
            <w:vAlign w:val="center"/>
          </w:tcPr>
          <w:p w14:paraId="60AC0D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w:t>
            </w:r>
          </w:p>
        </w:tc>
        <w:tc>
          <w:tcPr>
            <w:tcW w:w="999" w:type="pct"/>
            <w:vAlign w:val="center"/>
          </w:tcPr>
          <w:p w14:paraId="010A61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70</w:t>
            </w:r>
          </w:p>
        </w:tc>
        <w:tc>
          <w:tcPr>
            <w:tcW w:w="1002" w:type="pct"/>
            <w:vAlign w:val="center"/>
          </w:tcPr>
          <w:p w14:paraId="76FC23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罐装</w:t>
            </w:r>
          </w:p>
        </w:tc>
      </w:tr>
      <w:tr w14:paraId="401E1F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6" w:type="dxa"/>
            <w:shd w:val="clear" w:color="auto" w:fill="auto"/>
            <w:vAlign w:val="center"/>
          </w:tcPr>
          <w:p w14:paraId="39EC03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p>
        </w:tc>
        <w:tc>
          <w:tcPr>
            <w:tcW w:w="1129" w:type="pct"/>
            <w:vAlign w:val="center"/>
          </w:tcPr>
          <w:p w14:paraId="10531F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成品油储罐</w:t>
            </w:r>
          </w:p>
        </w:tc>
        <w:tc>
          <w:tcPr>
            <w:tcW w:w="1119" w:type="pct"/>
            <w:vAlign w:val="center"/>
          </w:tcPr>
          <w:p w14:paraId="1D40EA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成品油脂</w:t>
            </w:r>
          </w:p>
        </w:tc>
        <w:tc>
          <w:tcPr>
            <w:tcW w:w="999" w:type="pct"/>
            <w:vAlign w:val="center"/>
          </w:tcPr>
          <w:p w14:paraId="051E59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234</w:t>
            </w:r>
          </w:p>
        </w:tc>
        <w:tc>
          <w:tcPr>
            <w:tcW w:w="1002" w:type="pct"/>
            <w:vAlign w:val="center"/>
          </w:tcPr>
          <w:p w14:paraId="14DCD22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储罐</w:t>
            </w:r>
          </w:p>
        </w:tc>
      </w:tr>
      <w:tr w14:paraId="74E91B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8" w:type="pct"/>
            <w:vAlign w:val="center"/>
          </w:tcPr>
          <w:p w14:paraId="24941D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4</w:t>
            </w:r>
          </w:p>
        </w:tc>
        <w:tc>
          <w:tcPr>
            <w:tcW w:w="1129" w:type="pct"/>
            <w:vAlign w:val="center"/>
          </w:tcPr>
          <w:p w14:paraId="59E9CE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危废间</w:t>
            </w:r>
          </w:p>
        </w:tc>
        <w:tc>
          <w:tcPr>
            <w:tcW w:w="1119" w:type="pct"/>
            <w:vAlign w:val="center"/>
          </w:tcPr>
          <w:p w14:paraId="5877D9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w:t>
            </w:r>
          </w:p>
        </w:tc>
        <w:tc>
          <w:tcPr>
            <w:tcW w:w="999" w:type="pct"/>
            <w:vAlign w:val="center"/>
          </w:tcPr>
          <w:p w14:paraId="244621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1.804</w:t>
            </w:r>
          </w:p>
        </w:tc>
        <w:tc>
          <w:tcPr>
            <w:tcW w:w="1002" w:type="pct"/>
            <w:vAlign w:val="center"/>
          </w:tcPr>
          <w:p w14:paraId="1D6E44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袋装、罐装</w:t>
            </w:r>
          </w:p>
        </w:tc>
      </w:tr>
    </w:tbl>
    <w:p w14:paraId="722AC80C">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7.2.1.2 环境风险识别</w:t>
      </w:r>
    </w:p>
    <w:p w14:paraId="538FDA1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根据导则规定，拟建项目风险识别范围包括物质危险性识别、生产系统危险性识别和危险物质向环境转移的途径识别。</w:t>
      </w:r>
    </w:p>
    <w:p w14:paraId="0A6B217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物质风险识别范围：主要原材料及辅助材料、燃料、中间产品、最终产品以及生产过程排放的</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三废</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污染物等。</w:t>
      </w:r>
    </w:p>
    <w:p w14:paraId="6BC3EB1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生产设施风险识别范围：主要生产装置、贮运系统、公用工程系统、工程环保设施及辅助生产设施等。</w:t>
      </w:r>
    </w:p>
    <w:p w14:paraId="1BE68B6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85" w:name="_Toc2611"/>
      <w:r>
        <w:rPr>
          <w:rFonts w:hint="eastAsia" w:ascii="Times New Roman" w:hAnsi="Times New Roman" w:eastAsia="宋体" w:cs="Times New Roman"/>
          <w:color w:val="000000" w:themeColor="text1"/>
          <w:u w:val="none" w:color="auto"/>
          <w:lang w:val="en-US" w:eastAsia="zh-CN"/>
          <w14:textFill>
            <w14:solidFill>
              <w14:schemeClr w14:val="tx1"/>
            </w14:solidFill>
          </w14:textFill>
        </w:rPr>
        <w:t>7.2.2 风险潜势初判</w:t>
      </w:r>
      <w:bookmarkEnd w:id="385"/>
    </w:p>
    <w:p w14:paraId="03F4E04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根据《建设项目环境风险评价技术导则》（</w:t>
      </w:r>
      <w:r>
        <w:rPr>
          <w:rFonts w:hint="default" w:ascii="Times New Roman" w:hAnsi="Times New Roman" w:eastAsia="宋体" w:cs="Times New Roman"/>
          <w:color w:val="000000" w:themeColor="text1"/>
          <w:u w:val="none" w:color="auto"/>
          <w14:textFill>
            <w14:solidFill>
              <w14:schemeClr w14:val="tx1"/>
            </w14:solidFill>
          </w14:textFill>
        </w:rPr>
        <w:t>HJ169-2018</w:t>
      </w:r>
      <w:r>
        <w:rPr>
          <w:rFonts w:hint="eastAsia" w:ascii="Times New Roman" w:hAnsi="Times New Roman" w:eastAsia="宋体" w:cs="Times New Roman"/>
          <w:color w:val="000000" w:themeColor="text1"/>
          <w:u w:val="none" w:color="auto"/>
          <w14:textFill>
            <w14:solidFill>
              <w14:schemeClr w14:val="tx1"/>
            </w14:solidFill>
          </w14:textFill>
        </w:rPr>
        <w:t>）附录</w:t>
      </w:r>
      <w:r>
        <w:rPr>
          <w:rFonts w:hint="default" w:ascii="Times New Roman" w:hAnsi="Times New Roman" w:eastAsia="宋体" w:cs="Times New Roman"/>
          <w:color w:val="000000" w:themeColor="text1"/>
          <w:u w:val="none" w:color="auto"/>
          <w14:textFill>
            <w14:solidFill>
              <w14:schemeClr w14:val="tx1"/>
            </w14:solidFill>
          </w14:textFill>
        </w:rPr>
        <w:t>C</w:t>
      </w:r>
      <w:r>
        <w:rPr>
          <w:rFonts w:hint="eastAsia" w:ascii="Times New Roman" w:hAnsi="Times New Roman" w:eastAsia="宋体" w:cs="Times New Roman"/>
          <w:color w:val="000000" w:themeColor="text1"/>
          <w:u w:val="none" w:color="auto"/>
          <w14:textFill>
            <w14:solidFill>
              <w14:schemeClr w14:val="tx1"/>
            </w14:solidFill>
          </w14:textFill>
        </w:rPr>
        <w:t>，判断项目的风险潜势，需首先计算危险物质数量与临界量比值（</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eastAsia" w:ascii="Times New Roman" w:hAnsi="Times New Roman" w:eastAsia="宋体" w:cs="Times New Roman"/>
          <w:color w:val="000000" w:themeColor="text1"/>
          <w:u w:val="none" w:color="auto"/>
          <w14:textFill>
            <w14:solidFill>
              <w14:schemeClr w14:val="tx1"/>
            </w14:solidFill>
          </w14:textFill>
        </w:rPr>
        <w:t>）。</w:t>
      </w:r>
    </w:p>
    <w:p w14:paraId="566D24C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计算所涉及的每种危险物质在厂界内的最大存在总量与其在附录</w:t>
      </w:r>
      <w:r>
        <w:rPr>
          <w:rFonts w:hint="default" w:ascii="Times New Roman" w:hAnsi="Times New Roman" w:eastAsia="宋体" w:cs="Times New Roman"/>
          <w:color w:val="000000" w:themeColor="text1"/>
          <w:u w:val="none" w:color="auto"/>
          <w14:textFill>
            <w14:solidFill>
              <w14:schemeClr w14:val="tx1"/>
            </w14:solidFill>
          </w14:textFill>
        </w:rPr>
        <w:t>B</w:t>
      </w:r>
      <w:r>
        <w:rPr>
          <w:rFonts w:hint="eastAsia" w:ascii="Times New Roman" w:hAnsi="Times New Roman" w:eastAsia="宋体" w:cs="Times New Roman"/>
          <w:color w:val="000000" w:themeColor="text1"/>
          <w:u w:val="none" w:color="auto"/>
          <w14:textFill>
            <w14:solidFill>
              <w14:schemeClr w14:val="tx1"/>
            </w14:solidFill>
          </w14:textFill>
        </w:rPr>
        <w:t>中对应临界量的比值</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eastAsia" w:ascii="Times New Roman" w:hAnsi="Times New Roman" w:eastAsia="宋体" w:cs="Times New Roman"/>
          <w:color w:val="000000" w:themeColor="text1"/>
          <w:u w:val="none" w:color="auto"/>
          <w14:textFill>
            <w14:solidFill>
              <w14:schemeClr w14:val="tx1"/>
            </w14:solidFill>
          </w14:textFill>
        </w:rPr>
        <w:t>。在不同厂区的同一种物质，按其在厂界内的最大存在总量计算。</w:t>
      </w:r>
    </w:p>
    <w:p w14:paraId="5F72031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当只涉及一种危险物质时，计算该物质的总量与其临界量比值，即为</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eastAsia" w:ascii="Times New Roman" w:hAnsi="Times New Roman" w:eastAsia="宋体" w:cs="Times New Roman"/>
          <w:color w:val="000000" w:themeColor="text1"/>
          <w:u w:val="none" w:color="auto"/>
          <w14:textFill>
            <w14:solidFill>
              <w14:schemeClr w14:val="tx1"/>
            </w14:solidFill>
          </w14:textFill>
        </w:rPr>
        <w:t>；当存在多种危险物质时，则按式下式计算物质总量与其临界量比值（</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eastAsia" w:ascii="Times New Roman" w:hAnsi="Times New Roman" w:eastAsia="宋体" w:cs="Times New Roman"/>
          <w:color w:val="000000" w:themeColor="text1"/>
          <w:u w:val="none" w:color="auto"/>
          <w14:textFill>
            <w14:solidFill>
              <w14:schemeClr w14:val="tx1"/>
            </w14:solidFill>
          </w14:textFill>
        </w:rPr>
        <w:t>）：</w:t>
      </w:r>
    </w:p>
    <w:p w14:paraId="7DAFD4BC">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object>
          <v:shape id="_x0000_i1033" o:spt="75" type="#_x0000_t75" style="height:34pt;width:100pt;" o:ole="t" filled="f" o:preferrelative="t" stroked="f" coordsize="21600,21600">
            <v:path/>
            <v:fill on="f" focussize="0,0"/>
            <v:stroke on="f" joinstyle="miter"/>
            <v:imagedata r:id="rId29" o:title=""/>
            <o:lock v:ext="edit" aspectratio="t"/>
            <w10:wrap type="none"/>
            <w10:anchorlock/>
          </v:shape>
          <o:OLEObject Type="Embed" ProgID="Equation.KSEE3" ShapeID="_x0000_i1033" DrawAspect="Content" ObjectID="_1468075733" r:id="rId48">
            <o:LockedField>false</o:LockedField>
          </o:OLEObject>
        </w:object>
      </w:r>
    </w:p>
    <w:p w14:paraId="6C288D0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式中：q</w:t>
      </w:r>
      <w:r>
        <w:rPr>
          <w:rFonts w:hint="default" w:ascii="Times New Roman" w:hAnsi="Times New Roman" w:eastAsia="宋体" w:cs="Times New Roman"/>
          <w:color w:val="000000" w:themeColor="text1"/>
          <w:u w:val="none" w:color="auto"/>
          <w:vertAlign w:val="subscript"/>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n</w:t>
      </w:r>
      <w:r>
        <w:rPr>
          <w:rFonts w:hint="default" w:ascii="Times New Roman" w:hAnsi="Times New Roman" w:eastAsia="宋体" w:cs="Times New Roman"/>
          <w:color w:val="000000" w:themeColor="text1"/>
          <w:u w:val="none" w:color="auto"/>
          <w14:textFill>
            <w14:solidFill>
              <w14:schemeClr w14:val="tx1"/>
            </w14:solidFill>
          </w14:textFill>
        </w:rPr>
        <w:t>——每种危险物质的最大存在量，t；</w:t>
      </w:r>
    </w:p>
    <w:p w14:paraId="66F0E16C">
      <w:pPr>
        <w:keepNext w:val="0"/>
        <w:keepLines w:val="0"/>
        <w:pageBreakBefore w:val="0"/>
        <w:widowControl w:val="0"/>
        <w:kinsoku/>
        <w:wordWrap/>
        <w:overflowPunct/>
        <w:topLinePunct w:val="0"/>
        <w:bidi w:val="0"/>
        <w:spacing w:line="360" w:lineRule="auto"/>
        <w:ind w:leftChars="300"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……Q</w:t>
      </w:r>
      <w:r>
        <w:rPr>
          <w:rFonts w:hint="default" w:ascii="Times New Roman" w:hAnsi="Times New Roman" w:eastAsia="宋体" w:cs="Times New Roman"/>
          <w:color w:val="000000" w:themeColor="text1"/>
          <w:u w:val="none" w:color="auto"/>
          <w:vertAlign w:val="subscript"/>
          <w14:textFill>
            <w14:solidFill>
              <w14:schemeClr w14:val="tx1"/>
            </w14:solidFill>
          </w14:textFill>
        </w:rPr>
        <w:t>n</w:t>
      </w:r>
      <w:r>
        <w:rPr>
          <w:rFonts w:hint="default" w:ascii="Times New Roman" w:hAnsi="Times New Roman" w:eastAsia="宋体" w:cs="Times New Roman"/>
          <w:color w:val="000000" w:themeColor="text1"/>
          <w:u w:val="none" w:color="auto"/>
          <w14:textFill>
            <w14:solidFill>
              <w14:schemeClr w14:val="tx1"/>
            </w14:solidFill>
          </w14:textFill>
        </w:rPr>
        <w:t>——每种危险物质的临界量，t；</w:t>
      </w:r>
    </w:p>
    <w:p w14:paraId="327245F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当Q&lt;1时，该项目环境风险潜势为I；</w:t>
      </w:r>
    </w:p>
    <w:p w14:paraId="5CEE893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当Q≥1时，将Q值划分为：（1）1≤Q&lt;10；（2）10≤Q&lt;100；（3）Q≥100；</w:t>
      </w:r>
    </w:p>
    <w:p w14:paraId="1BA05CE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本项目风险物质储存情况及风险临界量比值情况详见下表</w:t>
      </w:r>
      <w:r>
        <w:rPr>
          <w:rFonts w:hint="default" w:ascii="Times New Roman" w:hAnsi="Times New Roman" w:eastAsia="宋体" w:cs="Times New Roman"/>
          <w:color w:val="000000" w:themeColor="text1"/>
          <w:u w:val="none" w:color="auto"/>
          <w14:textFill>
            <w14:solidFill>
              <w14:schemeClr w14:val="tx1"/>
            </w14:solidFill>
          </w14:textFill>
        </w:rPr>
        <w:t>。</w:t>
      </w:r>
    </w:p>
    <w:p w14:paraId="22DA1CA4">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风险物质情况一览表</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813"/>
        <w:gridCol w:w="1815"/>
        <w:gridCol w:w="1822"/>
        <w:gridCol w:w="2889"/>
      </w:tblGrid>
      <w:tr w14:paraId="31DDCF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87" w:type="pct"/>
            <w:vAlign w:val="center"/>
          </w:tcPr>
          <w:p w14:paraId="27840B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名称</w:t>
            </w:r>
          </w:p>
        </w:tc>
        <w:tc>
          <w:tcPr>
            <w:tcW w:w="1088" w:type="pct"/>
            <w:vAlign w:val="center"/>
          </w:tcPr>
          <w:p w14:paraId="11C293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最大存在量（t）</w:t>
            </w:r>
          </w:p>
        </w:tc>
        <w:tc>
          <w:tcPr>
            <w:tcW w:w="1091" w:type="pct"/>
            <w:vAlign w:val="center"/>
          </w:tcPr>
          <w:p w14:paraId="35E3FB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临界量（t）</w:t>
            </w:r>
          </w:p>
        </w:tc>
        <w:tc>
          <w:tcPr>
            <w:tcW w:w="1732" w:type="pct"/>
            <w:vAlign w:val="center"/>
          </w:tcPr>
          <w:p w14:paraId="08C1F6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b w:val="0"/>
                <w:bCs w:val="0"/>
                <w:sz w:val="21"/>
                <w:szCs w:val="21"/>
                <w:u w:val="none" w:color="auto"/>
              </w:rPr>
              <w:t>风险物质数量/临界量（Q）</w:t>
            </w:r>
          </w:p>
        </w:tc>
      </w:tr>
      <w:tr w14:paraId="12D8C5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87" w:type="pct"/>
            <w:vAlign w:val="center"/>
          </w:tcPr>
          <w:p w14:paraId="2CACBA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w:t>
            </w:r>
          </w:p>
        </w:tc>
        <w:tc>
          <w:tcPr>
            <w:tcW w:w="1088" w:type="pct"/>
            <w:vAlign w:val="center"/>
          </w:tcPr>
          <w:p w14:paraId="7024AA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97</w:t>
            </w:r>
          </w:p>
        </w:tc>
        <w:tc>
          <w:tcPr>
            <w:tcW w:w="1091" w:type="pct"/>
            <w:vAlign w:val="center"/>
          </w:tcPr>
          <w:p w14:paraId="579449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2500</w:t>
            </w:r>
          </w:p>
        </w:tc>
        <w:tc>
          <w:tcPr>
            <w:tcW w:w="1732" w:type="pct"/>
            <w:vAlign w:val="center"/>
          </w:tcPr>
          <w:p w14:paraId="5C535B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w:t>
            </w:r>
            <w:r>
              <w:rPr>
                <w:rFonts w:hint="eastAsia" w:eastAsia="宋体" w:cs="Times New Roman"/>
                <w:color w:val="000000" w:themeColor="text1"/>
                <w:u w:val="none" w:color="auto"/>
                <w:lang w:val="en-US" w:eastAsia="zh-CN"/>
                <w14:textFill>
                  <w14:solidFill>
                    <w14:schemeClr w14:val="tx1"/>
                  </w14:solidFill>
                </w14:textFill>
              </w:rPr>
              <w:t>388</w:t>
            </w:r>
          </w:p>
        </w:tc>
      </w:tr>
      <w:tr w14:paraId="0E1687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87" w:type="pct"/>
            <w:vAlign w:val="center"/>
          </w:tcPr>
          <w:p w14:paraId="42A6300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21"/>
                <w:u w:val="none" w:color="auto"/>
                <w:shd w:val="clear" w:color="auto" w:fill="FFFFFF"/>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成品油脂</w:t>
            </w:r>
          </w:p>
        </w:tc>
        <w:tc>
          <w:tcPr>
            <w:tcW w:w="1088" w:type="pct"/>
            <w:vAlign w:val="center"/>
          </w:tcPr>
          <w:p w14:paraId="09FDB7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234</w:t>
            </w:r>
          </w:p>
        </w:tc>
        <w:tc>
          <w:tcPr>
            <w:tcW w:w="1091" w:type="pct"/>
            <w:vAlign w:val="center"/>
          </w:tcPr>
          <w:p w14:paraId="616D88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2500</w:t>
            </w:r>
          </w:p>
        </w:tc>
        <w:tc>
          <w:tcPr>
            <w:tcW w:w="1732" w:type="pct"/>
            <w:vAlign w:val="center"/>
          </w:tcPr>
          <w:p w14:paraId="762BCA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0.0936</w:t>
            </w:r>
          </w:p>
        </w:tc>
      </w:tr>
      <w:tr w14:paraId="128C23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87" w:type="pct"/>
            <w:vAlign w:val="center"/>
          </w:tcPr>
          <w:p w14:paraId="518AF2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w:t>
            </w:r>
          </w:p>
        </w:tc>
        <w:tc>
          <w:tcPr>
            <w:tcW w:w="1088" w:type="pct"/>
            <w:vAlign w:val="center"/>
          </w:tcPr>
          <w:p w14:paraId="4D77F2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1.804</w:t>
            </w:r>
          </w:p>
        </w:tc>
        <w:tc>
          <w:tcPr>
            <w:tcW w:w="1091" w:type="pct"/>
            <w:vAlign w:val="center"/>
          </w:tcPr>
          <w:p w14:paraId="6090385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50</w:t>
            </w:r>
          </w:p>
        </w:tc>
        <w:tc>
          <w:tcPr>
            <w:tcW w:w="1732" w:type="pct"/>
            <w:vAlign w:val="center"/>
          </w:tcPr>
          <w:p w14:paraId="28C94B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eastAsia" w:eastAsia="宋体" w:cs="Times New Roman"/>
                <w:color w:val="000000" w:themeColor="text1"/>
                <w:u w:val="none" w:color="auto"/>
                <w:lang w:val="en-US" w:eastAsia="zh-CN"/>
                <w14:textFill>
                  <w14:solidFill>
                    <w14:schemeClr w14:val="tx1"/>
                  </w14:solidFill>
                </w14:textFill>
              </w:rPr>
              <w:t>03608</w:t>
            </w:r>
          </w:p>
        </w:tc>
      </w:tr>
      <w:tr w14:paraId="5FFDF3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67" w:type="pct"/>
            <w:gridSpan w:val="3"/>
            <w:vAlign w:val="center"/>
          </w:tcPr>
          <w:p w14:paraId="0C7ADA4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合计</w:t>
            </w:r>
          </w:p>
        </w:tc>
        <w:tc>
          <w:tcPr>
            <w:tcW w:w="1732" w:type="pct"/>
            <w:vAlign w:val="center"/>
          </w:tcPr>
          <w:p w14:paraId="317B64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0.1</w:t>
            </w:r>
            <w:r>
              <w:rPr>
                <w:rFonts w:hint="eastAsia" w:eastAsia="宋体" w:cs="Times New Roman"/>
                <w:color w:val="000000" w:themeColor="text1"/>
                <w:u w:val="none" w:color="auto"/>
                <w:lang w:val="en-US" w:eastAsia="zh-CN"/>
                <w14:textFill>
                  <w14:solidFill>
                    <w14:schemeClr w14:val="tx1"/>
                  </w14:solidFill>
                </w14:textFill>
              </w:rPr>
              <w:t>6848</w:t>
            </w:r>
          </w:p>
        </w:tc>
      </w:tr>
    </w:tbl>
    <w:p w14:paraId="2397615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000000" w:themeColor="text1"/>
          <w:u w:val="none" w:color="auto"/>
          <w14:textFill>
            <w14:solidFill>
              <w14:schemeClr w14:val="tx1"/>
            </w14:solidFill>
          </w14:textFill>
        </w:rPr>
        <w:t>本项目风险物质数量与临界量比值Q&lt;1，根据《建设项目环境风险评价技术导则》（HJ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169-2018），当Q＜1时，该项目环境风险潜势为I</w:t>
      </w:r>
      <w:r>
        <w:rPr>
          <w:rFonts w:hint="default" w:ascii="Times New Roman" w:hAnsi="Times New Roman" w:eastAsia="宋体" w:cs="Times New Roman"/>
          <w:color w:val="auto"/>
          <w:sz w:val="24"/>
          <w:u w:val="none" w:color="auto"/>
        </w:rPr>
        <w:t>。</w:t>
      </w:r>
    </w:p>
    <w:p w14:paraId="4205391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86" w:name="_Toc6876"/>
      <w:r>
        <w:rPr>
          <w:rFonts w:hint="eastAsia" w:ascii="Times New Roman" w:hAnsi="Times New Roman" w:eastAsia="宋体" w:cs="Times New Roman"/>
          <w:color w:val="000000" w:themeColor="text1"/>
          <w:u w:val="none" w:color="auto"/>
          <w:lang w:val="en-US" w:eastAsia="zh-CN"/>
          <w14:textFill>
            <w14:solidFill>
              <w14:schemeClr w14:val="tx1"/>
            </w14:solidFill>
          </w14:textFill>
        </w:rPr>
        <w:t>7.2.3 风险潜势初判</w:t>
      </w:r>
      <w:bookmarkEnd w:id="386"/>
    </w:p>
    <w:p w14:paraId="47FD19E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根据《建设项目环境风险评价技术导则》（</w:t>
      </w:r>
      <w:r>
        <w:rPr>
          <w:rFonts w:hint="default" w:ascii="Times New Roman" w:hAnsi="Times New Roman" w:eastAsia="宋体" w:cs="Times New Roman"/>
          <w:color w:val="000000" w:themeColor="text1"/>
          <w:u w:val="none" w:color="auto"/>
          <w14:textFill>
            <w14:solidFill>
              <w14:schemeClr w14:val="tx1"/>
            </w14:solidFill>
          </w14:textFill>
        </w:rPr>
        <w:t>HJ169-2018</w:t>
      </w:r>
      <w:r>
        <w:rPr>
          <w:rFonts w:hint="eastAsia" w:ascii="Times New Roman" w:hAnsi="Times New Roman" w:eastAsia="宋体" w:cs="Times New Roman"/>
          <w:color w:val="000000" w:themeColor="text1"/>
          <w:u w:val="none" w:color="auto"/>
          <w14:textFill>
            <w14:solidFill>
              <w14:schemeClr w14:val="tx1"/>
            </w14:solidFill>
          </w14:textFill>
        </w:rPr>
        <w:t>），环境风险评价工作等级划分为一级、二级、三级。根据建设项目涉及的物质及工艺系统危险性和所在地的环境敏感性确定环境风险潜势，按照下表确定评价工作等级。</w:t>
      </w:r>
    </w:p>
    <w:p w14:paraId="0DCE134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风险评价工作级别划分</w:t>
      </w:r>
    </w:p>
    <w:tbl>
      <w:tblPr>
        <w:tblStyle w:val="3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65"/>
        <w:gridCol w:w="1665"/>
        <w:gridCol w:w="1665"/>
        <w:gridCol w:w="1665"/>
        <w:gridCol w:w="1668"/>
      </w:tblGrid>
      <w:tr w14:paraId="01618E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4" w:type="pct"/>
            <w:noWrap w:val="0"/>
            <w:vAlign w:val="center"/>
          </w:tcPr>
          <w:p w14:paraId="2ABCC953">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环境风险潜势</w:t>
            </w:r>
          </w:p>
        </w:tc>
        <w:tc>
          <w:tcPr>
            <w:tcW w:w="976" w:type="pct"/>
            <w:noWrap w:val="0"/>
            <w:vAlign w:val="center"/>
          </w:tcPr>
          <w:p w14:paraId="3D907014">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Ⅳ</w:t>
            </w:r>
            <w:r>
              <w:rPr>
                <w:rFonts w:hint="default" w:ascii="Times New Roman" w:hAnsi="Times New Roman" w:eastAsia="宋体" w:cs="Times New Roman"/>
                <w:b w:val="0"/>
                <w:bCs/>
                <w:color w:val="auto"/>
                <w:sz w:val="21"/>
                <w:szCs w:val="21"/>
                <w:u w:val="none" w:color="auto"/>
                <w:vertAlign w:val="superscript"/>
              </w:rPr>
              <w:t>+</w:t>
            </w:r>
            <w:r>
              <w:rPr>
                <w:rFonts w:hint="default" w:ascii="Times New Roman" w:hAnsi="Times New Roman" w:eastAsia="宋体" w:cs="Times New Roman"/>
                <w:b w:val="0"/>
                <w:bCs/>
                <w:color w:val="auto"/>
                <w:sz w:val="21"/>
                <w:szCs w:val="21"/>
                <w:u w:val="none" w:color="auto"/>
              </w:rPr>
              <w:t>、Ⅳ</w:t>
            </w:r>
          </w:p>
        </w:tc>
        <w:tc>
          <w:tcPr>
            <w:tcW w:w="976" w:type="pct"/>
            <w:noWrap w:val="0"/>
            <w:vAlign w:val="center"/>
          </w:tcPr>
          <w:p w14:paraId="20AC8FF0">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Ⅲ</w:t>
            </w:r>
          </w:p>
        </w:tc>
        <w:tc>
          <w:tcPr>
            <w:tcW w:w="976" w:type="pct"/>
            <w:noWrap w:val="0"/>
            <w:vAlign w:val="center"/>
          </w:tcPr>
          <w:p w14:paraId="1FA4858C">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Ⅱ</w:t>
            </w:r>
          </w:p>
        </w:tc>
        <w:tc>
          <w:tcPr>
            <w:tcW w:w="976" w:type="pct"/>
            <w:noWrap w:val="0"/>
            <w:vAlign w:val="center"/>
          </w:tcPr>
          <w:p w14:paraId="041E4B03">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Ⅰ</w:t>
            </w:r>
          </w:p>
        </w:tc>
      </w:tr>
      <w:tr w14:paraId="2270C1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94" w:type="pct"/>
            <w:noWrap w:val="0"/>
            <w:vAlign w:val="center"/>
          </w:tcPr>
          <w:p w14:paraId="6DB8DD64">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评价工作等级</w:t>
            </w:r>
          </w:p>
        </w:tc>
        <w:tc>
          <w:tcPr>
            <w:tcW w:w="976" w:type="pct"/>
            <w:noWrap w:val="0"/>
            <w:vAlign w:val="center"/>
          </w:tcPr>
          <w:p w14:paraId="473769D1">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一</w:t>
            </w:r>
          </w:p>
        </w:tc>
        <w:tc>
          <w:tcPr>
            <w:tcW w:w="976" w:type="pct"/>
            <w:noWrap w:val="0"/>
            <w:vAlign w:val="center"/>
          </w:tcPr>
          <w:p w14:paraId="75AF780B">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二</w:t>
            </w:r>
          </w:p>
        </w:tc>
        <w:tc>
          <w:tcPr>
            <w:tcW w:w="976" w:type="pct"/>
            <w:noWrap w:val="0"/>
            <w:vAlign w:val="center"/>
          </w:tcPr>
          <w:p w14:paraId="47552F11">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三</w:t>
            </w:r>
          </w:p>
        </w:tc>
        <w:tc>
          <w:tcPr>
            <w:tcW w:w="976" w:type="pct"/>
            <w:noWrap w:val="0"/>
            <w:vAlign w:val="center"/>
          </w:tcPr>
          <w:p w14:paraId="3D31D5F2">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简单分析</w:t>
            </w:r>
            <w:r>
              <w:rPr>
                <w:rFonts w:hint="default" w:ascii="Times New Roman" w:hAnsi="Times New Roman" w:eastAsia="宋体" w:cs="Times New Roman"/>
                <w:b w:val="0"/>
                <w:bCs/>
                <w:color w:val="auto"/>
                <w:sz w:val="21"/>
                <w:szCs w:val="21"/>
                <w:u w:val="none" w:color="auto"/>
                <w:vertAlign w:val="superscript"/>
              </w:rPr>
              <w:t>a</w:t>
            </w:r>
          </w:p>
        </w:tc>
      </w:tr>
      <w:tr w14:paraId="5FA798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5"/>
            <w:noWrap w:val="0"/>
            <w:vAlign w:val="center"/>
          </w:tcPr>
          <w:p w14:paraId="2FD55CD8">
            <w:pPr>
              <w:autoSpaceDE w:val="0"/>
              <w:autoSpaceDN w:val="0"/>
              <w:jc w:val="left"/>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kern w:val="0"/>
                <w:sz w:val="21"/>
                <w:szCs w:val="21"/>
                <w:u w:val="none" w:color="auto"/>
                <w:vertAlign w:val="superscript"/>
              </w:rPr>
              <w:t>a</w:t>
            </w:r>
            <w:r>
              <w:rPr>
                <w:rFonts w:hint="default" w:ascii="Times New Roman" w:hAnsi="Times New Roman" w:eastAsia="宋体" w:cs="Times New Roman"/>
                <w:b w:val="0"/>
                <w:bCs/>
                <w:color w:val="auto"/>
                <w:kern w:val="0"/>
                <w:sz w:val="21"/>
                <w:szCs w:val="21"/>
                <w:u w:val="none" w:color="auto"/>
              </w:rPr>
              <w:t>是相对于详细评价工作内容而言，在描述危险物质、环境影响途径、环境危害后果、风险防范措施等方面给出定性说明。见附录A。</w:t>
            </w:r>
          </w:p>
        </w:tc>
      </w:tr>
    </w:tbl>
    <w:p w14:paraId="7F39199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u w:val="none" w:color="auto"/>
        </w:rPr>
      </w:pPr>
      <w:bookmarkStart w:id="387" w:name="_Toc102658228"/>
      <w:bookmarkStart w:id="388" w:name="_Toc164200843"/>
      <w:bookmarkStart w:id="389" w:name="_Toc188005907"/>
      <w:bookmarkStart w:id="390" w:name="_Toc187011353"/>
      <w:bookmarkStart w:id="391" w:name="_Toc144276954"/>
      <w:bookmarkStart w:id="392" w:name="_Toc144236824"/>
      <w:bookmarkStart w:id="393" w:name="_Toc191240066"/>
      <w:r>
        <w:rPr>
          <w:rFonts w:hint="eastAsia" w:cs="Times New Roman"/>
          <w:lang w:bidi="ar"/>
        </w:rPr>
        <w:t>由于本项目风险潜势为</w:t>
      </w:r>
      <w:r>
        <w:rPr>
          <w:rFonts w:hint="default" w:ascii="Times New Roman" w:hAnsi="Times New Roman" w:eastAsia="宋体" w:cs="Times New Roman"/>
          <w:color w:val="000000" w:themeColor="text1"/>
          <w:u w:val="none" w:color="auto"/>
          <w14:textFill>
            <w14:solidFill>
              <w14:schemeClr w14:val="tx1"/>
            </w14:solidFill>
          </w14:textFill>
        </w:rPr>
        <w:t>I，</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因此，</w:t>
      </w: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环境风险</w:t>
      </w:r>
      <w:r>
        <w:rPr>
          <w:rFonts w:hint="default" w:ascii="Times New Roman" w:hAnsi="Times New Roman" w:eastAsia="宋体" w:cs="Times New Roman"/>
          <w:color w:val="auto"/>
          <w:sz w:val="24"/>
          <w:u w:val="none" w:color="auto"/>
        </w:rPr>
        <w:t>评价等级为简单分析。</w:t>
      </w:r>
    </w:p>
    <w:p w14:paraId="10A643AD">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394" w:name="_Toc32496"/>
      <w:r>
        <w:rPr>
          <w:rFonts w:hint="default" w:ascii="Times New Roman" w:hAnsi="Times New Roman" w:eastAsia="宋体" w:cs="Times New Roman"/>
          <w:color w:val="000000" w:themeColor="text1"/>
          <w:u w:val="none" w:color="auto"/>
          <w:lang w:eastAsia="zh-CN"/>
          <w14:textFill>
            <w14:solidFill>
              <w14:schemeClr w14:val="tx1"/>
            </w14:solidFill>
          </w14:textFill>
        </w:rPr>
        <w:t>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 xml:space="preserve"> </w:t>
      </w:r>
      <w:bookmarkEnd w:id="387"/>
      <w:bookmarkEnd w:id="388"/>
      <w:bookmarkEnd w:id="389"/>
      <w:bookmarkEnd w:id="390"/>
      <w:bookmarkEnd w:id="391"/>
      <w:bookmarkEnd w:id="392"/>
      <w:bookmarkEnd w:id="393"/>
      <w:r>
        <w:rPr>
          <w:rFonts w:hint="eastAsia" w:ascii="Times New Roman" w:hAnsi="Times New Roman" w:eastAsia="宋体" w:cs="Times New Roman"/>
          <w:color w:val="000000" w:themeColor="text1"/>
          <w:u w:val="none" w:color="auto"/>
          <w:lang w:val="en-US" w:eastAsia="zh-CN"/>
          <w14:textFill>
            <w14:solidFill>
              <w14:schemeClr w14:val="tx1"/>
            </w14:solidFill>
          </w14:textFill>
        </w:rPr>
        <w:t>环境风险目标调查</w:t>
      </w:r>
      <w:bookmarkEnd w:id="394"/>
    </w:p>
    <w:p w14:paraId="2FB7C5B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bookmarkStart w:id="395" w:name="_Toc188005908"/>
      <w:bookmarkStart w:id="396" w:name="_Toc164200844"/>
      <w:bookmarkStart w:id="397" w:name="_Toc191240067"/>
      <w:bookmarkStart w:id="398" w:name="_Toc144236825"/>
      <w:bookmarkStart w:id="399" w:name="_Toc144276955"/>
      <w:bookmarkStart w:id="400" w:name="_Toc187011354"/>
      <w:r>
        <w:rPr>
          <w:rFonts w:hint="default" w:ascii="Times New Roman" w:hAnsi="Times New Roman" w:eastAsia="宋体" w:cs="Times New Roman"/>
          <w:color w:val="000000" w:themeColor="text1"/>
          <w:u w:val="none" w:color="auto"/>
          <w14:textFill>
            <w14:solidFill>
              <w14:schemeClr w14:val="tx1"/>
            </w14:solidFill>
          </w14:textFill>
        </w:rPr>
        <w:t>项目环境风险目标见下表。</w:t>
      </w:r>
    </w:p>
    <w:p w14:paraId="6912B568">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1714924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7.3-1</w:t>
      </w:r>
      <w:r>
        <w:rPr>
          <w:rFonts w:hint="default" w:ascii="Times New Roman" w:hAnsi="Times New Roman" w:eastAsia="宋体" w:cs="Times New Roman"/>
          <w:color w:val="000000" w:themeColor="text1"/>
          <w:u w:val="none" w:color="auto"/>
          <w14:textFill>
            <w14:solidFill>
              <w14:schemeClr w14:val="tx1"/>
            </w14:solidFill>
          </w14:textFill>
        </w:rPr>
        <w:t xml:space="preserve">  环境风险目标识别一览表</w:t>
      </w:r>
    </w:p>
    <w:tbl>
      <w:tblPr>
        <w:tblStyle w:val="37"/>
        <w:tblW w:w="5000" w:type="pct"/>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1421"/>
        <w:gridCol w:w="2883"/>
        <w:gridCol w:w="1717"/>
        <w:gridCol w:w="1750"/>
        <w:gridCol w:w="1516"/>
        <w:gridCol w:w="1734"/>
        <w:gridCol w:w="1533"/>
        <w:gridCol w:w="1608"/>
        <w:gridCol w:w="12"/>
      </w:tblGrid>
      <w:tr w14:paraId="4AEDEF1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450" w:hRule="atLeast"/>
          <w:tblHeader/>
          <w:jc w:val="center"/>
        </w:trPr>
        <w:tc>
          <w:tcPr>
            <w:tcW w:w="501" w:type="pct"/>
            <w:vMerge w:val="restart"/>
            <w:vAlign w:val="center"/>
          </w:tcPr>
          <w:p w14:paraId="6A675B79">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环境要素</w:t>
            </w:r>
          </w:p>
        </w:tc>
        <w:tc>
          <w:tcPr>
            <w:tcW w:w="1017" w:type="pct"/>
            <w:vMerge w:val="restart"/>
            <w:vAlign w:val="center"/>
          </w:tcPr>
          <w:p w14:paraId="2CAF60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保护目标</w:t>
            </w:r>
          </w:p>
        </w:tc>
        <w:tc>
          <w:tcPr>
            <w:tcW w:w="1223" w:type="pct"/>
            <w:gridSpan w:val="2"/>
            <w:vAlign w:val="center"/>
          </w:tcPr>
          <w:p w14:paraId="16E082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位置坐标</w:t>
            </w:r>
          </w:p>
        </w:tc>
        <w:tc>
          <w:tcPr>
            <w:tcW w:w="534" w:type="pct"/>
            <w:vMerge w:val="restart"/>
            <w:vAlign w:val="center"/>
          </w:tcPr>
          <w:p w14:paraId="67AA0D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相对厂址方位</w:t>
            </w:r>
          </w:p>
        </w:tc>
        <w:tc>
          <w:tcPr>
            <w:tcW w:w="611" w:type="pct"/>
            <w:vMerge w:val="restart"/>
            <w:vAlign w:val="center"/>
          </w:tcPr>
          <w:p w14:paraId="55834C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相对厂址距离/m</w:t>
            </w:r>
          </w:p>
        </w:tc>
        <w:tc>
          <w:tcPr>
            <w:tcW w:w="540" w:type="pct"/>
            <w:vMerge w:val="restart"/>
            <w:vAlign w:val="center"/>
          </w:tcPr>
          <w:p w14:paraId="60C002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保护内容</w:t>
            </w:r>
          </w:p>
        </w:tc>
        <w:tc>
          <w:tcPr>
            <w:tcW w:w="567" w:type="pct"/>
            <w:vMerge w:val="restart"/>
            <w:vAlign w:val="center"/>
          </w:tcPr>
          <w:p w14:paraId="281FEF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环境功能区</w:t>
            </w:r>
          </w:p>
        </w:tc>
      </w:tr>
      <w:tr w14:paraId="4E8DA40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433" w:hRule="atLeast"/>
          <w:tblHeader/>
          <w:jc w:val="center"/>
        </w:trPr>
        <w:tc>
          <w:tcPr>
            <w:tcW w:w="501" w:type="pct"/>
            <w:vMerge w:val="continue"/>
            <w:vAlign w:val="center"/>
          </w:tcPr>
          <w:p w14:paraId="2CCA1A07">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Merge w:val="continue"/>
            <w:vAlign w:val="center"/>
          </w:tcPr>
          <w:p w14:paraId="0083FFF4">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05" w:type="pct"/>
            <w:vAlign w:val="center"/>
          </w:tcPr>
          <w:p w14:paraId="121620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经度</w:t>
            </w:r>
          </w:p>
        </w:tc>
        <w:tc>
          <w:tcPr>
            <w:tcW w:w="617" w:type="pct"/>
            <w:vAlign w:val="center"/>
          </w:tcPr>
          <w:p w14:paraId="0108D40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纬度</w:t>
            </w:r>
          </w:p>
        </w:tc>
        <w:tc>
          <w:tcPr>
            <w:tcW w:w="534" w:type="pct"/>
            <w:vMerge w:val="continue"/>
            <w:vAlign w:val="center"/>
          </w:tcPr>
          <w:p w14:paraId="3CD06058">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611" w:type="pct"/>
            <w:vMerge w:val="continue"/>
            <w:vAlign w:val="center"/>
          </w:tcPr>
          <w:p w14:paraId="4B1628B2">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540" w:type="pct"/>
            <w:vMerge w:val="continue"/>
            <w:vAlign w:val="center"/>
          </w:tcPr>
          <w:p w14:paraId="45FDC9A3">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567" w:type="pct"/>
            <w:vMerge w:val="continue"/>
            <w:vAlign w:val="center"/>
          </w:tcPr>
          <w:p w14:paraId="38F664F5">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EB68B8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restart"/>
            <w:vAlign w:val="center"/>
          </w:tcPr>
          <w:p w14:paraId="3A8AA9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环境空气风险</w:t>
            </w:r>
          </w:p>
        </w:tc>
        <w:tc>
          <w:tcPr>
            <w:tcW w:w="1017" w:type="pct"/>
            <w:vAlign w:val="center"/>
          </w:tcPr>
          <w:p w14:paraId="36CA49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公合村</w:t>
            </w:r>
          </w:p>
        </w:tc>
        <w:tc>
          <w:tcPr>
            <w:tcW w:w="605" w:type="pct"/>
            <w:vAlign w:val="center"/>
          </w:tcPr>
          <w:p w14:paraId="20C003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113°16′18.734″</w:t>
            </w:r>
          </w:p>
        </w:tc>
        <w:tc>
          <w:tcPr>
            <w:tcW w:w="617" w:type="pct"/>
            <w:vAlign w:val="center"/>
          </w:tcPr>
          <w:p w14:paraId="5F1845B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28°47′14.367″</w:t>
            </w:r>
          </w:p>
        </w:tc>
        <w:tc>
          <w:tcPr>
            <w:tcW w:w="534" w:type="pct"/>
            <w:vAlign w:val="center"/>
          </w:tcPr>
          <w:p w14:paraId="312F1A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w:t>
            </w:r>
          </w:p>
        </w:tc>
        <w:tc>
          <w:tcPr>
            <w:tcW w:w="611" w:type="pct"/>
            <w:vAlign w:val="center"/>
          </w:tcPr>
          <w:p w14:paraId="6FC3EB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120~500</w:t>
            </w:r>
          </w:p>
        </w:tc>
        <w:tc>
          <w:tcPr>
            <w:tcW w:w="540" w:type="pct"/>
            <w:vAlign w:val="center"/>
          </w:tcPr>
          <w:p w14:paraId="6A9D0E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567" w:type="pct"/>
            <w:vMerge w:val="restart"/>
            <w:vAlign w:val="center"/>
          </w:tcPr>
          <w:p w14:paraId="47424C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GB</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color="auto"/>
                <w14:textFill>
                  <w14:solidFill>
                    <w14:schemeClr w14:val="tx1"/>
                  </w14:solidFill>
                </w14:textFill>
              </w:rPr>
              <w:t>3095-2012二级</w:t>
            </w:r>
          </w:p>
        </w:tc>
      </w:tr>
      <w:tr w14:paraId="4521315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4F9BC1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6F7074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颜家村</w:t>
            </w:r>
          </w:p>
        </w:tc>
        <w:tc>
          <w:tcPr>
            <w:tcW w:w="605" w:type="pct"/>
            <w:vAlign w:val="center"/>
          </w:tcPr>
          <w:p w14:paraId="6083C7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113°16′28.892″</w:t>
            </w:r>
          </w:p>
        </w:tc>
        <w:tc>
          <w:tcPr>
            <w:tcW w:w="617" w:type="pct"/>
            <w:vAlign w:val="center"/>
          </w:tcPr>
          <w:p w14:paraId="46A79B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28°47′26.765″</w:t>
            </w:r>
          </w:p>
        </w:tc>
        <w:tc>
          <w:tcPr>
            <w:tcW w:w="534" w:type="pct"/>
            <w:vAlign w:val="center"/>
          </w:tcPr>
          <w:p w14:paraId="562AD4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w:t>
            </w:r>
          </w:p>
        </w:tc>
        <w:tc>
          <w:tcPr>
            <w:tcW w:w="611" w:type="pct"/>
            <w:vAlign w:val="center"/>
          </w:tcPr>
          <w:p w14:paraId="612B89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370~1200</w:t>
            </w:r>
          </w:p>
        </w:tc>
        <w:tc>
          <w:tcPr>
            <w:tcW w:w="540" w:type="pct"/>
            <w:vAlign w:val="center"/>
          </w:tcPr>
          <w:p w14:paraId="024AE65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567" w:type="pct"/>
            <w:vMerge w:val="continue"/>
            <w:vAlign w:val="center"/>
          </w:tcPr>
          <w:p w14:paraId="3F69CDF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76BB104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2E2A04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00BFAC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周屋场</w:t>
            </w:r>
          </w:p>
        </w:tc>
        <w:tc>
          <w:tcPr>
            <w:tcW w:w="605" w:type="pct"/>
            <w:vAlign w:val="center"/>
          </w:tcPr>
          <w:p w14:paraId="504128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113°16′44.872″</w:t>
            </w:r>
          </w:p>
        </w:tc>
        <w:tc>
          <w:tcPr>
            <w:tcW w:w="617" w:type="pct"/>
            <w:vAlign w:val="center"/>
          </w:tcPr>
          <w:p w14:paraId="31AD08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28°47′05.242″</w:t>
            </w:r>
          </w:p>
        </w:tc>
        <w:tc>
          <w:tcPr>
            <w:tcW w:w="534" w:type="pct"/>
            <w:vAlign w:val="center"/>
          </w:tcPr>
          <w:p w14:paraId="3C33E6E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w:t>
            </w:r>
          </w:p>
        </w:tc>
        <w:tc>
          <w:tcPr>
            <w:tcW w:w="611" w:type="pct"/>
            <w:vAlign w:val="center"/>
          </w:tcPr>
          <w:p w14:paraId="66AC79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450~620</w:t>
            </w:r>
          </w:p>
        </w:tc>
        <w:tc>
          <w:tcPr>
            <w:tcW w:w="540" w:type="pct"/>
            <w:vAlign w:val="center"/>
          </w:tcPr>
          <w:p w14:paraId="757243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居民约30人</w:t>
            </w:r>
          </w:p>
        </w:tc>
        <w:tc>
          <w:tcPr>
            <w:tcW w:w="567" w:type="pct"/>
            <w:vMerge w:val="continue"/>
            <w:vAlign w:val="center"/>
          </w:tcPr>
          <w:p w14:paraId="177C04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3963D4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78EB821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4F1E9A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水屋场</w:t>
            </w:r>
          </w:p>
        </w:tc>
        <w:tc>
          <w:tcPr>
            <w:tcW w:w="605" w:type="pct"/>
            <w:vAlign w:val="center"/>
          </w:tcPr>
          <w:p w14:paraId="0E6997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113°16′58.082″</w:t>
            </w:r>
          </w:p>
        </w:tc>
        <w:tc>
          <w:tcPr>
            <w:tcW w:w="617" w:type="pct"/>
            <w:vAlign w:val="center"/>
          </w:tcPr>
          <w:p w14:paraId="0D4EAD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28°47′08.023″</w:t>
            </w:r>
          </w:p>
        </w:tc>
        <w:tc>
          <w:tcPr>
            <w:tcW w:w="534" w:type="pct"/>
            <w:vAlign w:val="center"/>
          </w:tcPr>
          <w:p w14:paraId="271E9A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w:t>
            </w:r>
          </w:p>
        </w:tc>
        <w:tc>
          <w:tcPr>
            <w:tcW w:w="611" w:type="pct"/>
            <w:vAlign w:val="center"/>
          </w:tcPr>
          <w:p w14:paraId="392AC6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670~1000</w:t>
            </w:r>
          </w:p>
        </w:tc>
        <w:tc>
          <w:tcPr>
            <w:tcW w:w="540" w:type="pct"/>
            <w:vAlign w:val="center"/>
          </w:tcPr>
          <w:p w14:paraId="2173A5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居民约30人</w:t>
            </w:r>
          </w:p>
        </w:tc>
        <w:tc>
          <w:tcPr>
            <w:tcW w:w="567" w:type="pct"/>
            <w:vMerge w:val="continue"/>
            <w:vAlign w:val="center"/>
          </w:tcPr>
          <w:p w14:paraId="3823F2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E0BEAD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086091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6CC3E4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余家湾</w:t>
            </w:r>
          </w:p>
        </w:tc>
        <w:tc>
          <w:tcPr>
            <w:tcW w:w="605" w:type="pct"/>
            <w:vAlign w:val="center"/>
          </w:tcPr>
          <w:p w14:paraId="77D73B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113°16′20.351″</w:t>
            </w:r>
          </w:p>
        </w:tc>
        <w:tc>
          <w:tcPr>
            <w:tcW w:w="617" w:type="pct"/>
            <w:vAlign w:val="center"/>
          </w:tcPr>
          <w:p w14:paraId="78B673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28°46′41.006″</w:t>
            </w:r>
          </w:p>
        </w:tc>
        <w:tc>
          <w:tcPr>
            <w:tcW w:w="534" w:type="pct"/>
            <w:vAlign w:val="center"/>
          </w:tcPr>
          <w:p w14:paraId="7C5099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w:t>
            </w:r>
          </w:p>
        </w:tc>
        <w:tc>
          <w:tcPr>
            <w:tcW w:w="611" w:type="pct"/>
            <w:vAlign w:val="center"/>
          </w:tcPr>
          <w:p w14:paraId="11D056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800~1100</w:t>
            </w:r>
          </w:p>
        </w:tc>
        <w:tc>
          <w:tcPr>
            <w:tcW w:w="540" w:type="pct"/>
            <w:vAlign w:val="center"/>
          </w:tcPr>
          <w:p w14:paraId="4DC191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居民约100人</w:t>
            </w:r>
          </w:p>
        </w:tc>
        <w:tc>
          <w:tcPr>
            <w:tcW w:w="567" w:type="pct"/>
            <w:vMerge w:val="continue"/>
            <w:vAlign w:val="center"/>
          </w:tcPr>
          <w:p w14:paraId="53B213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A44549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13BC3B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1C09DD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艾家里</w:t>
            </w:r>
          </w:p>
        </w:tc>
        <w:tc>
          <w:tcPr>
            <w:tcW w:w="605" w:type="pct"/>
            <w:vAlign w:val="center"/>
          </w:tcPr>
          <w:p w14:paraId="7D747E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113°16′33.266″</w:t>
            </w:r>
          </w:p>
        </w:tc>
        <w:tc>
          <w:tcPr>
            <w:tcW w:w="617" w:type="pct"/>
            <w:vAlign w:val="center"/>
          </w:tcPr>
          <w:p w14:paraId="686969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28°47′54.024″</w:t>
            </w:r>
          </w:p>
        </w:tc>
        <w:tc>
          <w:tcPr>
            <w:tcW w:w="534" w:type="pct"/>
            <w:vAlign w:val="center"/>
          </w:tcPr>
          <w:p w14:paraId="6A3C5C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w:t>
            </w:r>
          </w:p>
        </w:tc>
        <w:tc>
          <w:tcPr>
            <w:tcW w:w="611" w:type="pct"/>
            <w:vAlign w:val="center"/>
          </w:tcPr>
          <w:p w14:paraId="0F8623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900~1500</w:t>
            </w:r>
          </w:p>
        </w:tc>
        <w:tc>
          <w:tcPr>
            <w:tcW w:w="540" w:type="pct"/>
            <w:vAlign w:val="center"/>
          </w:tcPr>
          <w:p w14:paraId="5D2288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居民约120人</w:t>
            </w:r>
          </w:p>
        </w:tc>
        <w:tc>
          <w:tcPr>
            <w:tcW w:w="567" w:type="pct"/>
            <w:vMerge w:val="continue"/>
            <w:vAlign w:val="center"/>
          </w:tcPr>
          <w:p w14:paraId="5B572D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97D14D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03FC87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2A5EEA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保楼屋</w:t>
            </w:r>
          </w:p>
        </w:tc>
        <w:tc>
          <w:tcPr>
            <w:tcW w:w="605" w:type="pct"/>
            <w:vAlign w:val="center"/>
          </w:tcPr>
          <w:p w14:paraId="7A7CD7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113°17′0.399″</w:t>
            </w:r>
          </w:p>
        </w:tc>
        <w:tc>
          <w:tcPr>
            <w:tcW w:w="617" w:type="pct"/>
            <w:vAlign w:val="center"/>
          </w:tcPr>
          <w:p w14:paraId="7AB63F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28°46′53.076″</w:t>
            </w:r>
          </w:p>
        </w:tc>
        <w:tc>
          <w:tcPr>
            <w:tcW w:w="534" w:type="pct"/>
            <w:vAlign w:val="center"/>
          </w:tcPr>
          <w:p w14:paraId="33356F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611" w:type="pct"/>
            <w:vAlign w:val="center"/>
          </w:tcPr>
          <w:p w14:paraId="277BFA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1100~1200</w:t>
            </w:r>
          </w:p>
        </w:tc>
        <w:tc>
          <w:tcPr>
            <w:tcW w:w="540" w:type="pct"/>
            <w:vAlign w:val="center"/>
          </w:tcPr>
          <w:p w14:paraId="44AE86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居民约20人</w:t>
            </w:r>
          </w:p>
        </w:tc>
        <w:tc>
          <w:tcPr>
            <w:tcW w:w="567" w:type="pct"/>
            <w:vMerge w:val="continue"/>
            <w:vAlign w:val="center"/>
          </w:tcPr>
          <w:p w14:paraId="6CB21B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F6FC53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35A980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1B2CD8C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普庆村</w:t>
            </w:r>
          </w:p>
        </w:tc>
        <w:tc>
          <w:tcPr>
            <w:tcW w:w="605" w:type="pct"/>
            <w:vAlign w:val="center"/>
          </w:tcPr>
          <w:p w14:paraId="4377D1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113°16′50.337″</w:t>
            </w:r>
          </w:p>
        </w:tc>
        <w:tc>
          <w:tcPr>
            <w:tcW w:w="617" w:type="pct"/>
            <w:vAlign w:val="center"/>
          </w:tcPr>
          <w:p w14:paraId="03E36E1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28°47′48.153″</w:t>
            </w:r>
          </w:p>
        </w:tc>
        <w:tc>
          <w:tcPr>
            <w:tcW w:w="534" w:type="pct"/>
            <w:vAlign w:val="center"/>
          </w:tcPr>
          <w:p w14:paraId="367CB1E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611" w:type="pct"/>
            <w:vAlign w:val="center"/>
          </w:tcPr>
          <w:p w14:paraId="5D7361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1200~2000</w:t>
            </w:r>
          </w:p>
        </w:tc>
        <w:tc>
          <w:tcPr>
            <w:tcW w:w="540" w:type="pct"/>
            <w:vAlign w:val="center"/>
          </w:tcPr>
          <w:p w14:paraId="3910AC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567" w:type="pct"/>
            <w:vMerge w:val="continue"/>
            <w:vAlign w:val="center"/>
          </w:tcPr>
          <w:p w14:paraId="0D3875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7A7F848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5741FB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6E79DBA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新屋里</w:t>
            </w:r>
          </w:p>
        </w:tc>
        <w:tc>
          <w:tcPr>
            <w:tcW w:w="605" w:type="pct"/>
            <w:vAlign w:val="center"/>
          </w:tcPr>
          <w:p w14:paraId="0AA6FE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113°15′20.252″</w:t>
            </w:r>
          </w:p>
        </w:tc>
        <w:tc>
          <w:tcPr>
            <w:tcW w:w="617" w:type="pct"/>
            <w:vAlign w:val="center"/>
          </w:tcPr>
          <w:p w14:paraId="50F94E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28°47′19.861″</w:t>
            </w:r>
          </w:p>
        </w:tc>
        <w:tc>
          <w:tcPr>
            <w:tcW w:w="534" w:type="pct"/>
            <w:vAlign w:val="center"/>
          </w:tcPr>
          <w:p w14:paraId="6FE5B9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w:t>
            </w:r>
          </w:p>
        </w:tc>
        <w:tc>
          <w:tcPr>
            <w:tcW w:w="611" w:type="pct"/>
            <w:vAlign w:val="center"/>
          </w:tcPr>
          <w:p w14:paraId="5B7589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1200~2200</w:t>
            </w:r>
          </w:p>
        </w:tc>
        <w:tc>
          <w:tcPr>
            <w:tcW w:w="540" w:type="pct"/>
            <w:vAlign w:val="center"/>
          </w:tcPr>
          <w:p w14:paraId="5F6E9E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居民约60人</w:t>
            </w:r>
          </w:p>
        </w:tc>
        <w:tc>
          <w:tcPr>
            <w:tcW w:w="567" w:type="pct"/>
            <w:vMerge w:val="continue"/>
            <w:vAlign w:val="center"/>
          </w:tcPr>
          <w:p w14:paraId="786B967E">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1E65554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436381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068667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洞子塝</w:t>
            </w:r>
          </w:p>
        </w:tc>
        <w:tc>
          <w:tcPr>
            <w:tcW w:w="605" w:type="pct"/>
            <w:vAlign w:val="center"/>
          </w:tcPr>
          <w:p w14:paraId="139EB8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113°16′20.737″</w:t>
            </w:r>
          </w:p>
        </w:tc>
        <w:tc>
          <w:tcPr>
            <w:tcW w:w="617" w:type="pct"/>
            <w:vAlign w:val="center"/>
          </w:tcPr>
          <w:p w14:paraId="21992B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28°46′24.861″</w:t>
            </w:r>
          </w:p>
        </w:tc>
        <w:tc>
          <w:tcPr>
            <w:tcW w:w="534" w:type="pct"/>
            <w:vAlign w:val="center"/>
          </w:tcPr>
          <w:p w14:paraId="69F86B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w:t>
            </w:r>
          </w:p>
        </w:tc>
        <w:tc>
          <w:tcPr>
            <w:tcW w:w="611" w:type="pct"/>
            <w:vAlign w:val="center"/>
          </w:tcPr>
          <w:p w14:paraId="461834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1300~1600</w:t>
            </w:r>
          </w:p>
        </w:tc>
        <w:tc>
          <w:tcPr>
            <w:tcW w:w="540" w:type="pct"/>
            <w:vAlign w:val="center"/>
          </w:tcPr>
          <w:p w14:paraId="07CA5E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居民约30人</w:t>
            </w:r>
          </w:p>
        </w:tc>
        <w:tc>
          <w:tcPr>
            <w:tcW w:w="567" w:type="pct"/>
            <w:vMerge w:val="continue"/>
            <w:vAlign w:val="center"/>
          </w:tcPr>
          <w:p w14:paraId="0CF2B154">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F6CD5F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6EDC02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5B8BC7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茅岭</w:t>
            </w:r>
          </w:p>
        </w:tc>
        <w:tc>
          <w:tcPr>
            <w:tcW w:w="605" w:type="pct"/>
            <w:vAlign w:val="center"/>
          </w:tcPr>
          <w:p w14:paraId="22FF98C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113°16′47.619″</w:t>
            </w:r>
          </w:p>
        </w:tc>
        <w:tc>
          <w:tcPr>
            <w:tcW w:w="617" w:type="pct"/>
            <w:vAlign w:val="center"/>
          </w:tcPr>
          <w:p w14:paraId="76E4AD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28°46′28.260″</w:t>
            </w:r>
          </w:p>
        </w:tc>
        <w:tc>
          <w:tcPr>
            <w:tcW w:w="534" w:type="pct"/>
            <w:vAlign w:val="center"/>
          </w:tcPr>
          <w:p w14:paraId="59A83FC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611" w:type="pct"/>
            <w:vAlign w:val="center"/>
          </w:tcPr>
          <w:p w14:paraId="145964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1400~1600</w:t>
            </w:r>
          </w:p>
        </w:tc>
        <w:tc>
          <w:tcPr>
            <w:tcW w:w="540" w:type="pct"/>
            <w:vAlign w:val="center"/>
          </w:tcPr>
          <w:p w14:paraId="2E6DA7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居民约20人</w:t>
            </w:r>
          </w:p>
        </w:tc>
        <w:tc>
          <w:tcPr>
            <w:tcW w:w="567" w:type="pct"/>
            <w:vMerge w:val="continue"/>
            <w:vAlign w:val="center"/>
          </w:tcPr>
          <w:p w14:paraId="336A6E7E">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7E4C86A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178FEC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c>
          <w:tcPr>
            <w:tcW w:w="1017" w:type="pct"/>
            <w:vAlign w:val="center"/>
          </w:tcPr>
          <w:p w14:paraId="60B974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安洞里</w:t>
            </w:r>
          </w:p>
        </w:tc>
        <w:tc>
          <w:tcPr>
            <w:tcW w:w="605" w:type="pct"/>
            <w:vAlign w:val="center"/>
          </w:tcPr>
          <w:p w14:paraId="31EF6E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113°15′36.011″</w:t>
            </w:r>
          </w:p>
        </w:tc>
        <w:tc>
          <w:tcPr>
            <w:tcW w:w="617" w:type="pct"/>
            <w:vAlign w:val="center"/>
          </w:tcPr>
          <w:p w14:paraId="76595C8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28°46′47.108″</w:t>
            </w:r>
          </w:p>
        </w:tc>
        <w:tc>
          <w:tcPr>
            <w:tcW w:w="534" w:type="pct"/>
            <w:vAlign w:val="center"/>
          </w:tcPr>
          <w:p w14:paraId="5D8E517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WS</w:t>
            </w:r>
          </w:p>
        </w:tc>
        <w:tc>
          <w:tcPr>
            <w:tcW w:w="611" w:type="pct"/>
            <w:vAlign w:val="center"/>
          </w:tcPr>
          <w:p w14:paraId="688F7D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1400~2000</w:t>
            </w:r>
          </w:p>
        </w:tc>
        <w:tc>
          <w:tcPr>
            <w:tcW w:w="540" w:type="pct"/>
            <w:vAlign w:val="center"/>
          </w:tcPr>
          <w:p w14:paraId="7A6AED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居民约100人</w:t>
            </w:r>
          </w:p>
        </w:tc>
        <w:tc>
          <w:tcPr>
            <w:tcW w:w="567" w:type="pct"/>
            <w:vMerge w:val="continue"/>
            <w:vAlign w:val="center"/>
          </w:tcPr>
          <w:p w14:paraId="065C82B1">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638D89C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5285A7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52EB7F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同康医院</w:t>
            </w:r>
          </w:p>
        </w:tc>
        <w:tc>
          <w:tcPr>
            <w:tcW w:w="605" w:type="pct"/>
            <w:vAlign w:val="center"/>
          </w:tcPr>
          <w:p w14:paraId="25FC49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113°17′07.583″</w:t>
            </w:r>
          </w:p>
        </w:tc>
        <w:tc>
          <w:tcPr>
            <w:tcW w:w="617" w:type="pct"/>
            <w:vAlign w:val="center"/>
          </w:tcPr>
          <w:p w14:paraId="0B9E64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28°47′44.909″</w:t>
            </w:r>
          </w:p>
        </w:tc>
        <w:tc>
          <w:tcPr>
            <w:tcW w:w="534" w:type="pct"/>
            <w:vAlign w:val="center"/>
          </w:tcPr>
          <w:p w14:paraId="3C25E5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611" w:type="pct"/>
            <w:vAlign w:val="center"/>
          </w:tcPr>
          <w:p w14:paraId="40BA8F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1500~1600</w:t>
            </w:r>
          </w:p>
        </w:tc>
        <w:tc>
          <w:tcPr>
            <w:tcW w:w="540" w:type="pct"/>
            <w:vAlign w:val="center"/>
          </w:tcPr>
          <w:p w14:paraId="4D058D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医院约100人</w:t>
            </w:r>
          </w:p>
        </w:tc>
        <w:tc>
          <w:tcPr>
            <w:tcW w:w="567" w:type="pct"/>
            <w:vMerge w:val="continue"/>
            <w:vAlign w:val="center"/>
          </w:tcPr>
          <w:p w14:paraId="257A15B1">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156C856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5F1840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3BC3C5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秀水村</w:t>
            </w:r>
          </w:p>
        </w:tc>
        <w:tc>
          <w:tcPr>
            <w:tcW w:w="605" w:type="pct"/>
            <w:vAlign w:val="center"/>
          </w:tcPr>
          <w:p w14:paraId="0A6A69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113°17′15.559″</w:t>
            </w:r>
          </w:p>
        </w:tc>
        <w:tc>
          <w:tcPr>
            <w:tcW w:w="617" w:type="pct"/>
            <w:vAlign w:val="center"/>
          </w:tcPr>
          <w:p w14:paraId="1E8960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28°47′39.038″</w:t>
            </w:r>
          </w:p>
        </w:tc>
        <w:tc>
          <w:tcPr>
            <w:tcW w:w="534" w:type="pct"/>
            <w:vAlign w:val="center"/>
          </w:tcPr>
          <w:p w14:paraId="7616A54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611" w:type="pct"/>
            <w:vAlign w:val="center"/>
          </w:tcPr>
          <w:p w14:paraId="2E4C39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1500~2800</w:t>
            </w:r>
          </w:p>
        </w:tc>
        <w:tc>
          <w:tcPr>
            <w:tcW w:w="540" w:type="pct"/>
            <w:vAlign w:val="center"/>
          </w:tcPr>
          <w:p w14:paraId="3E3B02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567" w:type="pct"/>
            <w:vMerge w:val="continue"/>
            <w:vAlign w:val="center"/>
          </w:tcPr>
          <w:p w14:paraId="055ACFFC">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781CE82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7B7932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74AD0E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普庆小学</w:t>
            </w:r>
          </w:p>
        </w:tc>
        <w:tc>
          <w:tcPr>
            <w:tcW w:w="605" w:type="pct"/>
            <w:vAlign w:val="center"/>
          </w:tcPr>
          <w:p w14:paraId="509BA9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113°16′57.927″</w:t>
            </w:r>
          </w:p>
        </w:tc>
        <w:tc>
          <w:tcPr>
            <w:tcW w:w="617" w:type="pct"/>
            <w:vAlign w:val="center"/>
          </w:tcPr>
          <w:p w14:paraId="122E3E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28°47′56.651″</w:t>
            </w:r>
          </w:p>
        </w:tc>
        <w:tc>
          <w:tcPr>
            <w:tcW w:w="534" w:type="pct"/>
            <w:vAlign w:val="center"/>
          </w:tcPr>
          <w:p w14:paraId="6F54BBA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611" w:type="pct"/>
            <w:vAlign w:val="center"/>
          </w:tcPr>
          <w:p w14:paraId="5594CAF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1600~1700</w:t>
            </w:r>
          </w:p>
        </w:tc>
        <w:tc>
          <w:tcPr>
            <w:tcW w:w="540" w:type="pct"/>
            <w:vAlign w:val="center"/>
          </w:tcPr>
          <w:p w14:paraId="10F0AA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师生约200人</w:t>
            </w:r>
          </w:p>
        </w:tc>
        <w:tc>
          <w:tcPr>
            <w:tcW w:w="567" w:type="pct"/>
            <w:vMerge w:val="continue"/>
            <w:vAlign w:val="center"/>
          </w:tcPr>
          <w:p w14:paraId="6DDD0B81">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3B346DE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5C7442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25E409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垄墈上</w:t>
            </w:r>
          </w:p>
        </w:tc>
        <w:tc>
          <w:tcPr>
            <w:tcW w:w="605" w:type="pct"/>
            <w:vAlign w:val="center"/>
          </w:tcPr>
          <w:p w14:paraId="660136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113°16′50.685″</w:t>
            </w:r>
          </w:p>
        </w:tc>
        <w:tc>
          <w:tcPr>
            <w:tcW w:w="617" w:type="pct"/>
            <w:vAlign w:val="center"/>
          </w:tcPr>
          <w:p w14:paraId="4DBA4C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28°48′06.693″</w:t>
            </w:r>
          </w:p>
        </w:tc>
        <w:tc>
          <w:tcPr>
            <w:tcW w:w="534" w:type="pct"/>
            <w:vAlign w:val="center"/>
          </w:tcPr>
          <w:p w14:paraId="3AC443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N</w:t>
            </w:r>
          </w:p>
        </w:tc>
        <w:tc>
          <w:tcPr>
            <w:tcW w:w="611" w:type="pct"/>
            <w:vAlign w:val="center"/>
          </w:tcPr>
          <w:p w14:paraId="7D369E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1600~2000</w:t>
            </w:r>
          </w:p>
        </w:tc>
        <w:tc>
          <w:tcPr>
            <w:tcW w:w="540" w:type="pct"/>
            <w:vAlign w:val="center"/>
          </w:tcPr>
          <w:p w14:paraId="406F17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居民约50人</w:t>
            </w:r>
          </w:p>
        </w:tc>
        <w:tc>
          <w:tcPr>
            <w:tcW w:w="567" w:type="pct"/>
            <w:vMerge w:val="continue"/>
            <w:vAlign w:val="center"/>
          </w:tcPr>
          <w:p w14:paraId="67712D83">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3FC9CDB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4CC4FF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725B6F3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楠竹山</w:t>
            </w:r>
          </w:p>
        </w:tc>
        <w:tc>
          <w:tcPr>
            <w:tcW w:w="605" w:type="pct"/>
            <w:vAlign w:val="center"/>
          </w:tcPr>
          <w:p w14:paraId="79BE9F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113°17′28.054″</w:t>
            </w:r>
          </w:p>
        </w:tc>
        <w:tc>
          <w:tcPr>
            <w:tcW w:w="617" w:type="pct"/>
            <w:vAlign w:val="center"/>
          </w:tcPr>
          <w:p w14:paraId="78994F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28°47′25.365″</w:t>
            </w:r>
          </w:p>
        </w:tc>
        <w:tc>
          <w:tcPr>
            <w:tcW w:w="534" w:type="pct"/>
            <w:vAlign w:val="center"/>
          </w:tcPr>
          <w:p w14:paraId="58F2C5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w:t>
            </w:r>
          </w:p>
        </w:tc>
        <w:tc>
          <w:tcPr>
            <w:tcW w:w="611" w:type="pct"/>
            <w:vAlign w:val="center"/>
          </w:tcPr>
          <w:p w14:paraId="7619A7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1700~2000</w:t>
            </w:r>
          </w:p>
        </w:tc>
        <w:tc>
          <w:tcPr>
            <w:tcW w:w="540" w:type="pct"/>
            <w:vAlign w:val="center"/>
          </w:tcPr>
          <w:p w14:paraId="0FCB874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居民约50人</w:t>
            </w:r>
          </w:p>
        </w:tc>
        <w:tc>
          <w:tcPr>
            <w:tcW w:w="567" w:type="pct"/>
            <w:vMerge w:val="continue"/>
            <w:vAlign w:val="center"/>
          </w:tcPr>
          <w:p w14:paraId="76549623">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077F8D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7CDB99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547F789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大旗村</w:t>
            </w:r>
          </w:p>
        </w:tc>
        <w:tc>
          <w:tcPr>
            <w:tcW w:w="605" w:type="pct"/>
            <w:vAlign w:val="center"/>
          </w:tcPr>
          <w:p w14:paraId="451BB7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113°15′25.235″</w:t>
            </w:r>
          </w:p>
        </w:tc>
        <w:tc>
          <w:tcPr>
            <w:tcW w:w="617" w:type="pct"/>
            <w:vAlign w:val="center"/>
          </w:tcPr>
          <w:p w14:paraId="3E6A48A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28°47′41.877″</w:t>
            </w:r>
          </w:p>
        </w:tc>
        <w:tc>
          <w:tcPr>
            <w:tcW w:w="534" w:type="pct"/>
            <w:vAlign w:val="center"/>
          </w:tcPr>
          <w:p w14:paraId="193FBF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WN</w:t>
            </w:r>
          </w:p>
        </w:tc>
        <w:tc>
          <w:tcPr>
            <w:tcW w:w="611" w:type="pct"/>
            <w:vAlign w:val="center"/>
          </w:tcPr>
          <w:p w14:paraId="5C4A4F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1700~2100</w:t>
            </w:r>
          </w:p>
        </w:tc>
        <w:tc>
          <w:tcPr>
            <w:tcW w:w="540" w:type="pct"/>
            <w:vAlign w:val="center"/>
          </w:tcPr>
          <w:p w14:paraId="2B14FA3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居民约200人</w:t>
            </w:r>
          </w:p>
        </w:tc>
        <w:tc>
          <w:tcPr>
            <w:tcW w:w="567" w:type="pct"/>
            <w:vMerge w:val="continue"/>
            <w:vAlign w:val="center"/>
          </w:tcPr>
          <w:p w14:paraId="2708FFEA">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7C61A9A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528F38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327168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马头村</w:t>
            </w:r>
          </w:p>
        </w:tc>
        <w:tc>
          <w:tcPr>
            <w:tcW w:w="605" w:type="pct"/>
            <w:vAlign w:val="center"/>
          </w:tcPr>
          <w:p w14:paraId="6EF992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113°16′20.737″</w:t>
            </w:r>
          </w:p>
        </w:tc>
        <w:tc>
          <w:tcPr>
            <w:tcW w:w="617" w:type="pct"/>
            <w:vAlign w:val="center"/>
          </w:tcPr>
          <w:p w14:paraId="38DFCC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28°45′54.271″</w:t>
            </w:r>
          </w:p>
        </w:tc>
        <w:tc>
          <w:tcPr>
            <w:tcW w:w="534" w:type="pct"/>
            <w:vAlign w:val="center"/>
          </w:tcPr>
          <w:p w14:paraId="18A736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S</w:t>
            </w:r>
          </w:p>
        </w:tc>
        <w:tc>
          <w:tcPr>
            <w:tcW w:w="611" w:type="pct"/>
            <w:vAlign w:val="center"/>
          </w:tcPr>
          <w:p w14:paraId="36FC23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1900~2500</w:t>
            </w:r>
          </w:p>
        </w:tc>
        <w:tc>
          <w:tcPr>
            <w:tcW w:w="540" w:type="pct"/>
            <w:vAlign w:val="center"/>
          </w:tcPr>
          <w:p w14:paraId="1921E8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居民约20人</w:t>
            </w:r>
          </w:p>
        </w:tc>
        <w:tc>
          <w:tcPr>
            <w:tcW w:w="567" w:type="pct"/>
            <w:vMerge w:val="continue"/>
            <w:vAlign w:val="center"/>
          </w:tcPr>
          <w:p w14:paraId="4B6974DF">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C49298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2DBD1F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79D4D4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窑洞坡</w:t>
            </w:r>
          </w:p>
        </w:tc>
        <w:tc>
          <w:tcPr>
            <w:tcW w:w="605" w:type="pct"/>
            <w:vAlign w:val="center"/>
          </w:tcPr>
          <w:p w14:paraId="2EB728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113°15′48.370″</w:t>
            </w:r>
          </w:p>
        </w:tc>
        <w:tc>
          <w:tcPr>
            <w:tcW w:w="617" w:type="pct"/>
            <w:vAlign w:val="center"/>
          </w:tcPr>
          <w:p w14:paraId="2613B08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28°48′07.446″</w:t>
            </w:r>
          </w:p>
        </w:tc>
        <w:tc>
          <w:tcPr>
            <w:tcW w:w="534" w:type="pct"/>
            <w:vAlign w:val="center"/>
          </w:tcPr>
          <w:p w14:paraId="73332AE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WN</w:t>
            </w:r>
          </w:p>
        </w:tc>
        <w:tc>
          <w:tcPr>
            <w:tcW w:w="611" w:type="pct"/>
            <w:vAlign w:val="center"/>
          </w:tcPr>
          <w:p w14:paraId="1915896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1900~2500</w:t>
            </w:r>
          </w:p>
        </w:tc>
        <w:tc>
          <w:tcPr>
            <w:tcW w:w="540" w:type="pct"/>
            <w:vAlign w:val="center"/>
          </w:tcPr>
          <w:p w14:paraId="5BF610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居民约50人</w:t>
            </w:r>
          </w:p>
        </w:tc>
        <w:tc>
          <w:tcPr>
            <w:tcW w:w="567" w:type="pct"/>
            <w:vMerge w:val="continue"/>
            <w:vAlign w:val="center"/>
          </w:tcPr>
          <w:p w14:paraId="1EA5E08B">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0B87E77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16C396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130BA4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何家源</w:t>
            </w:r>
          </w:p>
        </w:tc>
        <w:tc>
          <w:tcPr>
            <w:tcW w:w="605" w:type="pct"/>
            <w:vAlign w:val="center"/>
          </w:tcPr>
          <w:p w14:paraId="0A1E50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113°16′53.143″</w:t>
            </w:r>
          </w:p>
        </w:tc>
        <w:tc>
          <w:tcPr>
            <w:tcW w:w="617" w:type="pct"/>
            <w:vAlign w:val="center"/>
          </w:tcPr>
          <w:p w14:paraId="212686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28°46′07.017″</w:t>
            </w:r>
          </w:p>
        </w:tc>
        <w:tc>
          <w:tcPr>
            <w:tcW w:w="534" w:type="pct"/>
            <w:vAlign w:val="center"/>
          </w:tcPr>
          <w:p w14:paraId="2BBB5C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611" w:type="pct"/>
            <w:vAlign w:val="center"/>
          </w:tcPr>
          <w:p w14:paraId="398820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2000~2100</w:t>
            </w:r>
          </w:p>
        </w:tc>
        <w:tc>
          <w:tcPr>
            <w:tcW w:w="540" w:type="pct"/>
            <w:vAlign w:val="center"/>
          </w:tcPr>
          <w:p w14:paraId="24A023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居民约20人</w:t>
            </w:r>
          </w:p>
        </w:tc>
        <w:tc>
          <w:tcPr>
            <w:tcW w:w="567" w:type="pct"/>
            <w:vMerge w:val="continue"/>
            <w:vAlign w:val="center"/>
          </w:tcPr>
          <w:p w14:paraId="509F58EB">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4FA2CFE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303F57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357B7D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金坑垄</w:t>
            </w:r>
          </w:p>
        </w:tc>
        <w:tc>
          <w:tcPr>
            <w:tcW w:w="605" w:type="pct"/>
            <w:vAlign w:val="center"/>
          </w:tcPr>
          <w:p w14:paraId="4A788A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113°14′58.623″</w:t>
            </w:r>
          </w:p>
        </w:tc>
        <w:tc>
          <w:tcPr>
            <w:tcW w:w="617" w:type="pct"/>
            <w:vAlign w:val="center"/>
          </w:tcPr>
          <w:p w14:paraId="739922C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28°47′03.639″</w:t>
            </w:r>
          </w:p>
        </w:tc>
        <w:tc>
          <w:tcPr>
            <w:tcW w:w="534" w:type="pct"/>
            <w:vAlign w:val="center"/>
          </w:tcPr>
          <w:p w14:paraId="06FA91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w:t>
            </w:r>
          </w:p>
        </w:tc>
        <w:tc>
          <w:tcPr>
            <w:tcW w:w="611" w:type="pct"/>
            <w:vAlign w:val="center"/>
          </w:tcPr>
          <w:p w14:paraId="016D9E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2100~2500</w:t>
            </w:r>
          </w:p>
        </w:tc>
        <w:tc>
          <w:tcPr>
            <w:tcW w:w="540" w:type="pct"/>
            <w:vAlign w:val="center"/>
          </w:tcPr>
          <w:p w14:paraId="194014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居民约50人</w:t>
            </w:r>
          </w:p>
        </w:tc>
        <w:tc>
          <w:tcPr>
            <w:tcW w:w="567" w:type="pct"/>
            <w:vMerge w:val="continue"/>
            <w:vAlign w:val="center"/>
          </w:tcPr>
          <w:p w14:paraId="32ED3F96">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3DBC0D5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6784E8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5698602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张上湾</w:t>
            </w:r>
          </w:p>
        </w:tc>
        <w:tc>
          <w:tcPr>
            <w:tcW w:w="605" w:type="pct"/>
            <w:vAlign w:val="center"/>
          </w:tcPr>
          <w:p w14:paraId="702643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113°17′49.108″</w:t>
            </w:r>
          </w:p>
        </w:tc>
        <w:tc>
          <w:tcPr>
            <w:tcW w:w="617" w:type="pct"/>
            <w:vAlign w:val="center"/>
          </w:tcPr>
          <w:p w14:paraId="047A913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28°46′44.946″</w:t>
            </w:r>
          </w:p>
        </w:tc>
        <w:tc>
          <w:tcPr>
            <w:tcW w:w="534" w:type="pct"/>
            <w:vAlign w:val="center"/>
          </w:tcPr>
          <w:p w14:paraId="1D26FCA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611" w:type="pct"/>
            <w:vAlign w:val="center"/>
          </w:tcPr>
          <w:p w14:paraId="565BF9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2300~2400</w:t>
            </w:r>
          </w:p>
        </w:tc>
        <w:tc>
          <w:tcPr>
            <w:tcW w:w="540" w:type="pct"/>
            <w:vAlign w:val="center"/>
          </w:tcPr>
          <w:p w14:paraId="4DF0F2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居民约10人</w:t>
            </w:r>
          </w:p>
        </w:tc>
        <w:tc>
          <w:tcPr>
            <w:tcW w:w="567" w:type="pct"/>
            <w:vMerge w:val="continue"/>
            <w:vAlign w:val="center"/>
          </w:tcPr>
          <w:p w14:paraId="2693739C">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473BD28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5C9397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4A9A3E7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九斗塝</w:t>
            </w:r>
          </w:p>
        </w:tc>
        <w:tc>
          <w:tcPr>
            <w:tcW w:w="605" w:type="pct"/>
            <w:vAlign w:val="center"/>
          </w:tcPr>
          <w:p w14:paraId="1E4A7B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113°17′43.547″</w:t>
            </w:r>
          </w:p>
        </w:tc>
        <w:tc>
          <w:tcPr>
            <w:tcW w:w="617" w:type="pct"/>
            <w:vAlign w:val="center"/>
          </w:tcPr>
          <w:p w14:paraId="0FADEE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28°46′23.934″</w:t>
            </w:r>
          </w:p>
        </w:tc>
        <w:tc>
          <w:tcPr>
            <w:tcW w:w="534" w:type="pct"/>
            <w:vAlign w:val="center"/>
          </w:tcPr>
          <w:p w14:paraId="6FA5174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ES</w:t>
            </w:r>
          </w:p>
        </w:tc>
        <w:tc>
          <w:tcPr>
            <w:tcW w:w="611" w:type="pct"/>
            <w:vAlign w:val="center"/>
          </w:tcPr>
          <w:p w14:paraId="1AC48D4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2400~2700</w:t>
            </w:r>
          </w:p>
        </w:tc>
        <w:tc>
          <w:tcPr>
            <w:tcW w:w="540" w:type="pct"/>
            <w:vAlign w:val="center"/>
          </w:tcPr>
          <w:p w14:paraId="2B53AD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居民约30人</w:t>
            </w:r>
          </w:p>
        </w:tc>
        <w:tc>
          <w:tcPr>
            <w:tcW w:w="567" w:type="pct"/>
            <w:vMerge w:val="continue"/>
            <w:vAlign w:val="center"/>
          </w:tcPr>
          <w:p w14:paraId="5EC5099B">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222ACDC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12074E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3BF24B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大旗小学</w:t>
            </w:r>
          </w:p>
        </w:tc>
        <w:tc>
          <w:tcPr>
            <w:tcW w:w="605" w:type="pct"/>
            <w:vAlign w:val="center"/>
          </w:tcPr>
          <w:p w14:paraId="701C06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113°15′00.979″</w:t>
            </w:r>
          </w:p>
        </w:tc>
        <w:tc>
          <w:tcPr>
            <w:tcW w:w="617" w:type="pct"/>
            <w:vAlign w:val="center"/>
          </w:tcPr>
          <w:p w14:paraId="06E7BD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28°47′52.151″</w:t>
            </w:r>
          </w:p>
        </w:tc>
        <w:tc>
          <w:tcPr>
            <w:tcW w:w="534" w:type="pct"/>
            <w:vAlign w:val="center"/>
          </w:tcPr>
          <w:p w14:paraId="085DE6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WN</w:t>
            </w:r>
          </w:p>
        </w:tc>
        <w:tc>
          <w:tcPr>
            <w:tcW w:w="611" w:type="pct"/>
            <w:vAlign w:val="center"/>
          </w:tcPr>
          <w:p w14:paraId="34BD077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2500~2600</w:t>
            </w:r>
          </w:p>
        </w:tc>
        <w:tc>
          <w:tcPr>
            <w:tcW w:w="540" w:type="pct"/>
            <w:vAlign w:val="center"/>
          </w:tcPr>
          <w:p w14:paraId="6C2A86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师生约200人</w:t>
            </w:r>
          </w:p>
        </w:tc>
        <w:tc>
          <w:tcPr>
            <w:tcW w:w="567" w:type="pct"/>
            <w:vMerge w:val="continue"/>
            <w:vAlign w:val="center"/>
          </w:tcPr>
          <w:p w14:paraId="5E5CE0D6">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6604A1F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567" w:hRule="atLeast"/>
          <w:jc w:val="center"/>
        </w:trPr>
        <w:tc>
          <w:tcPr>
            <w:tcW w:w="501" w:type="pct"/>
            <w:vMerge w:val="continue"/>
            <w:vAlign w:val="center"/>
          </w:tcPr>
          <w:p w14:paraId="5D618B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1017" w:type="pct"/>
            <w:vAlign w:val="center"/>
          </w:tcPr>
          <w:p w14:paraId="1E969B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新屋塅</w:t>
            </w:r>
          </w:p>
        </w:tc>
        <w:tc>
          <w:tcPr>
            <w:tcW w:w="605" w:type="pct"/>
            <w:vAlign w:val="center"/>
          </w:tcPr>
          <w:p w14:paraId="745A0D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113°17′18.185″</w:t>
            </w:r>
          </w:p>
        </w:tc>
        <w:tc>
          <w:tcPr>
            <w:tcW w:w="617" w:type="pct"/>
            <w:vAlign w:val="center"/>
          </w:tcPr>
          <w:p w14:paraId="0F1CE3B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28°48′17.855″</w:t>
            </w:r>
          </w:p>
        </w:tc>
        <w:tc>
          <w:tcPr>
            <w:tcW w:w="534" w:type="pct"/>
            <w:vAlign w:val="center"/>
          </w:tcPr>
          <w:p w14:paraId="6E09D2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EN</w:t>
            </w:r>
          </w:p>
        </w:tc>
        <w:tc>
          <w:tcPr>
            <w:tcW w:w="611" w:type="pct"/>
            <w:vAlign w:val="center"/>
          </w:tcPr>
          <w:p w14:paraId="6352117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2500~3200</w:t>
            </w:r>
          </w:p>
        </w:tc>
        <w:tc>
          <w:tcPr>
            <w:tcW w:w="540" w:type="pct"/>
            <w:vAlign w:val="center"/>
          </w:tcPr>
          <w:p w14:paraId="21F807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居民约300人</w:t>
            </w:r>
          </w:p>
        </w:tc>
        <w:tc>
          <w:tcPr>
            <w:tcW w:w="567" w:type="pct"/>
            <w:vMerge w:val="continue"/>
            <w:vAlign w:val="center"/>
          </w:tcPr>
          <w:p w14:paraId="6F94B1E8">
            <w:pPr>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sz w:val="21"/>
                <w:szCs w:val="21"/>
                <w:u w:val="none" w:color="auto"/>
                <w14:textFill>
                  <w14:solidFill>
                    <w14:schemeClr w14:val="tx1"/>
                  </w14:solidFill>
                </w14:textFill>
              </w:rPr>
            </w:pPr>
          </w:p>
        </w:tc>
      </w:tr>
      <w:tr w14:paraId="5E30B4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right"/>
        </w:trPr>
        <w:tc>
          <w:tcPr>
            <w:tcW w:w="501" w:type="pct"/>
            <w:vMerge w:val="restart"/>
            <w:vAlign w:val="center"/>
          </w:tcPr>
          <w:p w14:paraId="2DEDF2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地表水环境</w:t>
            </w:r>
            <w:r>
              <w:rPr>
                <w:rFonts w:hint="eastAsia" w:eastAsia="宋体" w:cs="Times New Roman"/>
                <w:color w:val="000000" w:themeColor="text1"/>
                <w:u w:val="none" w:color="auto"/>
                <w:lang w:val="en-US" w:eastAsia="zh-CN"/>
                <w14:textFill>
                  <w14:solidFill>
                    <w14:schemeClr w14:val="tx1"/>
                  </w14:solidFill>
                </w14:textFill>
              </w:rPr>
              <w:t>风险目标</w:t>
            </w:r>
          </w:p>
        </w:tc>
        <w:tc>
          <w:tcPr>
            <w:tcW w:w="1017" w:type="pct"/>
            <w:vAlign w:val="center"/>
          </w:tcPr>
          <w:p w14:paraId="3902705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凌公桥河</w:t>
            </w:r>
          </w:p>
        </w:tc>
        <w:tc>
          <w:tcPr>
            <w:tcW w:w="2369" w:type="pct"/>
            <w:gridSpan w:val="4"/>
            <w:vAlign w:val="center"/>
          </w:tcPr>
          <w:p w14:paraId="6D87DF9C">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凌公桥河为汨罗江支流，自南向北汇入汨罗江。</w:t>
            </w:r>
          </w:p>
        </w:tc>
        <w:tc>
          <w:tcPr>
            <w:tcW w:w="540" w:type="pct"/>
            <w:vAlign w:val="center"/>
          </w:tcPr>
          <w:p w14:paraId="3DC76D2F">
            <w:pPr>
              <w:pStyle w:val="92"/>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农灌用水</w:t>
            </w:r>
          </w:p>
        </w:tc>
        <w:tc>
          <w:tcPr>
            <w:tcW w:w="571" w:type="pct"/>
            <w:gridSpan w:val="2"/>
            <w:vMerge w:val="restart"/>
            <w:vAlign w:val="center"/>
          </w:tcPr>
          <w:p w14:paraId="4086B1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3838-2002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Ⅲ类</w:t>
            </w:r>
          </w:p>
        </w:tc>
      </w:tr>
      <w:tr w14:paraId="3760BC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right"/>
        </w:trPr>
        <w:tc>
          <w:tcPr>
            <w:tcW w:w="501" w:type="pct"/>
            <w:vMerge w:val="continue"/>
            <w:vAlign w:val="center"/>
          </w:tcPr>
          <w:p w14:paraId="6B556E01">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c>
          <w:tcPr>
            <w:tcW w:w="1017" w:type="pct"/>
            <w:vAlign w:val="center"/>
          </w:tcPr>
          <w:p w14:paraId="3DD4EF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汨罗江</w:t>
            </w:r>
          </w:p>
        </w:tc>
        <w:tc>
          <w:tcPr>
            <w:tcW w:w="2369" w:type="pct"/>
            <w:gridSpan w:val="4"/>
            <w:vAlign w:val="center"/>
          </w:tcPr>
          <w:p w14:paraId="025B0B6A">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伍市镇青冲饮用水水源保护区下端至汨罗市新市汨罗江饮用水水源保护区长约22.7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km河段。</w:t>
            </w:r>
          </w:p>
        </w:tc>
        <w:tc>
          <w:tcPr>
            <w:tcW w:w="540" w:type="pct"/>
            <w:vAlign w:val="center"/>
          </w:tcPr>
          <w:p w14:paraId="586ACB2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渔业用水区</w:t>
            </w:r>
          </w:p>
        </w:tc>
        <w:tc>
          <w:tcPr>
            <w:tcW w:w="571" w:type="pct"/>
            <w:gridSpan w:val="2"/>
            <w:vMerge w:val="continue"/>
            <w:vAlign w:val="center"/>
          </w:tcPr>
          <w:p w14:paraId="60145C28">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r>
      <w:tr w14:paraId="3D9E1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right"/>
        </w:trPr>
        <w:tc>
          <w:tcPr>
            <w:tcW w:w="501" w:type="pct"/>
            <w:vMerge w:val="continue"/>
            <w:vAlign w:val="center"/>
          </w:tcPr>
          <w:p w14:paraId="6C59BA5B">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c>
          <w:tcPr>
            <w:tcW w:w="1017" w:type="pct"/>
            <w:vAlign w:val="center"/>
          </w:tcPr>
          <w:p w14:paraId="5291949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岳阳市汨罗市新市自来水厂汨罗江饮用水水源保护区（应急备用水源）</w:t>
            </w:r>
          </w:p>
        </w:tc>
        <w:tc>
          <w:tcPr>
            <w:tcW w:w="2369" w:type="pct"/>
            <w:gridSpan w:val="4"/>
            <w:vAlign w:val="center"/>
          </w:tcPr>
          <w:p w14:paraId="260AF45E">
            <w:pPr>
              <w:pStyle w:val="92"/>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凌公桥河与汨罗江交汇口距离饮用水源二级保护区水域顶端距离6.53km凌公桥河与汨罗江交汇口距离饮用水源一级保护区水域顶端距离8.53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km，距离取水口9.53km。</w:t>
            </w:r>
          </w:p>
        </w:tc>
        <w:tc>
          <w:tcPr>
            <w:tcW w:w="540" w:type="pct"/>
            <w:vAlign w:val="center"/>
          </w:tcPr>
          <w:p w14:paraId="44C1C1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饮用水水源保护区</w:t>
            </w:r>
          </w:p>
        </w:tc>
        <w:tc>
          <w:tcPr>
            <w:tcW w:w="571" w:type="pct"/>
            <w:gridSpan w:val="2"/>
            <w:vMerge w:val="continue"/>
            <w:vAlign w:val="center"/>
          </w:tcPr>
          <w:p w14:paraId="7FCF419D">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r>
      <w:tr w14:paraId="2451F2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right"/>
        </w:trPr>
        <w:tc>
          <w:tcPr>
            <w:tcW w:w="501" w:type="pct"/>
            <w:vMerge w:val="continue"/>
            <w:vAlign w:val="center"/>
          </w:tcPr>
          <w:p w14:paraId="38D09E88">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c>
          <w:tcPr>
            <w:tcW w:w="1017" w:type="pct"/>
            <w:vAlign w:val="center"/>
          </w:tcPr>
          <w:p w14:paraId="180CF7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汩罗江平江段斑鳜黄颡鱼国家级水产种质资源保护区</w:t>
            </w:r>
          </w:p>
        </w:tc>
        <w:tc>
          <w:tcPr>
            <w:tcW w:w="2369" w:type="pct"/>
            <w:gridSpan w:val="4"/>
            <w:vAlign w:val="center"/>
          </w:tcPr>
          <w:p w14:paraId="36A44293">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浯口大桥（113°21′08″E，28°46′23″N）至伍市镇（113°14′18″E，28°47′08″N）江段，长30公里，面积为500公顷。</w:t>
            </w:r>
          </w:p>
        </w:tc>
        <w:tc>
          <w:tcPr>
            <w:tcW w:w="540" w:type="pct"/>
            <w:vAlign w:val="center"/>
          </w:tcPr>
          <w:p w14:paraId="6E3CCA6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渔业用水区</w:t>
            </w:r>
          </w:p>
        </w:tc>
        <w:tc>
          <w:tcPr>
            <w:tcW w:w="571" w:type="pct"/>
            <w:gridSpan w:val="2"/>
            <w:vMerge w:val="continue"/>
            <w:vAlign w:val="center"/>
          </w:tcPr>
          <w:p w14:paraId="30DEA499">
            <w:pPr>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sz w:val="21"/>
                <w:u w:val="none" w:color="auto"/>
                <w14:textFill>
                  <w14:solidFill>
                    <w14:schemeClr w14:val="tx1"/>
                  </w14:solidFill>
                </w14:textFill>
              </w:rPr>
            </w:pPr>
          </w:p>
        </w:tc>
      </w:tr>
      <w:tr w14:paraId="3E1853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8" w:hRule="atLeast"/>
          <w:jc w:val="right"/>
        </w:trPr>
        <w:tc>
          <w:tcPr>
            <w:tcW w:w="501" w:type="pct"/>
            <w:vAlign w:val="center"/>
          </w:tcPr>
          <w:p w14:paraId="2B0802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地</w:t>
            </w:r>
            <w:r>
              <w:rPr>
                <w:rFonts w:hint="eastAsia" w:eastAsia="宋体" w:cs="Times New Roman"/>
                <w:color w:val="000000" w:themeColor="text1"/>
                <w:u w:val="none" w:color="auto"/>
                <w:lang w:val="en-US" w:eastAsia="zh-CN"/>
                <w14:textFill>
                  <w14:solidFill>
                    <w14:schemeClr w14:val="tx1"/>
                  </w14:solidFill>
                </w14:textFill>
              </w:rPr>
              <w:t>下水</w:t>
            </w:r>
            <w:r>
              <w:rPr>
                <w:rFonts w:hint="default" w:ascii="Times New Roman" w:hAnsi="Times New Roman" w:eastAsia="宋体" w:cs="Times New Roman"/>
                <w:color w:val="000000" w:themeColor="text1"/>
                <w:u w:val="none" w:color="auto"/>
                <w14:textFill>
                  <w14:solidFill>
                    <w14:schemeClr w14:val="tx1"/>
                  </w14:solidFill>
                </w14:textFill>
              </w:rPr>
              <w:t>环境</w:t>
            </w:r>
            <w:r>
              <w:rPr>
                <w:rFonts w:hint="eastAsia" w:eastAsia="宋体" w:cs="Times New Roman"/>
                <w:color w:val="000000" w:themeColor="text1"/>
                <w:u w:val="none" w:color="auto"/>
                <w:lang w:val="en-US" w:eastAsia="zh-CN"/>
                <w14:textFill>
                  <w14:solidFill>
                    <w14:schemeClr w14:val="tx1"/>
                  </w14:solidFill>
                </w14:textFill>
              </w:rPr>
              <w:t>风险目标</w:t>
            </w:r>
          </w:p>
        </w:tc>
        <w:tc>
          <w:tcPr>
            <w:tcW w:w="1017" w:type="pct"/>
            <w:vAlign w:val="center"/>
          </w:tcPr>
          <w:p w14:paraId="21ABE9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潜水含水层</w:t>
            </w:r>
          </w:p>
        </w:tc>
        <w:tc>
          <w:tcPr>
            <w:tcW w:w="2369" w:type="pct"/>
            <w:gridSpan w:val="4"/>
            <w:vAlign w:val="center"/>
          </w:tcPr>
          <w:p w14:paraId="30CA655D">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园区及周边已开发区域已使用自来水。</w:t>
            </w:r>
          </w:p>
        </w:tc>
        <w:tc>
          <w:tcPr>
            <w:tcW w:w="540" w:type="pct"/>
            <w:vAlign w:val="center"/>
          </w:tcPr>
          <w:p w14:paraId="58E72A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c>
          <w:tcPr>
            <w:tcW w:w="571" w:type="pct"/>
            <w:gridSpan w:val="2"/>
            <w:vAlign w:val="center"/>
          </w:tcPr>
          <w:p w14:paraId="50A724D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14848-2017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Ⅲ类</w:t>
            </w:r>
          </w:p>
        </w:tc>
      </w:tr>
      <w:tr w14:paraId="7E3781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01" w:type="pct"/>
            <w:tcBorders>
              <w:top w:val="single" w:color="auto" w:sz="4" w:space="0"/>
              <w:left w:val="single" w:color="auto" w:sz="12" w:space="0"/>
              <w:bottom w:val="single" w:color="auto" w:sz="12" w:space="0"/>
              <w:right w:val="single" w:color="auto" w:sz="4" w:space="0"/>
            </w:tcBorders>
            <w:vAlign w:val="center"/>
          </w:tcPr>
          <w:p w14:paraId="266E1F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土壤环境</w:t>
            </w:r>
            <w:r>
              <w:rPr>
                <w:rFonts w:hint="eastAsia" w:eastAsia="宋体" w:cs="Times New Roman"/>
                <w:color w:val="000000" w:themeColor="text1"/>
                <w:u w:val="none" w:color="auto"/>
                <w:lang w:val="en-US" w:eastAsia="zh-CN"/>
                <w14:textFill>
                  <w14:solidFill>
                    <w14:schemeClr w14:val="tx1"/>
                  </w14:solidFill>
                </w14:textFill>
              </w:rPr>
              <w:t>风险目标</w:t>
            </w:r>
          </w:p>
        </w:tc>
        <w:tc>
          <w:tcPr>
            <w:tcW w:w="3927" w:type="pct"/>
            <w:gridSpan w:val="6"/>
            <w:tcBorders>
              <w:top w:val="single" w:color="auto" w:sz="4" w:space="0"/>
              <w:left w:val="single" w:color="auto" w:sz="4" w:space="0"/>
              <w:bottom w:val="single" w:color="auto" w:sz="12" w:space="0"/>
              <w:right w:val="single" w:color="auto" w:sz="4" w:space="0"/>
            </w:tcBorders>
            <w:vAlign w:val="center"/>
          </w:tcPr>
          <w:p w14:paraId="3D7E057F">
            <w:pPr>
              <w:pStyle w:val="68"/>
              <w:keepNext w:val="0"/>
              <w:keepLines w:val="0"/>
              <w:pageBreakBefore w:val="0"/>
              <w:widowControl w:val="0"/>
              <w:kinsoku/>
              <w:wordWrap/>
              <w:overflowPunct/>
              <w:topLinePunct w:val="0"/>
              <w:bidi w:val="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西侧、西</w:t>
            </w:r>
            <w:r>
              <w:rPr>
                <w:rFonts w:hint="default" w:ascii="Times New Roman" w:hAnsi="Times New Roman" w:eastAsia="宋体" w:cs="Times New Roman"/>
                <w:color w:val="000000" w:themeColor="text1"/>
                <w:u w:val="none" w:color="auto"/>
                <w14:textFill>
                  <w14:solidFill>
                    <w14:schemeClr w14:val="tx1"/>
                  </w14:solidFill>
                </w14:textFill>
              </w:rPr>
              <w:t>北侧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m处，存在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公合村</w:t>
            </w:r>
            <w:r>
              <w:rPr>
                <w:rFonts w:hint="default" w:ascii="Times New Roman" w:hAnsi="Times New Roman" w:eastAsia="宋体" w:cs="Times New Roman"/>
                <w:color w:val="000000" w:themeColor="text1"/>
                <w:u w:val="none" w:color="auto"/>
                <w14:textFill>
                  <w14:solidFill>
                    <w14:schemeClr w14:val="tx1"/>
                  </w14:solidFill>
                </w14:textFill>
              </w:rPr>
              <w:t>居民居住用地、耕地；项目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北</w:t>
            </w:r>
            <w:r>
              <w:rPr>
                <w:rFonts w:hint="default" w:ascii="Times New Roman" w:hAnsi="Times New Roman" w:eastAsia="宋体" w:cs="Times New Roman"/>
                <w:color w:val="000000" w:themeColor="text1"/>
                <w:u w:val="none" w:color="auto"/>
                <w14:textFill>
                  <w14:solidFill>
                    <w14:schemeClr w14:val="tx1"/>
                  </w14:solidFill>
                </w14:textFill>
              </w:rPr>
              <w:t>侧3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0~500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m处，存在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颜家村</w:t>
            </w:r>
            <w:r>
              <w:rPr>
                <w:rFonts w:hint="default" w:ascii="Times New Roman" w:hAnsi="Times New Roman" w:eastAsia="宋体" w:cs="Times New Roman"/>
                <w:color w:val="000000" w:themeColor="text1"/>
                <w:u w:val="none" w:color="auto"/>
                <w14:textFill>
                  <w14:solidFill>
                    <w14:schemeClr w14:val="tx1"/>
                  </w14:solidFill>
                </w14:textFill>
              </w:rPr>
              <w:t>居民居住用地</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耕地。</w:t>
            </w:r>
          </w:p>
        </w:tc>
        <w:tc>
          <w:tcPr>
            <w:tcW w:w="571" w:type="pct"/>
            <w:gridSpan w:val="2"/>
            <w:tcBorders>
              <w:top w:val="single" w:color="auto" w:sz="4" w:space="0"/>
              <w:left w:val="single" w:color="auto" w:sz="4" w:space="0"/>
              <w:bottom w:val="single" w:color="auto" w:sz="12" w:space="0"/>
              <w:right w:val="single" w:color="auto" w:sz="12" w:space="0"/>
            </w:tcBorders>
            <w:vAlign w:val="center"/>
          </w:tcPr>
          <w:p w14:paraId="2AC8A2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15618-2018</w:t>
            </w:r>
          </w:p>
        </w:tc>
      </w:tr>
    </w:tbl>
    <w:p w14:paraId="7E1A1E8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01C6114A">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01" w:name="_Toc1849"/>
      <w:r>
        <w:rPr>
          <w:rFonts w:hint="eastAsia" w:ascii="Times New Roman" w:hAnsi="Times New Roman" w:eastAsia="宋体" w:cs="Times New Roman"/>
          <w:color w:val="000000" w:themeColor="text1"/>
          <w:u w:val="none" w:color="auto"/>
          <w:lang w:val="en-US" w:eastAsia="zh-CN"/>
          <w14:textFill>
            <w14:solidFill>
              <w14:schemeClr w14:val="tx1"/>
            </w14:solidFill>
          </w14:textFill>
        </w:rPr>
        <w:t>7.4 环境风险识别</w:t>
      </w:r>
      <w:bookmarkEnd w:id="401"/>
    </w:p>
    <w:p w14:paraId="184DD9E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02" w:name="_Toc11453"/>
      <w:r>
        <w:rPr>
          <w:rFonts w:hint="eastAsia" w:ascii="Times New Roman" w:hAnsi="Times New Roman" w:eastAsia="宋体" w:cs="Times New Roman"/>
          <w:color w:val="000000" w:themeColor="text1"/>
          <w:u w:val="none" w:color="auto"/>
          <w:lang w:val="en-US" w:eastAsia="zh-CN"/>
          <w14:textFill>
            <w14:solidFill>
              <w14:schemeClr w14:val="tx1"/>
            </w14:solidFill>
          </w14:textFill>
        </w:rPr>
        <w:t>7.4.1 物质危险性识别</w:t>
      </w:r>
      <w:bookmarkEnd w:id="402"/>
    </w:p>
    <w:p w14:paraId="66F914E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u w:val="none" w:color="auto"/>
          <w14:textFill>
            <w14:solidFill>
              <w14:schemeClr w14:val="tx1"/>
            </w14:solidFill>
          </w14:textFill>
        </w:rPr>
        <w:t>依据《建设项目环境风险评价技术导则》（</w:t>
      </w:r>
      <w:r>
        <w:rPr>
          <w:rFonts w:hint="default" w:ascii="Times New Roman" w:hAnsi="Times New Roman" w:eastAsia="宋体" w:cs="Times New Roman"/>
          <w:color w:val="000000" w:themeColor="text1"/>
          <w:u w:val="none" w:color="auto"/>
          <w14:textFill>
            <w14:solidFill>
              <w14:schemeClr w14:val="tx1"/>
            </w14:solidFill>
          </w14:textFill>
        </w:rPr>
        <w:t>HJ</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169-2018</w:t>
      </w:r>
      <w:r>
        <w:rPr>
          <w:rFonts w:hint="eastAsia" w:ascii="Times New Roman" w:hAnsi="Times New Roman" w:eastAsia="宋体" w:cs="Times New Roman"/>
          <w:color w:val="000000" w:themeColor="text1"/>
          <w:u w:val="none" w:color="auto"/>
          <w14:textFill>
            <w14:solidFill>
              <w14:schemeClr w14:val="tx1"/>
            </w14:solidFill>
          </w14:textFill>
        </w:rPr>
        <w:t>）对项目主要物质的判断，本项目涉及的主要环境风险物质为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废弃油脂、成品油脂、危险废物</w:t>
      </w:r>
      <w:r>
        <w:rPr>
          <w:rFonts w:hint="eastAsia" w:ascii="Times New Roman" w:hAnsi="Times New Roman" w:eastAsia="宋体" w:cs="Times New Roman"/>
          <w:color w:val="000000" w:themeColor="text1"/>
          <w:u w:val="none" w:color="auto"/>
          <w14:textFill>
            <w14:solidFill>
              <w14:schemeClr w14:val="tx1"/>
            </w14:solidFill>
          </w14:textFill>
        </w:rPr>
        <w:t>。</w:t>
      </w:r>
    </w:p>
    <w:bookmarkEnd w:id="395"/>
    <w:bookmarkEnd w:id="396"/>
    <w:bookmarkEnd w:id="397"/>
    <w:bookmarkEnd w:id="398"/>
    <w:bookmarkEnd w:id="399"/>
    <w:bookmarkEnd w:id="400"/>
    <w:p w14:paraId="0165A3E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03" w:name="_Toc204350768"/>
      <w:bookmarkStart w:id="404" w:name="_Toc11593"/>
      <w:r>
        <w:rPr>
          <w:rFonts w:hint="default" w:ascii="Times New Roman" w:hAnsi="Times New Roman" w:eastAsia="宋体" w:cs="Times New Roman"/>
          <w:color w:val="000000" w:themeColor="text1"/>
          <w:u w:val="none" w:color="auto"/>
          <w:lang w:eastAsia="zh-CN"/>
          <w14:textFill>
            <w14:solidFill>
              <w14:schemeClr w14:val="tx1"/>
            </w14:solidFill>
          </w14:textFill>
        </w:rPr>
        <w:t>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.2 生产</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系统危险性</w:t>
      </w:r>
      <w:r>
        <w:rPr>
          <w:rFonts w:hint="default" w:ascii="Times New Roman" w:hAnsi="Times New Roman" w:eastAsia="宋体" w:cs="Times New Roman"/>
          <w:color w:val="000000" w:themeColor="text1"/>
          <w:u w:val="none" w:color="auto"/>
          <w14:textFill>
            <w14:solidFill>
              <w14:schemeClr w14:val="tx1"/>
            </w14:solidFill>
          </w14:textFill>
        </w:rPr>
        <w:t>识别</w:t>
      </w:r>
      <w:bookmarkEnd w:id="403"/>
      <w:bookmarkEnd w:id="404"/>
    </w:p>
    <w:p w14:paraId="0079ED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根据《建设项目环境风险评价技术导则》（HJ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169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2018），生产设施识别范围包括主要生产装置、贮运系统、公用工程系统、工程环保设施及辅助生产设施等。</w:t>
      </w:r>
    </w:p>
    <w:p w14:paraId="303946F5">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本项目环境风险源项</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91"/>
        <w:gridCol w:w="1428"/>
        <w:gridCol w:w="1500"/>
        <w:gridCol w:w="995"/>
        <w:gridCol w:w="2300"/>
        <w:gridCol w:w="1425"/>
      </w:tblGrid>
      <w:tr w14:paraId="4C5B18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Align w:val="center"/>
          </w:tcPr>
          <w:p w14:paraId="4E53142A">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序号</w:t>
            </w:r>
          </w:p>
        </w:tc>
        <w:tc>
          <w:tcPr>
            <w:tcW w:w="856" w:type="pct"/>
            <w:vAlign w:val="center"/>
          </w:tcPr>
          <w:p w14:paraId="3D2E3D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发生事故对象</w:t>
            </w:r>
          </w:p>
        </w:tc>
        <w:tc>
          <w:tcPr>
            <w:tcW w:w="899" w:type="pct"/>
            <w:vAlign w:val="center"/>
          </w:tcPr>
          <w:p w14:paraId="748E84FC">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危险单元</w:t>
            </w:r>
          </w:p>
        </w:tc>
        <w:tc>
          <w:tcPr>
            <w:tcW w:w="596" w:type="pct"/>
            <w:vAlign w:val="center"/>
          </w:tcPr>
          <w:p w14:paraId="1552989B">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事故类别</w:t>
            </w:r>
          </w:p>
        </w:tc>
        <w:tc>
          <w:tcPr>
            <w:tcW w:w="1378" w:type="pct"/>
            <w:vAlign w:val="center"/>
          </w:tcPr>
          <w:p w14:paraId="26D3D220">
            <w:pPr>
              <w:pStyle w:val="68"/>
              <w:keepNext w:val="0"/>
              <w:keepLines w:val="0"/>
              <w:pageBreakBefore w:val="0"/>
              <w:widowControl w:val="0"/>
              <w:kinsoku/>
              <w:wordWrap/>
              <w:overflowPunct/>
              <w:topLinePunct w:val="0"/>
              <w:bidi w:val="0"/>
              <w:rPr>
                <w:rFonts w:hint="eastAsia" w:ascii="Times New Roman" w:hAnsi="Times New Roman" w:eastAsia="宋体" w:cs="Times New Roman"/>
                <w:b w:val="0"/>
                <w:bCs w:val="0"/>
                <w:sz w:val="21"/>
                <w:szCs w:val="21"/>
                <w:u w:val="none" w:color="auto"/>
                <w:lang w:val="en-US" w:eastAsia="zh-CN"/>
              </w:rPr>
            </w:pPr>
            <w:r>
              <w:rPr>
                <w:rFonts w:hint="eastAsia" w:eastAsia="宋体" w:cs="Times New Roman"/>
                <w:b w:val="0"/>
                <w:bCs w:val="0"/>
                <w:sz w:val="21"/>
                <w:szCs w:val="21"/>
                <w:u w:val="none" w:color="auto"/>
                <w:lang w:val="en-US" w:eastAsia="zh-CN"/>
              </w:rPr>
              <w:t>事故原因</w:t>
            </w:r>
          </w:p>
        </w:tc>
        <w:tc>
          <w:tcPr>
            <w:tcW w:w="854" w:type="pct"/>
            <w:vAlign w:val="center"/>
          </w:tcPr>
          <w:p w14:paraId="715742F4">
            <w:pPr>
              <w:pStyle w:val="68"/>
              <w:keepNext w:val="0"/>
              <w:keepLines w:val="0"/>
              <w:pageBreakBefore w:val="0"/>
              <w:widowControl w:val="0"/>
              <w:kinsoku/>
              <w:wordWrap/>
              <w:overflowPunct/>
              <w:topLinePunct w:val="0"/>
              <w:bidi w:val="0"/>
              <w:rPr>
                <w:rFonts w:hint="eastAsia" w:ascii="Times New Roman" w:hAnsi="Times New Roman" w:eastAsia="宋体" w:cs="Times New Roman"/>
                <w:b w:val="0"/>
                <w:bCs w:val="0"/>
                <w:sz w:val="21"/>
                <w:szCs w:val="21"/>
                <w:u w:val="none" w:color="auto"/>
                <w:lang w:val="en-US" w:eastAsia="zh-CN"/>
              </w:rPr>
            </w:pPr>
            <w:r>
              <w:rPr>
                <w:rFonts w:hint="eastAsia" w:eastAsia="宋体" w:cs="Times New Roman"/>
                <w:b w:val="0"/>
                <w:bCs w:val="0"/>
                <w:sz w:val="21"/>
                <w:szCs w:val="21"/>
                <w:u w:val="none" w:color="auto"/>
                <w:lang w:val="en-US" w:eastAsia="zh-CN"/>
              </w:rPr>
              <w:t>危害对象</w:t>
            </w:r>
          </w:p>
        </w:tc>
      </w:tr>
      <w:tr w14:paraId="3BF7B2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restart"/>
            <w:vAlign w:val="center"/>
          </w:tcPr>
          <w:p w14:paraId="38803A8D">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w:t>
            </w:r>
          </w:p>
        </w:tc>
        <w:tc>
          <w:tcPr>
            <w:tcW w:w="856" w:type="pct"/>
            <w:vMerge w:val="restart"/>
            <w:vAlign w:val="center"/>
          </w:tcPr>
          <w:p w14:paraId="5AB26D6B">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废弃油脂</w:t>
            </w:r>
          </w:p>
        </w:tc>
        <w:tc>
          <w:tcPr>
            <w:tcW w:w="899" w:type="pct"/>
            <w:vAlign w:val="center"/>
          </w:tcPr>
          <w:p w14:paraId="07D15850">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废弃油脂收运</w:t>
            </w:r>
          </w:p>
        </w:tc>
        <w:tc>
          <w:tcPr>
            <w:tcW w:w="596" w:type="pct"/>
            <w:vAlign w:val="center"/>
          </w:tcPr>
          <w:p w14:paraId="13E7F46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泄漏</w:t>
            </w:r>
          </w:p>
        </w:tc>
        <w:tc>
          <w:tcPr>
            <w:tcW w:w="1378" w:type="pct"/>
            <w:vAlign w:val="center"/>
          </w:tcPr>
          <w:p w14:paraId="61882E7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操作不当，阀门损坏，以及车辆侧翻等。</w:t>
            </w:r>
          </w:p>
        </w:tc>
        <w:tc>
          <w:tcPr>
            <w:tcW w:w="854" w:type="pct"/>
            <w:vAlign w:val="center"/>
          </w:tcPr>
          <w:p w14:paraId="79725F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大气、土壤、地下水</w:t>
            </w:r>
          </w:p>
        </w:tc>
      </w:tr>
      <w:tr w14:paraId="0BAEBF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Merge w:val="continue"/>
            <w:vAlign w:val="center"/>
          </w:tcPr>
          <w:p w14:paraId="6C09D2A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21"/>
                <w:u w:val="none" w:color="auto"/>
                <w:shd w:val="clear" w:color="auto" w:fill="FFFFFF"/>
                <w14:textFill>
                  <w14:solidFill>
                    <w14:schemeClr w14:val="tx1"/>
                  </w14:solidFill>
                </w14:textFill>
              </w:rPr>
            </w:pPr>
          </w:p>
        </w:tc>
        <w:tc>
          <w:tcPr>
            <w:tcW w:w="856" w:type="pct"/>
            <w:vMerge w:val="continue"/>
            <w:vAlign w:val="center"/>
          </w:tcPr>
          <w:p w14:paraId="2F846E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99" w:type="pct"/>
            <w:vAlign w:val="center"/>
          </w:tcPr>
          <w:p w14:paraId="5F51FC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废弃油脂加工生产线</w:t>
            </w:r>
          </w:p>
        </w:tc>
        <w:tc>
          <w:tcPr>
            <w:tcW w:w="596" w:type="pct"/>
            <w:vAlign w:val="center"/>
          </w:tcPr>
          <w:p w14:paraId="54DE40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泄漏</w:t>
            </w:r>
          </w:p>
        </w:tc>
        <w:tc>
          <w:tcPr>
            <w:tcW w:w="1378" w:type="pct"/>
            <w:vAlign w:val="center"/>
          </w:tcPr>
          <w:p w14:paraId="2BE89D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操作不当，阀门损坏等。</w:t>
            </w:r>
          </w:p>
        </w:tc>
        <w:tc>
          <w:tcPr>
            <w:tcW w:w="854" w:type="pct"/>
            <w:vAlign w:val="center"/>
          </w:tcPr>
          <w:p w14:paraId="15FB17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土壤、地下水</w:t>
            </w:r>
          </w:p>
        </w:tc>
      </w:tr>
      <w:tr w14:paraId="4A3674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Align w:val="center"/>
          </w:tcPr>
          <w:p w14:paraId="59326819">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w:t>
            </w:r>
          </w:p>
        </w:tc>
        <w:tc>
          <w:tcPr>
            <w:tcW w:w="856" w:type="pct"/>
            <w:vAlign w:val="center"/>
          </w:tcPr>
          <w:p w14:paraId="55CDE6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成品油脂</w:t>
            </w:r>
          </w:p>
        </w:tc>
        <w:tc>
          <w:tcPr>
            <w:tcW w:w="899" w:type="pct"/>
            <w:vAlign w:val="center"/>
          </w:tcPr>
          <w:p w14:paraId="06C0A5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成品油储罐区</w:t>
            </w:r>
          </w:p>
        </w:tc>
        <w:tc>
          <w:tcPr>
            <w:tcW w:w="596" w:type="pct"/>
            <w:vAlign w:val="center"/>
          </w:tcPr>
          <w:p w14:paraId="5C38CF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泄漏</w:t>
            </w:r>
          </w:p>
        </w:tc>
        <w:tc>
          <w:tcPr>
            <w:tcW w:w="1378" w:type="pct"/>
            <w:vAlign w:val="center"/>
          </w:tcPr>
          <w:p w14:paraId="35D239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操作不当，阀门损坏等。</w:t>
            </w:r>
          </w:p>
        </w:tc>
        <w:tc>
          <w:tcPr>
            <w:tcW w:w="854" w:type="pct"/>
            <w:vAlign w:val="center"/>
          </w:tcPr>
          <w:p w14:paraId="59743A4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土壤、地下水</w:t>
            </w:r>
          </w:p>
        </w:tc>
      </w:tr>
      <w:tr w14:paraId="50C9C3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Align w:val="center"/>
          </w:tcPr>
          <w:p w14:paraId="208DB63F">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w:t>
            </w:r>
          </w:p>
        </w:tc>
        <w:tc>
          <w:tcPr>
            <w:tcW w:w="856" w:type="pct"/>
            <w:vAlign w:val="center"/>
          </w:tcPr>
          <w:p w14:paraId="0D83E5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危险废物</w:t>
            </w:r>
          </w:p>
        </w:tc>
        <w:tc>
          <w:tcPr>
            <w:tcW w:w="899" w:type="pct"/>
            <w:vAlign w:val="center"/>
          </w:tcPr>
          <w:p w14:paraId="4744A311">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危废暂存间</w:t>
            </w:r>
          </w:p>
        </w:tc>
        <w:tc>
          <w:tcPr>
            <w:tcW w:w="596" w:type="pct"/>
            <w:vAlign w:val="center"/>
          </w:tcPr>
          <w:p w14:paraId="2AFC3D1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泄漏</w:t>
            </w:r>
          </w:p>
        </w:tc>
        <w:tc>
          <w:tcPr>
            <w:tcW w:w="1378" w:type="pct"/>
            <w:vAlign w:val="center"/>
          </w:tcPr>
          <w:p w14:paraId="7D89D4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操作不当等。</w:t>
            </w:r>
          </w:p>
        </w:tc>
        <w:tc>
          <w:tcPr>
            <w:tcW w:w="854" w:type="pct"/>
            <w:vAlign w:val="center"/>
          </w:tcPr>
          <w:p w14:paraId="0C4AC7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土壤、地下水</w:t>
            </w:r>
          </w:p>
        </w:tc>
      </w:tr>
      <w:tr w14:paraId="76EBAB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Align w:val="center"/>
          </w:tcPr>
          <w:p w14:paraId="663B91EA">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4</w:t>
            </w:r>
          </w:p>
        </w:tc>
        <w:tc>
          <w:tcPr>
            <w:tcW w:w="856" w:type="pct"/>
            <w:vAlign w:val="center"/>
          </w:tcPr>
          <w:p w14:paraId="524CF715">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废气</w:t>
            </w:r>
          </w:p>
        </w:tc>
        <w:tc>
          <w:tcPr>
            <w:tcW w:w="899" w:type="pct"/>
            <w:vAlign w:val="center"/>
          </w:tcPr>
          <w:p w14:paraId="21F8F1CA">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废气处理设施</w:t>
            </w:r>
          </w:p>
        </w:tc>
        <w:tc>
          <w:tcPr>
            <w:tcW w:w="596" w:type="pct"/>
            <w:vAlign w:val="center"/>
          </w:tcPr>
          <w:p w14:paraId="1ACDE08F">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超标排放</w:t>
            </w:r>
          </w:p>
        </w:tc>
        <w:tc>
          <w:tcPr>
            <w:tcW w:w="1378" w:type="pct"/>
            <w:vAlign w:val="center"/>
          </w:tcPr>
          <w:p w14:paraId="1530234D">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处理效率下降或失效。</w:t>
            </w:r>
          </w:p>
        </w:tc>
        <w:tc>
          <w:tcPr>
            <w:tcW w:w="854" w:type="pct"/>
            <w:vAlign w:val="center"/>
          </w:tcPr>
          <w:p w14:paraId="1E4A06AF">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大气</w:t>
            </w:r>
          </w:p>
        </w:tc>
      </w:tr>
      <w:tr w14:paraId="33EDC4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4" w:type="pct"/>
            <w:vAlign w:val="center"/>
          </w:tcPr>
          <w:p w14:paraId="53F6CDD2">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5</w:t>
            </w:r>
          </w:p>
        </w:tc>
        <w:tc>
          <w:tcPr>
            <w:tcW w:w="856" w:type="pct"/>
            <w:vAlign w:val="center"/>
          </w:tcPr>
          <w:p w14:paraId="1DCD38AA">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废水</w:t>
            </w:r>
          </w:p>
        </w:tc>
        <w:tc>
          <w:tcPr>
            <w:tcW w:w="899" w:type="pct"/>
            <w:vAlign w:val="center"/>
          </w:tcPr>
          <w:p w14:paraId="13D081A1">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废水处理设施</w:t>
            </w:r>
          </w:p>
        </w:tc>
        <w:tc>
          <w:tcPr>
            <w:tcW w:w="596" w:type="pct"/>
            <w:vAlign w:val="center"/>
          </w:tcPr>
          <w:p w14:paraId="1D9DF0CE">
            <w:pPr>
              <w:pStyle w:val="68"/>
              <w:keepNext w:val="0"/>
              <w:keepLines w:val="0"/>
              <w:pageBreakBefore w:val="0"/>
              <w:widowControl w:val="0"/>
              <w:kinsoku/>
              <w:wordWrap/>
              <w:overflowPunct/>
              <w:topLinePunct w:val="0"/>
              <w:bidi w:val="0"/>
              <w:rPr>
                <w:rFonts w:hint="eastAsia"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超标排放</w:t>
            </w:r>
          </w:p>
        </w:tc>
        <w:tc>
          <w:tcPr>
            <w:tcW w:w="1378" w:type="pct"/>
            <w:vAlign w:val="center"/>
          </w:tcPr>
          <w:p w14:paraId="597B6150">
            <w:pPr>
              <w:pStyle w:val="68"/>
              <w:keepNext w:val="0"/>
              <w:keepLines w:val="0"/>
              <w:pageBreakBefore w:val="0"/>
              <w:widowControl w:val="0"/>
              <w:kinsoku/>
              <w:wordWrap/>
              <w:overflowPunct/>
              <w:topLinePunct w:val="0"/>
              <w:bidi w:val="0"/>
              <w:rPr>
                <w:rFonts w:hint="eastAsia"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处理效率下降或失效等。</w:t>
            </w:r>
          </w:p>
        </w:tc>
        <w:tc>
          <w:tcPr>
            <w:tcW w:w="854" w:type="pct"/>
            <w:vAlign w:val="center"/>
          </w:tcPr>
          <w:p w14:paraId="4817C09D">
            <w:pPr>
              <w:pStyle w:val="68"/>
              <w:keepNext w:val="0"/>
              <w:keepLines w:val="0"/>
              <w:pageBreakBefore w:val="0"/>
              <w:widowControl w:val="0"/>
              <w:kinsoku/>
              <w:wordWrap/>
              <w:overflowPunct/>
              <w:topLinePunct w:val="0"/>
              <w:bidi w:val="0"/>
              <w:rPr>
                <w:rFonts w:hint="default"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平江高新区污水处理厂</w:t>
            </w:r>
          </w:p>
        </w:tc>
      </w:tr>
    </w:tbl>
    <w:p w14:paraId="5041EED4">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05" w:name="_Toc5067"/>
      <w:r>
        <w:rPr>
          <w:rFonts w:hint="eastAsia" w:ascii="Times New Roman" w:hAnsi="Times New Roman" w:eastAsia="宋体" w:cs="Times New Roman"/>
          <w:color w:val="000000" w:themeColor="text1"/>
          <w:u w:val="none" w:color="auto"/>
          <w:lang w:val="en-US" w:eastAsia="zh-CN"/>
          <w14:textFill>
            <w14:solidFill>
              <w14:schemeClr w14:val="tx1"/>
            </w14:solidFill>
          </w14:textFill>
        </w:rPr>
        <w:t>7.5 环境风险分析</w:t>
      </w:r>
      <w:bookmarkEnd w:id="405"/>
    </w:p>
    <w:p w14:paraId="550B7942">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06" w:name="_Toc13695"/>
      <w:r>
        <w:rPr>
          <w:rFonts w:hint="eastAsia" w:ascii="Times New Roman" w:hAnsi="Times New Roman" w:eastAsia="宋体" w:cs="Times New Roman"/>
          <w:color w:val="000000" w:themeColor="text1"/>
          <w:u w:val="none" w:color="auto"/>
          <w:lang w:val="en-US" w:eastAsia="zh-CN"/>
          <w14:textFill>
            <w14:solidFill>
              <w14:schemeClr w14:val="tx1"/>
            </w14:solidFill>
          </w14:textFill>
        </w:rPr>
        <w:t>7.5.1 废弃油脂收运泄漏环境风险分析</w:t>
      </w:r>
      <w:bookmarkEnd w:id="406"/>
    </w:p>
    <w:p w14:paraId="5C649672">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原料、成品</w:t>
      </w:r>
      <w:r>
        <w:rPr>
          <w:rFonts w:hint="default" w:ascii="Times New Roman" w:hAnsi="Times New Roman" w:eastAsia="宋体" w:cs="Times New Roman"/>
          <w:color w:val="000000" w:themeColor="text1"/>
          <w:u w:val="none" w:color="auto"/>
          <w14:textFill>
            <w14:solidFill>
              <w14:schemeClr w14:val="tx1"/>
            </w14:solidFill>
          </w14:textFill>
        </w:rPr>
        <w:t>运输过</w:t>
      </w:r>
      <w:r>
        <w:rPr>
          <w:rFonts w:hint="default" w:ascii="Times New Roman" w:hAnsi="Times New Roman" w:eastAsia="宋体" w:cs="Times New Roman"/>
          <w:color w:val="000000" w:themeColor="text1"/>
          <w:u w:val="none" w:color="auto"/>
          <w:lang w:eastAsia="zh-CN"/>
          <w14:textFill>
            <w14:solidFill>
              <w14:schemeClr w14:val="tx1"/>
            </w14:solidFill>
          </w14:textFill>
        </w:rPr>
        <w:t>程中</w:t>
      </w:r>
      <w:r>
        <w:rPr>
          <w:rFonts w:hint="default" w:ascii="Times New Roman" w:hAnsi="Times New Roman" w:eastAsia="宋体" w:cs="Times New Roman"/>
          <w:color w:val="000000" w:themeColor="text1"/>
          <w:u w:val="none" w:color="auto"/>
          <w14:textFill>
            <w14:solidFill>
              <w14:schemeClr w14:val="tx1"/>
            </w14:solidFill>
          </w14:textFill>
        </w:rPr>
        <w:t>如果出现翻车事故，则可能污染地表水体或环境空气</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项目原料来自园区内食品企业，运输路线短，且不经过集中居民区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因此运输事故的影响后果也可以得到有效控制</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环境风险较小。</w:t>
      </w:r>
    </w:p>
    <w:p w14:paraId="6622452E">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07" w:name="_Toc26536"/>
      <w:r>
        <w:rPr>
          <w:rFonts w:hint="eastAsia" w:ascii="Times New Roman" w:hAnsi="Times New Roman" w:eastAsia="宋体" w:cs="Times New Roman"/>
          <w:color w:val="000000" w:themeColor="text1"/>
          <w:u w:val="none" w:color="auto"/>
          <w:lang w:val="en-US" w:eastAsia="zh-CN"/>
          <w14:textFill>
            <w14:solidFill>
              <w14:schemeClr w14:val="tx1"/>
            </w14:solidFill>
          </w14:textFill>
        </w:rPr>
        <w:t>7.5.2 废弃油脂加工生产线泄漏环境风险分析</w:t>
      </w:r>
      <w:bookmarkEnd w:id="407"/>
    </w:p>
    <w:p w14:paraId="3A572243">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在生产中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制浆罐、加热罐、搅拌罐等</w:t>
      </w:r>
      <w:r>
        <w:rPr>
          <w:rFonts w:hint="eastAsia" w:ascii="Times New Roman" w:hAnsi="Times New Roman" w:eastAsia="宋体" w:cs="Times New Roman"/>
          <w:color w:val="000000" w:themeColor="text1"/>
          <w:u w:val="none" w:color="auto"/>
          <w:lang w:eastAsia="zh-CN"/>
          <w14:textFill>
            <w14:solidFill>
              <w14:schemeClr w14:val="tx1"/>
            </w14:solidFill>
          </w14:textFill>
        </w:rPr>
        <w:t>破损，</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导致废弃油脂泄漏，污染周边土壤和地下水，逸散的恶臭影响周边环境空气质量</w:t>
      </w:r>
      <w:r>
        <w:rPr>
          <w:rFonts w:hint="eastAsia" w:ascii="Times New Roman" w:hAnsi="Times New Roman" w:eastAsia="宋体" w:cs="Times New Roman"/>
          <w:color w:val="000000" w:themeColor="text1"/>
          <w:u w:val="none" w:color="auto"/>
          <w:lang w:eastAsia="zh-CN"/>
          <w14:textFill>
            <w14:solidFill>
              <w14:schemeClr w14:val="tx1"/>
            </w14:solidFill>
          </w14:textFill>
        </w:rPr>
        <w:t>。在运营过程中加强生产管理，及时对生产设备进行检修，可有效降低生产装置设备损坏引发的风险事故，</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环境风险较小。</w:t>
      </w:r>
    </w:p>
    <w:p w14:paraId="6F8D7232">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08" w:name="_Toc1678"/>
      <w:r>
        <w:rPr>
          <w:rFonts w:hint="eastAsia" w:ascii="Times New Roman" w:hAnsi="Times New Roman" w:eastAsia="宋体" w:cs="Times New Roman"/>
          <w:color w:val="000000" w:themeColor="text1"/>
          <w:u w:val="none" w:color="auto"/>
          <w:lang w:val="en-US" w:eastAsia="zh-CN"/>
          <w14:textFill>
            <w14:solidFill>
              <w14:schemeClr w14:val="tx1"/>
            </w14:solidFill>
          </w14:textFill>
        </w:rPr>
        <w:t>7.5.3 成品油储罐泄漏环境风险分析</w:t>
      </w:r>
      <w:bookmarkEnd w:id="408"/>
    </w:p>
    <w:p w14:paraId="48517C76">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成品油脂在场内</w:t>
      </w:r>
      <w:r>
        <w:rPr>
          <w:rFonts w:hint="eastAsia" w:ascii="Times New Roman" w:hAnsi="Times New Roman" w:eastAsia="宋体" w:cs="Times New Roman"/>
          <w:color w:val="000000" w:themeColor="text1"/>
          <w:u w:val="none" w:color="auto"/>
          <w:lang w:eastAsia="zh-CN"/>
          <w14:textFill>
            <w14:solidFill>
              <w14:schemeClr w14:val="tx1"/>
            </w14:solidFill>
          </w14:textFill>
        </w:rPr>
        <w:t>贮存过程</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可能出现泄漏的</w:t>
      </w:r>
      <w:r>
        <w:rPr>
          <w:rFonts w:hint="eastAsia" w:ascii="Times New Roman" w:hAnsi="Times New Roman" w:eastAsia="宋体" w:cs="Times New Roman"/>
          <w:color w:val="000000" w:themeColor="text1"/>
          <w:u w:val="none" w:color="auto"/>
          <w:lang w:eastAsia="zh-CN"/>
          <w14:textFill>
            <w14:solidFill>
              <w14:schemeClr w14:val="tx1"/>
            </w14:solidFill>
          </w14:textFill>
        </w:rPr>
        <w:t>情况，</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成品油储罐区设置有围堰，正常情况下能收集泄漏的油脂。若围堰破损，导致油脂泄漏，污染周边土壤和地下水，逸散的恶臭影响周边环境空气质量</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由于动植物油脂的燃点大于200℃，厂区内没有明火，正常情况下泄漏油脂不会引发火灾爆炸等次生事故。在运营过程中加强管理，定期检修，可有效降低储罐泄漏的风险事故</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环境风险较小。</w:t>
      </w:r>
    </w:p>
    <w:p w14:paraId="0B3FE5D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09" w:name="_Toc22568"/>
      <w:r>
        <w:rPr>
          <w:rFonts w:hint="eastAsia" w:ascii="Times New Roman" w:hAnsi="Times New Roman" w:eastAsia="宋体" w:cs="Times New Roman"/>
          <w:color w:val="000000" w:themeColor="text1"/>
          <w:u w:val="none" w:color="auto"/>
          <w:lang w:val="en-US" w:eastAsia="zh-CN"/>
          <w14:textFill>
            <w14:solidFill>
              <w14:schemeClr w14:val="tx1"/>
            </w14:solidFill>
          </w14:textFill>
        </w:rPr>
        <w:t>7.5.4 危险废物泄漏环境风险分析</w:t>
      </w:r>
      <w:bookmarkEnd w:id="409"/>
    </w:p>
    <w:p w14:paraId="27DC19A9">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项目危险废物主要是废润滑油和废润滑油桶，储存在危险废物暂存间内，危险间按要求防渗，废机油泄漏后可通过吸附垫吸附，环境影响控制在危废暂存间内，环境风险较小。</w:t>
      </w:r>
    </w:p>
    <w:p w14:paraId="3A97BCAF">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10" w:name="_Toc11554"/>
      <w:r>
        <w:rPr>
          <w:rFonts w:hint="eastAsia" w:ascii="Times New Roman" w:hAnsi="Times New Roman" w:eastAsia="宋体" w:cs="Times New Roman"/>
          <w:color w:val="000000" w:themeColor="text1"/>
          <w:u w:val="none" w:color="auto"/>
          <w:lang w:val="en-US" w:eastAsia="zh-CN"/>
          <w14:textFill>
            <w14:solidFill>
              <w14:schemeClr w14:val="tx1"/>
            </w14:solidFill>
          </w14:textFill>
        </w:rPr>
        <w:t>7.5.5 污染治理设施泄漏环境风险分析</w:t>
      </w:r>
      <w:bookmarkEnd w:id="410"/>
    </w:p>
    <w:p w14:paraId="175D45BE">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项目生产和贮存过程中有废气、废水等污染物产生，一旦污染防治措施失效，则污染物将直接排入周边环境，防治措施只要加强日常维护，失效的概率较小，发生事故的可能性较小，且本项目设有事故应急池等风险防范措施，发生事故后立即采取对策。同时，本项目建设单位将制定相关生产制度，并加强日常监管，环境管理问题发生概率较小。环境风险较小。</w:t>
      </w:r>
    </w:p>
    <w:p w14:paraId="08FF2A84">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11" w:name="_Toc4814"/>
      <w:r>
        <w:rPr>
          <w:rFonts w:hint="default" w:ascii="Times New Roman" w:hAnsi="Times New Roman" w:eastAsia="宋体" w:cs="Times New Roman"/>
          <w:color w:val="000000" w:themeColor="text1"/>
          <w:u w:val="none" w:color="auto"/>
          <w:lang w:val="en-US" w:eastAsia="zh-CN"/>
          <w14:textFill>
            <w14:solidFill>
              <w14:schemeClr w14:val="tx1"/>
            </w14:solidFill>
          </w14:textFill>
        </w:rPr>
        <w:t>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环境风险防范措施</w:t>
      </w:r>
      <w:bookmarkEnd w:id="411"/>
    </w:p>
    <w:p w14:paraId="7AF1F6C5">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12" w:name="_Toc11825"/>
      <w:r>
        <w:rPr>
          <w:rFonts w:hint="default" w:ascii="Times New Roman" w:hAnsi="Times New Roman" w:eastAsia="宋体" w:cs="Times New Roman"/>
          <w:color w:val="000000" w:themeColor="text1"/>
          <w:u w:val="none" w:color="auto"/>
          <w:lang w:eastAsia="zh-CN"/>
          <w14:textFill>
            <w14:solidFill>
              <w14:schemeClr w14:val="tx1"/>
            </w14:solidFill>
          </w14:textFill>
        </w:rPr>
        <w:t>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.1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废弃油脂收运过程泄漏风险防范措施</w:t>
      </w:r>
      <w:bookmarkEnd w:id="412"/>
    </w:p>
    <w:p w14:paraId="1DF2533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装卸过程中严禁发生</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跑、冒、滴、漏</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，一旦出现应及时清除处理。制定突发泄漏、火灾、交通事故的应急预案，配备堵漏器材、泡沫覆盖设备等。事故发生后应立即报警、疏散人群、控制火源，并向公安、环保等部门报告。</w:t>
      </w:r>
    </w:p>
    <w:p w14:paraId="2AB9FC0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13" w:name="_Toc18501"/>
      <w:r>
        <w:rPr>
          <w:rFonts w:hint="default" w:ascii="Times New Roman" w:hAnsi="Times New Roman" w:eastAsia="宋体" w:cs="Times New Roman"/>
          <w:color w:val="000000" w:themeColor="text1"/>
          <w:u w:val="none" w:color="auto"/>
          <w:lang w:eastAsia="zh-CN"/>
          <w14:textFill>
            <w14:solidFill>
              <w14:schemeClr w14:val="tx1"/>
            </w14:solidFill>
          </w14:textFill>
        </w:rPr>
        <w:t xml:space="preserve">7.6.2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厂区内油脂泄漏</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风险防范措施</w:t>
      </w:r>
      <w:bookmarkEnd w:id="413"/>
    </w:p>
    <w:p w14:paraId="406F6BC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成品油储罐区设置围堰，根据前文分析，围堰有效容积117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正常情况下</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1个</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储罐发生泄漏，</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最大泄漏量为38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油脂能完全被收集。若围堰破损导致事故泄漏，应及时清理回收，</w:t>
      </w:r>
      <w:r>
        <w:rPr>
          <w:rFonts w:hint="default" w:ascii="Times New Roman" w:hAnsi="Times New Roman" w:eastAsia="宋体" w:cs="Times New Roman"/>
          <w:color w:val="000000" w:themeColor="text1"/>
          <w:u w:val="none" w:color="auto"/>
          <w14:textFill>
            <w14:solidFill>
              <w14:schemeClr w14:val="tx1"/>
            </w14:solidFill>
          </w14:textFill>
        </w:rPr>
        <w:t>不得随意冲洗至排水沟。</w:t>
      </w:r>
      <w:r>
        <w:rPr>
          <w:rFonts w:hint="default" w:ascii="Times New Roman" w:hAnsi="Times New Roman" w:eastAsia="宋体" w:cs="Times New Roman"/>
          <w:color w:val="000000" w:themeColor="text1"/>
          <w:u w:val="none" w:color="auto"/>
          <w:lang w:eastAsia="zh-CN"/>
          <w14:textFill>
            <w14:solidFill>
              <w14:schemeClr w14:val="tx1"/>
            </w14:solidFill>
          </w14:textFill>
        </w:rPr>
        <w:t>若储罐</w:t>
      </w:r>
      <w:r>
        <w:rPr>
          <w:rFonts w:hint="default" w:ascii="Times New Roman" w:hAnsi="Times New Roman" w:eastAsia="宋体" w:cs="Times New Roman"/>
          <w:color w:val="000000" w:themeColor="text1"/>
          <w:u w:val="none" w:color="auto"/>
          <w14:textFill>
            <w14:solidFill>
              <w14:schemeClr w14:val="tx1"/>
            </w14:solidFill>
          </w14:textFill>
        </w:rPr>
        <w:t>发生少量油品泄漏</w:t>
      </w:r>
      <w:r>
        <w:rPr>
          <w:rFonts w:hint="default" w:ascii="Times New Roman" w:hAnsi="Times New Roman" w:eastAsia="宋体" w:cs="Times New Roman"/>
          <w:color w:val="000000" w:themeColor="text1"/>
          <w:u w:val="none" w:color="auto"/>
          <w:lang w:eastAsia="zh-CN"/>
          <w14:textFill>
            <w14:solidFill>
              <w14:schemeClr w14:val="tx1"/>
            </w14:solidFill>
          </w14:textFill>
        </w:rPr>
        <w:t>或者罐体损坏渗漏</w:t>
      </w:r>
      <w:r>
        <w:rPr>
          <w:rFonts w:hint="default" w:ascii="Times New Roman" w:hAnsi="Times New Roman" w:eastAsia="宋体" w:cs="Times New Roman"/>
          <w:color w:val="000000" w:themeColor="text1"/>
          <w:u w:val="none" w:color="auto"/>
          <w14:textFill>
            <w14:solidFill>
              <w14:schemeClr w14:val="tx1"/>
            </w14:solidFill>
          </w14:textFill>
        </w:rPr>
        <w:t>时，立即用吸油毡、吸油棉进行吸附。若发生大量泄漏暂停</w:t>
      </w:r>
      <w:r>
        <w:rPr>
          <w:rFonts w:hint="default" w:ascii="Times New Roman" w:hAnsi="Times New Roman" w:eastAsia="宋体" w:cs="Times New Roman"/>
          <w:color w:val="000000" w:themeColor="text1"/>
          <w:u w:val="none" w:color="auto"/>
          <w:lang w:eastAsia="zh-CN"/>
          <w14:textFill>
            <w14:solidFill>
              <w14:schemeClr w14:val="tx1"/>
            </w14:solidFill>
          </w14:textFill>
        </w:rPr>
        <w:t>运营</w:t>
      </w:r>
      <w:r>
        <w:rPr>
          <w:rFonts w:hint="default" w:ascii="Times New Roman" w:hAnsi="Times New Roman" w:eastAsia="宋体" w:cs="Times New Roman"/>
          <w:color w:val="000000" w:themeColor="text1"/>
          <w:u w:val="none" w:color="auto"/>
          <w14:textFill>
            <w14:solidFill>
              <w14:schemeClr w14:val="tx1"/>
            </w14:solidFill>
          </w14:textFill>
        </w:rPr>
        <w:t>，关闭阀门，</w:t>
      </w:r>
      <w:r>
        <w:rPr>
          <w:rFonts w:hint="default" w:ascii="Times New Roman" w:hAnsi="Times New Roman" w:eastAsia="宋体" w:cs="Times New Roman"/>
          <w:color w:val="000000" w:themeColor="text1"/>
          <w:u w:val="none" w:color="auto"/>
          <w:lang w:eastAsia="zh-CN"/>
          <w14:textFill>
            <w14:solidFill>
              <w14:schemeClr w14:val="tx1"/>
            </w14:solidFill>
          </w14:textFill>
        </w:rPr>
        <w:t>经导流沟或</w:t>
      </w:r>
      <w:r>
        <w:rPr>
          <w:rFonts w:hint="default" w:ascii="Times New Roman" w:hAnsi="Times New Roman" w:eastAsia="宋体" w:cs="Times New Roman"/>
          <w:color w:val="000000" w:themeColor="text1"/>
          <w:u w:val="none" w:color="auto"/>
          <w14:textFill>
            <w14:solidFill>
              <w14:schemeClr w14:val="tx1"/>
            </w14:solidFill>
          </w14:textFill>
        </w:rPr>
        <w:t>消防沙构筑围堤进行截流</w:t>
      </w:r>
      <w:r>
        <w:rPr>
          <w:rFonts w:hint="default" w:ascii="Times New Roman" w:hAnsi="Times New Roman" w:eastAsia="宋体" w:cs="Times New Roman"/>
          <w:color w:val="000000" w:themeColor="text1"/>
          <w:u w:val="none" w:color="auto"/>
          <w:lang w:eastAsia="zh-CN"/>
          <w14:textFill>
            <w14:solidFill>
              <w14:schemeClr w14:val="tx1"/>
            </w14:solidFill>
          </w14:textFill>
        </w:rPr>
        <w:t>或引流至应急事故池暂存，</w:t>
      </w:r>
      <w:r>
        <w:rPr>
          <w:rFonts w:hint="default" w:ascii="Times New Roman" w:hAnsi="Times New Roman" w:eastAsia="宋体" w:cs="Times New Roman"/>
          <w:color w:val="000000" w:themeColor="text1"/>
          <w:u w:val="none" w:color="auto"/>
          <w14:textFill>
            <w14:solidFill>
              <w14:schemeClr w14:val="tx1"/>
            </w14:solidFill>
          </w14:textFill>
        </w:rPr>
        <w:t>用潜水泵转移至</w:t>
      </w:r>
      <w:r>
        <w:rPr>
          <w:rFonts w:hint="default" w:ascii="Times New Roman" w:hAnsi="Times New Roman" w:eastAsia="宋体" w:cs="Times New Roman"/>
          <w:color w:val="000000" w:themeColor="text1"/>
          <w:u w:val="none" w:color="auto"/>
          <w:lang w:eastAsia="zh-CN"/>
          <w14:textFill>
            <w14:solidFill>
              <w14:schemeClr w14:val="tx1"/>
            </w14:solidFill>
          </w14:textFill>
        </w:rPr>
        <w:t>完好</w:t>
      </w:r>
      <w:r>
        <w:rPr>
          <w:rFonts w:hint="default" w:ascii="Times New Roman" w:hAnsi="Times New Roman" w:eastAsia="宋体" w:cs="Times New Roman"/>
          <w:color w:val="000000" w:themeColor="text1"/>
          <w:u w:val="none" w:color="auto"/>
          <w14:textFill>
            <w14:solidFill>
              <w14:schemeClr w14:val="tx1"/>
            </w14:solidFill>
          </w14:textFill>
        </w:rPr>
        <w:t>收集容器内交给危废公司回收处理，剩余少量的用吸油毡、吸油棉进行吸附。</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项目设置1做40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的应急事故池，</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正常情况下</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1个</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储罐发生泄漏，</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最大泄漏量为38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油脂能完全被收集。</w:t>
      </w:r>
      <w:r>
        <w:rPr>
          <w:rFonts w:hint="default" w:ascii="Times New Roman" w:hAnsi="Times New Roman" w:eastAsia="宋体" w:cs="Times New Roman"/>
          <w:color w:val="000000" w:themeColor="text1"/>
          <w:u w:val="none" w:color="auto"/>
          <w14:textFill>
            <w14:solidFill>
              <w14:schemeClr w14:val="tx1"/>
            </w14:solidFill>
          </w14:textFill>
        </w:rPr>
        <w:t>罐区配备吸油毡，用</w:t>
      </w:r>
      <w:r>
        <w:rPr>
          <w:rFonts w:hint="default" w:ascii="Times New Roman" w:hAnsi="Times New Roman" w:eastAsia="宋体" w:cs="Times New Roman"/>
          <w:color w:val="000000" w:themeColor="text1"/>
          <w:u w:val="none" w:color="auto"/>
          <w:lang w:eastAsia="zh-CN"/>
          <w14:textFill>
            <w14:solidFill>
              <w14:schemeClr w14:val="tx1"/>
            </w14:solidFill>
          </w14:textFill>
        </w:rPr>
        <w:t>来</w:t>
      </w:r>
      <w:r>
        <w:rPr>
          <w:rFonts w:hint="default" w:ascii="Times New Roman" w:hAnsi="Times New Roman" w:eastAsia="宋体" w:cs="Times New Roman"/>
          <w:color w:val="000000" w:themeColor="text1"/>
          <w:u w:val="none" w:color="auto"/>
          <w14:textFill>
            <w14:solidFill>
              <w14:schemeClr w14:val="tx1"/>
            </w14:solidFill>
          </w14:textFill>
        </w:rPr>
        <w:t>收集少量泄漏的物料，防止渗漏，对土壤和地下水造成污染。</w:t>
      </w:r>
    </w:p>
    <w:p w14:paraId="105ADA9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加工区装置</w:t>
      </w:r>
      <w:r>
        <w:rPr>
          <w:rFonts w:hint="default" w:ascii="Times New Roman" w:hAnsi="Times New Roman" w:eastAsia="宋体" w:cs="Times New Roman"/>
          <w:color w:val="000000" w:themeColor="text1"/>
          <w:u w:val="none" w:color="auto"/>
          <w:lang w:eastAsia="zh-CN"/>
          <w14:textFill>
            <w14:solidFill>
              <w14:schemeClr w14:val="tx1"/>
            </w14:solidFill>
          </w14:textFill>
        </w:rPr>
        <w:t>发生泄漏或罐体损坏导致的渗漏，处理方法同上，将泄漏的物料引至暂存罐或完好容器内，待储罐维修好后，可将原料抽至</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除杂机</w:t>
      </w:r>
      <w:r>
        <w:rPr>
          <w:rFonts w:hint="default" w:ascii="Times New Roman" w:hAnsi="Times New Roman" w:eastAsia="宋体" w:cs="Times New Roman"/>
          <w:color w:val="000000" w:themeColor="text1"/>
          <w:u w:val="none" w:color="auto"/>
          <w:lang w:eastAsia="zh-CN"/>
          <w14:textFill>
            <w14:solidFill>
              <w14:schemeClr w14:val="tx1"/>
            </w14:solidFill>
          </w14:textFill>
        </w:rPr>
        <w:t>进行生产加工。</w:t>
      </w:r>
    </w:p>
    <w:p w14:paraId="23C71FD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14" w:name="_Toc156916891"/>
      <w:bookmarkStart w:id="415" w:name="_Toc165967793"/>
      <w:bookmarkStart w:id="416" w:name="_Toc252"/>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危险废物暂存间泄漏风险防范措施</w:t>
      </w:r>
      <w:bookmarkEnd w:id="414"/>
      <w:bookmarkEnd w:id="415"/>
      <w:bookmarkEnd w:id="416"/>
    </w:p>
    <w:p w14:paraId="0CABA6E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）危险废物暂存间严格按照标准建设，专人管理；</w:t>
      </w:r>
    </w:p>
    <w:p w14:paraId="49F9E52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）暂存间四周应建围堰及通入事故池的导流沟，并做防渗处理；</w:t>
      </w:r>
    </w:p>
    <w:p w14:paraId="32E3530F">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）暂存间设置完善的围堰设施。</w:t>
      </w:r>
    </w:p>
    <w:p w14:paraId="1158EE7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bookmarkStart w:id="417" w:name="_Toc7919"/>
      <w:r>
        <w:rPr>
          <w:rFonts w:hint="default" w:ascii="Times New Roman" w:hAnsi="Times New Roman" w:eastAsia="宋体" w:cs="Times New Roman"/>
          <w:color w:val="000000" w:themeColor="text1"/>
          <w:u w:val="none" w:color="auto"/>
          <w:lang w:val="en-US" w:eastAsia="zh-CN"/>
          <w14:textFill>
            <w14:solidFill>
              <w14:schemeClr w14:val="tx1"/>
            </w14:solidFill>
          </w14:textFill>
        </w:rPr>
        <w:t>7.6.</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eastAsia="zh-CN"/>
          <w14:textFill>
            <w14:solidFill>
              <w14:schemeClr w14:val="tx1"/>
            </w14:solidFill>
          </w14:textFill>
        </w:rPr>
        <w:t>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预处理设施</w:t>
      </w:r>
      <w:r>
        <w:rPr>
          <w:rFonts w:hint="default" w:ascii="Times New Roman" w:hAnsi="Times New Roman" w:eastAsia="宋体" w:cs="Times New Roman"/>
          <w:color w:val="000000" w:themeColor="text1"/>
          <w:u w:val="none" w:color="auto"/>
          <w:lang w:eastAsia="zh-CN"/>
          <w14:textFill>
            <w14:solidFill>
              <w14:schemeClr w14:val="tx1"/>
            </w14:solidFill>
          </w14:textFill>
        </w:rPr>
        <w:t>泄漏事故防范</w:t>
      </w:r>
      <w:bookmarkEnd w:id="417"/>
    </w:p>
    <w:p w14:paraId="2922B049">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废水预</w:t>
      </w:r>
      <w:r>
        <w:rPr>
          <w:rFonts w:hint="default" w:ascii="Times New Roman" w:hAnsi="Times New Roman" w:eastAsia="宋体" w:cs="Times New Roman"/>
          <w:color w:val="000000" w:themeColor="text1"/>
          <w:u w:val="none" w:color="auto"/>
          <w14:textFill>
            <w14:solidFill>
              <w14:schemeClr w14:val="tx1"/>
            </w14:solidFill>
          </w14:textFill>
        </w:rPr>
        <w:t>处理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设施</w:t>
      </w:r>
      <w:r>
        <w:rPr>
          <w:rFonts w:hint="default" w:ascii="Times New Roman" w:hAnsi="Times New Roman" w:eastAsia="宋体" w:cs="Times New Roman"/>
          <w:color w:val="000000" w:themeColor="text1"/>
          <w:u w:val="none" w:color="auto"/>
          <w14:textFill>
            <w14:solidFill>
              <w14:schemeClr w14:val="tx1"/>
            </w14:solidFill>
          </w14:textFill>
        </w:rPr>
        <w:t>地面区域做好防渗漏措施</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663551ED">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项目污水处理设备出现故障，应立即关闭进水阀门，待污水处理系统恢复正常运行后，将污水排入污水处理系统</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389861A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当</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出现不能接纳本项目污水情况时，企业需暂停生产，现有污水暂存至污水设施或应急事故池中，禁止生产废水外排，待</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恢复运营后再生产。</w:t>
      </w:r>
    </w:p>
    <w:p w14:paraId="4DA0FAB5">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bookmarkStart w:id="418" w:name="_Toc5629"/>
      <w:r>
        <w:rPr>
          <w:rFonts w:hint="default" w:ascii="Times New Roman" w:hAnsi="Times New Roman" w:eastAsia="宋体" w:cs="Times New Roman"/>
          <w:color w:val="000000" w:themeColor="text1"/>
          <w:u w:val="none" w:color="auto"/>
          <w:lang w:val="en-US" w:eastAsia="zh-CN"/>
          <w14:textFill>
            <w14:solidFill>
              <w14:schemeClr w14:val="tx1"/>
            </w14:solidFill>
          </w14:textFill>
        </w:rPr>
        <w:t>7.6.</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lang w:eastAsia="zh-CN"/>
          <w14:textFill>
            <w14:solidFill>
              <w14:schemeClr w14:val="tx1"/>
            </w14:solidFill>
          </w14:textFill>
        </w:rPr>
        <w:t>废气处理事故防范措施</w:t>
      </w:r>
      <w:bookmarkEnd w:id="418"/>
    </w:p>
    <w:p w14:paraId="3CCD8E9C">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1</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加强对废气收集处理系统的维护和检修，使其处于良好的运行状态，并且需加强管理，提高工作人员的操作水平，以减少事故的发生</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601125E9">
      <w:pPr>
        <w:keepNext w:val="0"/>
        <w:keepLines w:val="0"/>
        <w:pageBreakBefore w:val="0"/>
        <w:widowControl w:val="0"/>
        <w:kinsoku/>
        <w:wordWrap/>
        <w:overflowPunct/>
        <w:topLinePunct w:val="0"/>
        <w:bidi w:val="0"/>
        <w:spacing w:line="360" w:lineRule="auto"/>
        <w:ind w:firstLine="480" w:firstLineChars="200"/>
        <w:rPr>
          <w:rFonts w:hint="eastAsia" w:ascii="Times New Roman" w:hAnsi="Times New Roman" w:eastAsia="宋体" w:cs="Times New Roman"/>
          <w:color w:val="000000" w:themeColor="text1"/>
          <w:u w:val="none" w:color="auto"/>
          <w:lang w:eastAsia="zh-CN"/>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废气治理设施在设计、施工时，应严格按照工程设计规范要求进行，选用标准管材，并做必要的防腐处理。加强治理设施的运行管理和日常维护，发现异常应及时找出原因及时维修</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p>
    <w:p w14:paraId="3EF548B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一旦出现异常现象应停止生产，从根源上切断污染，查处异常原因，事故发生后应在最短的时间内排除故障，确保对周围环境的影响降到最低。</w:t>
      </w:r>
    </w:p>
    <w:p w14:paraId="07653A8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bookmarkStart w:id="419" w:name="_Toc657"/>
      <w:r>
        <w:rPr>
          <w:rFonts w:hint="default" w:ascii="Times New Roman" w:hAnsi="Times New Roman" w:eastAsia="宋体" w:cs="Times New Roman"/>
          <w:color w:val="000000" w:themeColor="text1"/>
          <w:u w:val="none" w:color="auto"/>
          <w:lang w:val="en-US" w:eastAsia="zh-CN"/>
          <w14:textFill>
            <w14:solidFill>
              <w14:schemeClr w14:val="tx1"/>
            </w14:solidFill>
          </w14:textFill>
        </w:rPr>
        <w:t>7.6.</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火灾爆炸</w:t>
      </w:r>
      <w:r>
        <w:rPr>
          <w:rFonts w:hint="default" w:ascii="Times New Roman" w:hAnsi="Times New Roman" w:eastAsia="宋体" w:cs="Times New Roman"/>
          <w:color w:val="000000" w:themeColor="text1"/>
          <w:u w:val="none" w:color="auto"/>
          <w:lang w:eastAsia="zh-CN"/>
          <w14:textFill>
            <w14:solidFill>
              <w14:schemeClr w14:val="tx1"/>
            </w14:solidFill>
          </w14:textFill>
        </w:rPr>
        <w:t>事故防范措施</w:t>
      </w:r>
      <w:bookmarkEnd w:id="419"/>
    </w:p>
    <w:p w14:paraId="6750ACE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项目罐区主要储存</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w:t>
      </w:r>
      <w:r>
        <w:rPr>
          <w:rFonts w:hint="default" w:ascii="Times New Roman" w:hAnsi="Times New Roman" w:eastAsia="宋体" w:cs="Times New Roman"/>
          <w:color w:val="000000" w:themeColor="text1"/>
          <w:u w:val="none" w:color="auto"/>
          <w:lang w:eastAsia="zh-CN"/>
          <w14:textFill>
            <w14:solidFill>
              <w14:schemeClr w14:val="tx1"/>
            </w14:solidFill>
          </w14:textFill>
        </w:rPr>
        <w:t>油脂</w:t>
      </w:r>
      <w:r>
        <w:rPr>
          <w:rFonts w:hint="default" w:ascii="Times New Roman" w:hAnsi="Times New Roman" w:eastAsia="宋体" w:cs="Times New Roman"/>
          <w:color w:val="000000" w:themeColor="text1"/>
          <w:u w:val="none" w:color="auto"/>
          <w14:textFill>
            <w14:solidFill>
              <w14:schemeClr w14:val="tx1"/>
            </w14:solidFill>
          </w14:textFill>
        </w:rPr>
        <w:t>，属于惰性油品，一旦泄漏并遇明火引发火灾事故，事故处理现场消防污水如不妥善处置，溢流或经雨水系统进入地表水，将造成水污染事故。为防止次生污染的发生，项目采取如下防范及应急措施：配置管道和泵连接至事故池，对火灾事故状态下的消防废水进行收集</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2A45620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火灾爆炸事故防范措施</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0EA123B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按规范划分危险区，保证防火防爆距离；</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生产车间内</w:t>
      </w:r>
      <w:r>
        <w:rPr>
          <w:rFonts w:hint="default" w:ascii="Times New Roman" w:hAnsi="Times New Roman" w:eastAsia="宋体" w:cs="Times New Roman"/>
          <w:color w:val="000000" w:themeColor="text1"/>
          <w:u w:val="none" w:color="auto"/>
          <w14:textFill>
            <w14:solidFill>
              <w14:schemeClr w14:val="tx1"/>
            </w14:solidFill>
          </w14:textFill>
        </w:rPr>
        <w:t>严禁明火，张贴禁火警示标志。严格区域动火作业审批程序，容器、管道检修动火前必须通风换气和检测分析，做到</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五不动火</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原则。</w:t>
      </w:r>
    </w:p>
    <w:p w14:paraId="3171D6F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预防摩擦撞击。禁火区内严禁有金属摩擦、撞击，要求使用的设备和工具具有防爆功能，包括不能穿钉鞋。机转设备保持良好的润滑和冷却。</w:t>
      </w:r>
    </w:p>
    <w:p w14:paraId="1CAB676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建筑结构抗震按当地地震的基本烈度Ⅶ度设防。建构筑物的耐火等级、防火间距、疏散通道、安全距离等均按有关规范执行。</w:t>
      </w:r>
    </w:p>
    <w:p w14:paraId="1B065A2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采用储罐测量系统（TGS），对物料储存过程的各种变量实施监视、控制，并在系统中设置安全、环保联锁，严格控制物料的温度、压力、储存量，防止因超温超压而引起爆炸、中毒等事故，以确保安全生产。</w:t>
      </w:r>
    </w:p>
    <w:p w14:paraId="3D7E017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设一套火灾自动报警系统，系统由火灾报警控制器、火灾探测器、手动报警按钮等组成。在罐区及重要通道口安装若干个手动报警按钮，在配电室等重要建筑室内安装火灾探测器，火灾报警控制器设在控制室。当发生火灾时，由火灾探测器或手动报警按钮迅速将火警信号报至火灾报警控制器，以便迅速采取措施，及时组织扑救。</w:t>
      </w:r>
    </w:p>
    <w:p w14:paraId="5FFA02B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采用双回路电源供电，保证事故处理过程中电源的稳定供应。</w:t>
      </w:r>
    </w:p>
    <w:p w14:paraId="4464590E">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  建议应急设施（备）与物资配备表</w:t>
      </w:r>
    </w:p>
    <w:tbl>
      <w:tblPr>
        <w:tblStyle w:val="37"/>
        <w:tblW w:w="5016"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0" w:type="dxa"/>
          <w:bottom w:w="0" w:type="dxa"/>
          <w:right w:w="0" w:type="dxa"/>
        </w:tblCellMar>
      </w:tblPr>
      <w:tblGrid>
        <w:gridCol w:w="1479"/>
        <w:gridCol w:w="5234"/>
        <w:gridCol w:w="1656"/>
      </w:tblGrid>
      <w:tr w14:paraId="7A5A6EC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tcBorders>
              <w:tl2br w:val="nil"/>
              <w:tr2bl w:val="nil"/>
            </w:tcBorders>
            <w:noWrap w:val="0"/>
            <w:vAlign w:val="center"/>
          </w:tcPr>
          <w:p w14:paraId="0198A22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类型</w:t>
            </w:r>
          </w:p>
        </w:tc>
        <w:tc>
          <w:tcPr>
            <w:tcW w:w="3126" w:type="pct"/>
            <w:tcBorders>
              <w:tl2br w:val="nil"/>
              <w:tr2bl w:val="nil"/>
            </w:tcBorders>
            <w:noWrap w:val="0"/>
            <w:vAlign w:val="center"/>
          </w:tcPr>
          <w:p w14:paraId="121471F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名称（参考）</w:t>
            </w:r>
          </w:p>
        </w:tc>
        <w:tc>
          <w:tcPr>
            <w:tcW w:w="989" w:type="pct"/>
            <w:tcBorders>
              <w:tl2br w:val="nil"/>
              <w:tr2bl w:val="nil"/>
            </w:tcBorders>
            <w:noWrap w:val="0"/>
            <w:vAlign w:val="center"/>
          </w:tcPr>
          <w:p w14:paraId="76E4967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数量</w:t>
            </w:r>
          </w:p>
        </w:tc>
      </w:tr>
      <w:tr w14:paraId="2E9149E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tcBorders>
              <w:tl2br w:val="nil"/>
              <w:tr2bl w:val="nil"/>
            </w:tcBorders>
            <w:noWrap w:val="0"/>
            <w:vAlign w:val="center"/>
          </w:tcPr>
          <w:p w14:paraId="6F5A500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通讯设备</w:t>
            </w:r>
          </w:p>
        </w:tc>
        <w:tc>
          <w:tcPr>
            <w:tcW w:w="3126" w:type="pct"/>
            <w:tcBorders>
              <w:tl2br w:val="nil"/>
              <w:tr2bl w:val="nil"/>
            </w:tcBorders>
            <w:noWrap w:val="0"/>
            <w:vAlign w:val="center"/>
          </w:tcPr>
          <w:p w14:paraId="5E9310F2">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普通电话、传真、带上网的电脑以及无线电话</w:t>
            </w:r>
          </w:p>
        </w:tc>
        <w:tc>
          <w:tcPr>
            <w:tcW w:w="989" w:type="pct"/>
            <w:tcBorders>
              <w:tl2br w:val="nil"/>
              <w:tr2bl w:val="nil"/>
            </w:tcBorders>
            <w:noWrap w:val="0"/>
            <w:vAlign w:val="center"/>
          </w:tcPr>
          <w:p w14:paraId="66B01844">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61DEB89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restart"/>
            <w:tcBorders>
              <w:tl2br w:val="nil"/>
              <w:tr2bl w:val="nil"/>
            </w:tcBorders>
            <w:noWrap w:val="0"/>
            <w:vAlign w:val="center"/>
          </w:tcPr>
          <w:p w14:paraId="07980318">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消防设施</w:t>
            </w:r>
          </w:p>
        </w:tc>
        <w:tc>
          <w:tcPr>
            <w:tcW w:w="3126" w:type="pct"/>
            <w:tcBorders>
              <w:tl2br w:val="nil"/>
              <w:tr2bl w:val="nil"/>
            </w:tcBorders>
            <w:noWrap w:val="0"/>
            <w:vAlign w:val="center"/>
          </w:tcPr>
          <w:p w14:paraId="45804A4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8</w:t>
            </w:r>
            <w:r>
              <w:rPr>
                <w:rFonts w:hint="default" w:ascii="Times New Roman" w:hAnsi="Times New Roman" w:eastAsia="宋体" w:cs="Times New Roman"/>
                <w:color w:val="auto"/>
                <w:szCs w:val="21"/>
                <w:u w:val="none" w:color="auto"/>
                <w:lang w:val="en-US" w:eastAsia="zh-CN"/>
              </w:rPr>
              <w:t xml:space="preserve"> </w:t>
            </w:r>
            <w:r>
              <w:rPr>
                <w:rFonts w:hint="default" w:ascii="Times New Roman" w:hAnsi="Times New Roman" w:eastAsia="宋体" w:cs="Times New Roman"/>
                <w:color w:val="auto"/>
                <w:szCs w:val="21"/>
                <w:u w:val="none" w:color="auto"/>
              </w:rPr>
              <w:t>kg手提式干粉灭火器</w:t>
            </w:r>
          </w:p>
        </w:tc>
        <w:tc>
          <w:tcPr>
            <w:tcW w:w="989" w:type="pct"/>
            <w:tcBorders>
              <w:tl2br w:val="nil"/>
              <w:tr2bl w:val="nil"/>
            </w:tcBorders>
            <w:noWrap w:val="0"/>
            <w:vAlign w:val="center"/>
          </w:tcPr>
          <w:p w14:paraId="52E81488">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39A7F1D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64626AB4">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2A40C4D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35</w:t>
            </w:r>
            <w:r>
              <w:rPr>
                <w:rFonts w:hint="default" w:ascii="Times New Roman" w:hAnsi="Times New Roman" w:eastAsia="宋体" w:cs="Times New Roman"/>
                <w:color w:val="auto"/>
                <w:szCs w:val="21"/>
                <w:u w:val="none" w:color="auto"/>
                <w:lang w:val="en-US" w:eastAsia="zh-CN"/>
              </w:rPr>
              <w:t xml:space="preserve"> </w:t>
            </w:r>
            <w:r>
              <w:rPr>
                <w:rFonts w:hint="default" w:ascii="Times New Roman" w:hAnsi="Times New Roman" w:eastAsia="宋体" w:cs="Times New Roman"/>
                <w:color w:val="auto"/>
                <w:szCs w:val="21"/>
                <w:u w:val="none" w:color="auto"/>
              </w:rPr>
              <w:t>kg推车式干粉灭火器</w:t>
            </w:r>
          </w:p>
        </w:tc>
        <w:tc>
          <w:tcPr>
            <w:tcW w:w="989" w:type="pct"/>
            <w:tcBorders>
              <w:tl2br w:val="nil"/>
              <w:tr2bl w:val="nil"/>
            </w:tcBorders>
            <w:noWrap w:val="0"/>
            <w:vAlign w:val="center"/>
          </w:tcPr>
          <w:p w14:paraId="01C6D07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5293277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7D7B1B31">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0CE3AFE4">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2</w:t>
            </w:r>
            <w:r>
              <w:rPr>
                <w:rFonts w:hint="default" w:ascii="Times New Roman" w:hAnsi="Times New Roman" w:eastAsia="宋体" w:cs="Times New Roman"/>
                <w:color w:val="auto"/>
                <w:szCs w:val="21"/>
                <w:u w:val="none" w:color="auto"/>
                <w:lang w:val="en-US" w:eastAsia="zh-CN"/>
              </w:rPr>
              <w:t xml:space="preserve"> </w:t>
            </w:r>
            <w:r>
              <w:rPr>
                <w:rFonts w:hint="default" w:ascii="Times New Roman" w:hAnsi="Times New Roman" w:eastAsia="宋体" w:cs="Times New Roman"/>
                <w:color w:val="auto"/>
                <w:szCs w:val="21"/>
                <w:u w:val="none" w:color="auto"/>
              </w:rPr>
              <w:t>kg手提式二氧化碳灭火器</w:t>
            </w:r>
          </w:p>
        </w:tc>
        <w:tc>
          <w:tcPr>
            <w:tcW w:w="989" w:type="pct"/>
            <w:tcBorders>
              <w:tl2br w:val="nil"/>
              <w:tr2bl w:val="nil"/>
            </w:tcBorders>
            <w:noWrap w:val="0"/>
            <w:vAlign w:val="center"/>
          </w:tcPr>
          <w:p w14:paraId="255790F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4BCDE1C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5EFF57A2">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4BC1780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消防毯</w:t>
            </w:r>
          </w:p>
        </w:tc>
        <w:tc>
          <w:tcPr>
            <w:tcW w:w="989" w:type="pct"/>
            <w:tcBorders>
              <w:tl2br w:val="nil"/>
              <w:tr2bl w:val="nil"/>
            </w:tcBorders>
            <w:noWrap w:val="0"/>
            <w:vAlign w:val="center"/>
          </w:tcPr>
          <w:p w14:paraId="3BD8C0D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2E6EDDE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3BAC1901">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306F3926">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消防沙</w:t>
            </w:r>
          </w:p>
        </w:tc>
        <w:tc>
          <w:tcPr>
            <w:tcW w:w="989" w:type="pct"/>
            <w:tcBorders>
              <w:tl2br w:val="nil"/>
              <w:tr2bl w:val="nil"/>
            </w:tcBorders>
            <w:noWrap w:val="0"/>
            <w:vAlign w:val="center"/>
          </w:tcPr>
          <w:p w14:paraId="103BE43D">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7483675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62FB230C">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4C7CFD0A">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消防桶</w:t>
            </w:r>
          </w:p>
        </w:tc>
        <w:tc>
          <w:tcPr>
            <w:tcW w:w="989" w:type="pct"/>
            <w:tcBorders>
              <w:tl2br w:val="nil"/>
              <w:tr2bl w:val="nil"/>
            </w:tcBorders>
            <w:noWrap w:val="0"/>
            <w:vAlign w:val="center"/>
          </w:tcPr>
          <w:p w14:paraId="5EF7B356">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5537ADC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32FBA612">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4037DD7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消防铲</w:t>
            </w:r>
          </w:p>
        </w:tc>
        <w:tc>
          <w:tcPr>
            <w:tcW w:w="989" w:type="pct"/>
            <w:tcBorders>
              <w:tl2br w:val="nil"/>
              <w:tr2bl w:val="nil"/>
            </w:tcBorders>
            <w:noWrap w:val="0"/>
            <w:vAlign w:val="center"/>
          </w:tcPr>
          <w:p w14:paraId="7ACA01F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64EC5EF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0C8C9686">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463EFF77">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应急灯</w:t>
            </w:r>
          </w:p>
        </w:tc>
        <w:tc>
          <w:tcPr>
            <w:tcW w:w="989" w:type="pct"/>
            <w:tcBorders>
              <w:tl2br w:val="nil"/>
              <w:tr2bl w:val="nil"/>
            </w:tcBorders>
            <w:noWrap w:val="0"/>
            <w:vAlign w:val="center"/>
          </w:tcPr>
          <w:p w14:paraId="77A7E9CD">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3AFD6FD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1EEB59DD">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3ACD9B2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水带</w:t>
            </w:r>
          </w:p>
        </w:tc>
        <w:tc>
          <w:tcPr>
            <w:tcW w:w="989" w:type="pct"/>
            <w:tcBorders>
              <w:tl2br w:val="nil"/>
              <w:tr2bl w:val="nil"/>
            </w:tcBorders>
            <w:noWrap w:val="0"/>
            <w:vAlign w:val="center"/>
          </w:tcPr>
          <w:p w14:paraId="474B935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0BAA6A8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restart"/>
            <w:tcBorders>
              <w:tl2br w:val="nil"/>
              <w:tr2bl w:val="nil"/>
            </w:tcBorders>
            <w:noWrap w:val="0"/>
            <w:vAlign w:val="center"/>
          </w:tcPr>
          <w:p w14:paraId="1166742B">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泄漏控制</w:t>
            </w:r>
          </w:p>
          <w:p w14:paraId="5853B3C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设备</w:t>
            </w:r>
          </w:p>
        </w:tc>
        <w:tc>
          <w:tcPr>
            <w:tcW w:w="3126" w:type="pct"/>
            <w:tcBorders>
              <w:tl2br w:val="nil"/>
              <w:tr2bl w:val="nil"/>
            </w:tcBorders>
            <w:noWrap w:val="0"/>
            <w:vAlign w:val="center"/>
          </w:tcPr>
          <w:p w14:paraId="12636F6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堵漏器材（棉纱、捆扎带（堵漏胶带）、专用扳手、铁箍等）</w:t>
            </w:r>
          </w:p>
        </w:tc>
        <w:tc>
          <w:tcPr>
            <w:tcW w:w="989" w:type="pct"/>
            <w:tcBorders>
              <w:tl2br w:val="nil"/>
              <w:tr2bl w:val="nil"/>
            </w:tcBorders>
            <w:noWrap w:val="0"/>
            <w:vAlign w:val="center"/>
          </w:tcPr>
          <w:p w14:paraId="75991DD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0DBA98E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2AE444B2">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6BAFFE78">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隔油池</w:t>
            </w:r>
          </w:p>
        </w:tc>
        <w:tc>
          <w:tcPr>
            <w:tcW w:w="989" w:type="pct"/>
            <w:tcBorders>
              <w:tl2br w:val="nil"/>
              <w:tr2bl w:val="nil"/>
            </w:tcBorders>
            <w:noWrap w:val="0"/>
            <w:vAlign w:val="center"/>
          </w:tcPr>
          <w:p w14:paraId="4379BFAA">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78F494A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4EC636A5">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16DC500B">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吸油毡</w:t>
            </w:r>
          </w:p>
        </w:tc>
        <w:tc>
          <w:tcPr>
            <w:tcW w:w="989" w:type="pct"/>
            <w:tcBorders>
              <w:tl2br w:val="nil"/>
              <w:tr2bl w:val="nil"/>
            </w:tcBorders>
            <w:noWrap w:val="0"/>
            <w:vAlign w:val="center"/>
          </w:tcPr>
          <w:p w14:paraId="471668D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1CCED05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4818D33D">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10E0CE9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应急泵</w:t>
            </w:r>
          </w:p>
        </w:tc>
        <w:tc>
          <w:tcPr>
            <w:tcW w:w="989" w:type="pct"/>
            <w:tcBorders>
              <w:tl2br w:val="nil"/>
              <w:tr2bl w:val="nil"/>
            </w:tcBorders>
            <w:noWrap w:val="0"/>
            <w:vAlign w:val="center"/>
          </w:tcPr>
          <w:p w14:paraId="0551AC9A">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7B98F45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restart"/>
            <w:tcBorders>
              <w:tl2br w:val="nil"/>
              <w:tr2bl w:val="nil"/>
            </w:tcBorders>
            <w:noWrap w:val="0"/>
            <w:vAlign w:val="center"/>
          </w:tcPr>
          <w:p w14:paraId="44EA243B">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个人防护设备器材</w:t>
            </w:r>
          </w:p>
        </w:tc>
        <w:tc>
          <w:tcPr>
            <w:tcW w:w="3126" w:type="pct"/>
            <w:tcBorders>
              <w:tl2br w:val="nil"/>
              <w:tr2bl w:val="nil"/>
            </w:tcBorders>
            <w:noWrap w:val="0"/>
            <w:vAlign w:val="center"/>
          </w:tcPr>
          <w:p w14:paraId="7E281DD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防毒面具（CO）</w:t>
            </w:r>
          </w:p>
        </w:tc>
        <w:tc>
          <w:tcPr>
            <w:tcW w:w="989" w:type="pct"/>
            <w:tcBorders>
              <w:tl2br w:val="nil"/>
              <w:tr2bl w:val="nil"/>
            </w:tcBorders>
            <w:noWrap w:val="0"/>
            <w:vAlign w:val="center"/>
          </w:tcPr>
          <w:p w14:paraId="028D6E6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732FB01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vMerge w:val="continue"/>
            <w:tcBorders>
              <w:tl2br w:val="nil"/>
              <w:tr2bl w:val="nil"/>
            </w:tcBorders>
            <w:noWrap w:val="0"/>
            <w:vAlign w:val="center"/>
          </w:tcPr>
          <w:p w14:paraId="55A3D9E3">
            <w:pPr>
              <w:jc w:val="center"/>
              <w:rPr>
                <w:rFonts w:hint="default" w:ascii="Times New Roman" w:hAnsi="Times New Roman" w:eastAsia="宋体" w:cs="Times New Roman"/>
                <w:color w:val="auto"/>
                <w:szCs w:val="21"/>
                <w:u w:val="none" w:color="auto"/>
              </w:rPr>
            </w:pPr>
          </w:p>
        </w:tc>
        <w:tc>
          <w:tcPr>
            <w:tcW w:w="3126" w:type="pct"/>
            <w:tcBorders>
              <w:tl2br w:val="nil"/>
              <w:tr2bl w:val="nil"/>
            </w:tcBorders>
            <w:noWrap w:val="0"/>
            <w:vAlign w:val="center"/>
          </w:tcPr>
          <w:p w14:paraId="36BAC76D">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防静电工作服</w:t>
            </w:r>
          </w:p>
        </w:tc>
        <w:tc>
          <w:tcPr>
            <w:tcW w:w="989" w:type="pct"/>
            <w:tcBorders>
              <w:tl2br w:val="nil"/>
              <w:tr2bl w:val="nil"/>
            </w:tcBorders>
            <w:noWrap w:val="0"/>
            <w:vAlign w:val="center"/>
          </w:tcPr>
          <w:p w14:paraId="58CF81E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07510E7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tcBorders>
              <w:tl2br w:val="nil"/>
              <w:tr2bl w:val="nil"/>
            </w:tcBorders>
            <w:noWrap w:val="0"/>
            <w:vAlign w:val="center"/>
          </w:tcPr>
          <w:p w14:paraId="2BEC8F2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医疗救护仪器药品</w:t>
            </w:r>
          </w:p>
        </w:tc>
        <w:tc>
          <w:tcPr>
            <w:tcW w:w="3126" w:type="pct"/>
            <w:tcBorders>
              <w:tl2br w:val="nil"/>
              <w:tr2bl w:val="nil"/>
            </w:tcBorders>
            <w:noWrap w:val="0"/>
            <w:vAlign w:val="center"/>
          </w:tcPr>
          <w:p w14:paraId="1A98005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急救箱（创口贴、云南白药喷雾剂、消毒药水、消炎膏、5%硫代硫酸钠等）</w:t>
            </w:r>
          </w:p>
        </w:tc>
        <w:tc>
          <w:tcPr>
            <w:tcW w:w="989" w:type="pct"/>
            <w:tcBorders>
              <w:tl2br w:val="nil"/>
              <w:tr2bl w:val="nil"/>
            </w:tcBorders>
            <w:noWrap w:val="0"/>
            <w:vAlign w:val="center"/>
          </w:tcPr>
          <w:p w14:paraId="1860044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r w14:paraId="76E291F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trPr>
        <w:tc>
          <w:tcPr>
            <w:tcW w:w="884" w:type="pct"/>
            <w:tcBorders>
              <w:tl2br w:val="nil"/>
              <w:tr2bl w:val="nil"/>
            </w:tcBorders>
            <w:noWrap w:val="0"/>
            <w:vAlign w:val="center"/>
          </w:tcPr>
          <w:p w14:paraId="70193CD8">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警示设备</w:t>
            </w:r>
          </w:p>
        </w:tc>
        <w:tc>
          <w:tcPr>
            <w:tcW w:w="3126" w:type="pct"/>
            <w:tcBorders>
              <w:tl2br w:val="nil"/>
              <w:tr2bl w:val="nil"/>
            </w:tcBorders>
            <w:noWrap w:val="0"/>
            <w:vAlign w:val="center"/>
          </w:tcPr>
          <w:p w14:paraId="5C663564">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风向标</w:t>
            </w:r>
          </w:p>
        </w:tc>
        <w:tc>
          <w:tcPr>
            <w:tcW w:w="989" w:type="pct"/>
            <w:tcBorders>
              <w:tl2br w:val="nil"/>
              <w:tr2bl w:val="nil"/>
            </w:tcBorders>
            <w:noWrap w:val="0"/>
            <w:vAlign w:val="center"/>
          </w:tcPr>
          <w:p w14:paraId="4807EA6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若干</w:t>
            </w:r>
          </w:p>
        </w:tc>
      </w:tr>
    </w:tbl>
    <w:p w14:paraId="40D1E4C5">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20" w:name="_Toc14926"/>
      <w:r>
        <w:rPr>
          <w:rFonts w:hint="eastAsia" w:ascii="Times New Roman" w:hAnsi="Times New Roman" w:eastAsia="宋体" w:cs="Times New Roman"/>
          <w:color w:val="000000" w:themeColor="text1"/>
          <w:u w:val="none" w:color="auto"/>
          <w:lang w:val="en-US" w:eastAsia="zh-CN"/>
          <w14:textFill>
            <w14:solidFill>
              <w14:schemeClr w14:val="tx1"/>
            </w14:solidFill>
          </w14:textFill>
        </w:rPr>
        <w:t>6.6.7 消防事故水防范措施</w:t>
      </w:r>
      <w:bookmarkEnd w:id="420"/>
    </w:p>
    <w:p w14:paraId="6862539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ascii="Times New Roman" w:hAnsi="Times New Roman" w:eastAsia="宋体" w:cs="Times New Roman"/>
          <w:sz w:val="24"/>
          <w:szCs w:val="24"/>
          <w:u w:val="none"/>
          <w:lang w:val="en-US" w:eastAsia="zh-CN"/>
        </w:rPr>
        <w:t>本项目主要风险物质为油脂，</w:t>
      </w:r>
      <w:r>
        <w:rPr>
          <w:rFonts w:hint="default" w:ascii="Times New Roman" w:hAnsi="Times New Roman" w:eastAsia="宋体" w:cs="Times New Roman"/>
          <w:sz w:val="24"/>
          <w:szCs w:val="24"/>
          <w:u w:val="none"/>
          <w:lang w:val="en-US" w:eastAsia="zh-CN"/>
        </w:rPr>
        <w:t>着火时不能接触水，火灾事故时使用干粉灭火</w:t>
      </w:r>
      <w:r>
        <w:rPr>
          <w:rFonts w:hint="eastAsia" w:ascii="Times New Roman" w:hAnsi="Times New Roman" w:eastAsia="宋体" w:cs="Times New Roman"/>
          <w:sz w:val="24"/>
          <w:szCs w:val="24"/>
          <w:u w:val="none"/>
          <w:lang w:val="en-US" w:eastAsia="zh-CN"/>
        </w:rPr>
        <w:t>。但考虑到极端情况下，需要使用水灭火。</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根据《建筑设计防火规范》（GB 50016-2014）规定，发生火灾时，厂房灭火消火栓设计流量为10 L/s，假定初期火灾灭火用时60分钟，则产生消防废水为36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。项目拟建设</w:t>
      </w:r>
      <w:r>
        <w:rPr>
          <w:rFonts w:hint="default" w:ascii="Times New Roman" w:hAnsi="Times New Roman" w:eastAsia="宋体" w:cs="Times New Roman"/>
          <w:color w:val="000000" w:themeColor="text1"/>
          <w:u w:val="none" w:color="auto"/>
          <w14:textFill>
            <w14:solidFill>
              <w14:schemeClr w14:val="tx1"/>
            </w14:solidFill>
          </w14:textFill>
        </w:rPr>
        <w:t>一座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40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的事故池，</w:t>
      </w:r>
      <w:r>
        <w:rPr>
          <w:rFonts w:hint="default" w:ascii="Times New Roman" w:hAnsi="Times New Roman" w:eastAsia="宋体" w:cs="Times New Roman"/>
          <w:color w:val="000000" w:themeColor="text1"/>
          <w:u w:val="none" w:color="auto"/>
          <w:lang w:eastAsia="zh-CN"/>
          <w14:textFill>
            <w14:solidFill>
              <w14:schemeClr w14:val="tx1"/>
            </w14:solidFill>
          </w14:textFill>
        </w:rPr>
        <w:t>发生事故时</w:t>
      </w:r>
      <w:r>
        <w:rPr>
          <w:rFonts w:hint="default" w:ascii="Times New Roman" w:hAnsi="Times New Roman" w:eastAsia="宋体" w:cs="Times New Roman"/>
          <w:color w:val="000000" w:themeColor="text1"/>
          <w:u w:val="none" w:color="auto"/>
          <w14:textFill>
            <w14:solidFill>
              <w14:schemeClr w14:val="tx1"/>
            </w14:solidFill>
          </w14:textFill>
        </w:rPr>
        <w:t>可</w:t>
      </w:r>
      <w:r>
        <w:rPr>
          <w:rFonts w:hint="default" w:ascii="Times New Roman" w:hAnsi="Times New Roman" w:eastAsia="宋体" w:cs="Times New Roman"/>
          <w:color w:val="000000" w:themeColor="text1"/>
          <w:u w:val="none" w:color="auto"/>
          <w:lang w:eastAsia="zh-CN"/>
          <w14:textFill>
            <w14:solidFill>
              <w14:schemeClr w14:val="tx1"/>
            </w14:solidFill>
          </w14:textFill>
        </w:rPr>
        <w:t>暂存消防废水</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应急事故池容积设置可行。</w:t>
      </w:r>
    </w:p>
    <w:p w14:paraId="233A2DEF">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lang w:val="en-US" w:eastAsia="zh-CN"/>
        </w:rPr>
      </w:pPr>
      <w:r>
        <w:rPr>
          <w:rFonts w:hint="eastAsia" w:ascii="Times New Roman" w:hAnsi="Times New Roman" w:eastAsia="宋体" w:cs="Times New Roman"/>
          <w:sz w:val="24"/>
          <w:szCs w:val="24"/>
          <w:u w:val="none"/>
          <w:lang w:val="en-US" w:eastAsia="zh-CN"/>
        </w:rPr>
        <w:t>当发生火灾事故时，立即启动三级风险防控体系，切断厂区雨水管网与外界的联系，防止消防事故水进入周边河流。</w:t>
      </w:r>
    </w:p>
    <w:p w14:paraId="11E4860F">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21" w:name="_Toc668"/>
      <w:r>
        <w:rPr>
          <w:rFonts w:hint="default" w:ascii="Times New Roman" w:hAnsi="Times New Roman" w:eastAsia="宋体" w:cs="Times New Roman"/>
          <w:color w:val="000000" w:themeColor="text1"/>
          <w:u w:val="none" w:color="auto"/>
          <w:lang w:val="en-US" w:eastAsia="zh-CN"/>
          <w14:textFill>
            <w14:solidFill>
              <w14:schemeClr w14:val="tx1"/>
            </w14:solidFill>
          </w14:textFill>
        </w:rPr>
        <w:t>7.6.</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三级风险防控体系</w:t>
      </w:r>
      <w:bookmarkEnd w:id="421"/>
    </w:p>
    <w:p w14:paraId="57AB490C">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本项目主要的风险为</w:t>
      </w:r>
      <w:r>
        <w:rPr>
          <w:rFonts w:hint="eastAsia" w:ascii="Times New Roman" w:hAnsi="Times New Roman" w:eastAsia="宋体" w:cs="Times New Roman"/>
          <w:sz w:val="24"/>
          <w:szCs w:val="24"/>
          <w:u w:val="none"/>
          <w:lang w:val="en-US" w:eastAsia="zh-CN"/>
        </w:rPr>
        <w:t>油脂</w:t>
      </w:r>
      <w:r>
        <w:rPr>
          <w:rFonts w:hint="default" w:ascii="Times New Roman" w:hAnsi="Times New Roman" w:eastAsia="宋体" w:cs="Times New Roman"/>
          <w:sz w:val="24"/>
          <w:szCs w:val="24"/>
          <w:u w:val="none"/>
        </w:rPr>
        <w:t>的泄漏风险</w:t>
      </w:r>
      <w:r>
        <w:rPr>
          <w:rFonts w:hint="eastAsia" w:ascii="Times New Roman" w:hAnsi="Times New Roman" w:eastAsia="宋体" w:cs="Times New Roman"/>
          <w:sz w:val="24"/>
          <w:szCs w:val="24"/>
          <w:u w:val="none"/>
          <w:lang w:val="en-US" w:eastAsia="zh-CN"/>
        </w:rPr>
        <w:t>和消防事故水</w:t>
      </w:r>
      <w:r>
        <w:rPr>
          <w:rFonts w:hint="default" w:ascii="Times New Roman" w:hAnsi="Times New Roman" w:eastAsia="宋体" w:cs="Times New Roman"/>
          <w:sz w:val="24"/>
          <w:szCs w:val="24"/>
          <w:u w:val="none"/>
        </w:rPr>
        <w:t>，所以针对项目污染物来源及其特性，以实现达标排放和满足应急处置为原则，建立</w:t>
      </w:r>
      <w:r>
        <w:rPr>
          <w:rFonts w:hint="eastAsia" w:ascii="Times New Roman" w:hAnsi="Times New Roman" w:eastAsia="宋体" w:cs="Times New Roman"/>
          <w:sz w:val="24"/>
          <w:szCs w:val="24"/>
          <w:u w:val="none"/>
          <w:lang w:eastAsia="zh-CN"/>
        </w:rPr>
        <w:t>“</w:t>
      </w:r>
      <w:r>
        <w:rPr>
          <w:rFonts w:hint="default" w:ascii="Times New Roman" w:hAnsi="Times New Roman" w:eastAsia="宋体" w:cs="Times New Roman"/>
          <w:sz w:val="24"/>
          <w:szCs w:val="24"/>
          <w:u w:val="none"/>
        </w:rPr>
        <w:t>污染源头、处理过程和最终排放</w:t>
      </w:r>
      <w:r>
        <w:rPr>
          <w:rFonts w:hint="eastAsia" w:ascii="Times New Roman" w:hAnsi="Times New Roman" w:eastAsia="宋体" w:cs="Times New Roman"/>
          <w:sz w:val="24"/>
          <w:szCs w:val="24"/>
          <w:u w:val="none"/>
          <w:lang w:eastAsia="zh-CN"/>
        </w:rPr>
        <w:t>”</w:t>
      </w:r>
      <w:r>
        <w:rPr>
          <w:rFonts w:hint="default" w:ascii="Times New Roman" w:hAnsi="Times New Roman" w:eastAsia="宋体" w:cs="Times New Roman"/>
          <w:sz w:val="24"/>
          <w:szCs w:val="24"/>
          <w:u w:val="none"/>
        </w:rPr>
        <w:t>的三级防控机制，具体方案如下：</w:t>
      </w:r>
    </w:p>
    <w:p w14:paraId="611E341D">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rPr>
      </w:pPr>
      <w:r>
        <w:rPr>
          <w:rFonts w:hint="eastAsia" w:ascii="Times New Roman" w:hAnsi="Times New Roman" w:eastAsia="宋体" w:cs="Times New Roman"/>
          <w:sz w:val="24"/>
          <w:szCs w:val="24"/>
          <w:u w:val="none"/>
        </w:rPr>
        <w:t>①</w:t>
      </w:r>
      <w:r>
        <w:rPr>
          <w:rFonts w:hint="default" w:ascii="Times New Roman" w:hAnsi="Times New Roman" w:eastAsia="宋体" w:cs="Times New Roman"/>
          <w:sz w:val="24"/>
          <w:szCs w:val="24"/>
          <w:u w:val="none"/>
        </w:rPr>
        <w:t>第一级防控（车间级）</w:t>
      </w:r>
    </w:p>
    <w:p w14:paraId="5EC225CF">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第一级防控措施是设置车间泄漏物料收集系统，构筑生产过程中环境安全的第一层防控网，使泄漏物料切换到处理系统，防止环境污染。所以本项目在</w:t>
      </w:r>
      <w:r>
        <w:rPr>
          <w:rFonts w:hint="eastAsia" w:ascii="Times New Roman" w:hAnsi="Times New Roman" w:eastAsia="宋体" w:cs="Times New Roman"/>
          <w:sz w:val="24"/>
          <w:szCs w:val="24"/>
          <w:u w:val="none"/>
          <w:lang w:val="en-US" w:eastAsia="zh-CN"/>
        </w:rPr>
        <w:t>成品油</w:t>
      </w:r>
      <w:r>
        <w:rPr>
          <w:rFonts w:hint="default" w:ascii="Times New Roman" w:hAnsi="Times New Roman" w:eastAsia="宋体" w:cs="Times New Roman"/>
          <w:sz w:val="24"/>
          <w:szCs w:val="24"/>
          <w:u w:val="none"/>
        </w:rPr>
        <w:t>储罐区设置围堰，保证泄漏物不出围堰。</w:t>
      </w:r>
    </w:p>
    <w:p w14:paraId="593157E8">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rPr>
      </w:pPr>
      <w:r>
        <w:rPr>
          <w:rFonts w:hint="eastAsia" w:ascii="Times New Roman" w:hAnsi="Times New Roman" w:eastAsia="宋体" w:cs="Times New Roman"/>
          <w:sz w:val="24"/>
          <w:szCs w:val="24"/>
          <w:u w:val="none"/>
        </w:rPr>
        <w:t>②</w:t>
      </w:r>
      <w:r>
        <w:rPr>
          <w:rFonts w:hint="default" w:ascii="Times New Roman" w:hAnsi="Times New Roman" w:eastAsia="宋体" w:cs="Times New Roman"/>
          <w:sz w:val="24"/>
          <w:szCs w:val="24"/>
          <w:u w:val="none"/>
        </w:rPr>
        <w:t>第二级防控（厂区级）</w:t>
      </w:r>
    </w:p>
    <w:p w14:paraId="550633B9">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第二级防控措施是在厂区内设置事故缓冲池，切断污染物与外部的通道，将污染控制在厂内，防止较大生产事故泄漏物料和</w:t>
      </w:r>
      <w:r>
        <w:rPr>
          <w:rFonts w:hint="eastAsia" w:ascii="Times New Roman" w:hAnsi="Times New Roman" w:eastAsia="宋体" w:cs="Times New Roman"/>
          <w:sz w:val="24"/>
          <w:szCs w:val="24"/>
          <w:u w:val="none"/>
          <w:lang w:val="en-US" w:eastAsia="zh-CN"/>
        </w:rPr>
        <w:t>消防事故水</w:t>
      </w:r>
      <w:r>
        <w:rPr>
          <w:rFonts w:hint="default" w:ascii="Times New Roman" w:hAnsi="Times New Roman" w:eastAsia="宋体" w:cs="Times New Roman"/>
          <w:sz w:val="24"/>
          <w:szCs w:val="24"/>
          <w:u w:val="none"/>
        </w:rPr>
        <w:t>造成的环境污染。</w:t>
      </w:r>
    </w:p>
    <w:p w14:paraId="69FB353E">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本项目拟设置1个应急事故池，容积共</w:t>
      </w:r>
      <w:r>
        <w:rPr>
          <w:rFonts w:hint="eastAsia" w:ascii="Times New Roman" w:hAnsi="Times New Roman" w:eastAsia="宋体" w:cs="Times New Roman"/>
          <w:sz w:val="24"/>
          <w:szCs w:val="24"/>
          <w:u w:val="none"/>
          <w:lang w:val="en-US" w:eastAsia="zh-CN"/>
        </w:rPr>
        <w:t xml:space="preserve">40 </w:t>
      </w:r>
      <w:r>
        <w:rPr>
          <w:rFonts w:hint="default" w:ascii="Times New Roman" w:hAnsi="Times New Roman" w:eastAsia="宋体" w:cs="Times New Roman"/>
          <w:sz w:val="24"/>
          <w:szCs w:val="24"/>
          <w:u w:val="none"/>
        </w:rPr>
        <w:t>m</w:t>
      </w:r>
      <w:r>
        <w:rPr>
          <w:rFonts w:hint="default" w:ascii="Times New Roman" w:hAnsi="Times New Roman" w:eastAsia="宋体" w:cs="Times New Roman"/>
          <w:sz w:val="24"/>
          <w:szCs w:val="24"/>
          <w:u w:val="none"/>
          <w:vertAlign w:val="superscript"/>
        </w:rPr>
        <w:t>3</w:t>
      </w:r>
      <w:r>
        <w:rPr>
          <w:rFonts w:hint="eastAsia" w:ascii="Times New Roman" w:hAnsi="Times New Roman" w:eastAsia="宋体" w:cs="Times New Roman"/>
          <w:sz w:val="24"/>
          <w:szCs w:val="24"/>
          <w:u w:val="none"/>
          <w:lang w:eastAsia="zh-CN"/>
        </w:rPr>
        <w:t>。</w:t>
      </w:r>
      <w:r>
        <w:rPr>
          <w:rFonts w:hint="default" w:ascii="Times New Roman" w:hAnsi="Times New Roman" w:eastAsia="宋体" w:cs="Times New Roman"/>
          <w:sz w:val="24"/>
          <w:szCs w:val="24"/>
          <w:u w:val="none"/>
        </w:rPr>
        <w:t>当发生事故时，泄漏物</w:t>
      </w:r>
      <w:r>
        <w:rPr>
          <w:rFonts w:hint="eastAsia" w:ascii="Times New Roman" w:hAnsi="Times New Roman" w:eastAsia="宋体" w:cs="Times New Roman"/>
          <w:sz w:val="24"/>
          <w:szCs w:val="24"/>
          <w:u w:val="none"/>
          <w:lang w:val="en-US" w:eastAsia="zh-CN"/>
        </w:rPr>
        <w:t>料和消防事故水</w:t>
      </w:r>
      <w:r>
        <w:rPr>
          <w:rFonts w:hint="default" w:ascii="Times New Roman" w:hAnsi="Times New Roman" w:eastAsia="宋体" w:cs="Times New Roman"/>
          <w:sz w:val="24"/>
          <w:szCs w:val="24"/>
          <w:u w:val="none"/>
        </w:rPr>
        <w:t>顺着管道进入厂区事故废水收集系统，进入厂区应急事故池。同时关闭厂区的雨水总排口阀门。通过以上措施将泄漏物控制在厂区范围内。</w:t>
      </w:r>
    </w:p>
    <w:p w14:paraId="65368115">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rPr>
      </w:pPr>
      <w:r>
        <w:rPr>
          <w:rFonts w:hint="eastAsia" w:ascii="Times New Roman" w:hAnsi="Times New Roman" w:eastAsia="宋体" w:cs="Times New Roman"/>
          <w:sz w:val="24"/>
          <w:szCs w:val="24"/>
          <w:u w:val="none"/>
        </w:rPr>
        <w:t>③</w:t>
      </w:r>
      <w:r>
        <w:rPr>
          <w:rFonts w:hint="default" w:ascii="Times New Roman" w:hAnsi="Times New Roman" w:eastAsia="宋体" w:cs="Times New Roman"/>
          <w:sz w:val="24"/>
          <w:szCs w:val="24"/>
          <w:u w:val="none"/>
        </w:rPr>
        <w:t>第三级防控（流域级）</w:t>
      </w:r>
    </w:p>
    <w:p w14:paraId="7703029A">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泄漏物</w:t>
      </w:r>
      <w:r>
        <w:rPr>
          <w:rFonts w:hint="eastAsia" w:ascii="Times New Roman" w:hAnsi="Times New Roman" w:eastAsia="宋体" w:cs="Times New Roman"/>
          <w:sz w:val="24"/>
          <w:szCs w:val="24"/>
          <w:u w:val="none"/>
          <w:lang w:val="en-US" w:eastAsia="zh-CN"/>
        </w:rPr>
        <w:t>料和消防事故水</w:t>
      </w:r>
      <w:r>
        <w:rPr>
          <w:rFonts w:hint="default" w:ascii="Times New Roman" w:hAnsi="Times New Roman" w:eastAsia="宋体" w:cs="Times New Roman"/>
          <w:sz w:val="24"/>
          <w:szCs w:val="24"/>
          <w:u w:val="none"/>
        </w:rPr>
        <w:t>可能会通过雨水管道和污水流出厂外，如果进入污水管道那么会进入平江高新区污水处理厂，园区污水处理厂现有1座4100</w:t>
      </w:r>
      <w:r>
        <w:rPr>
          <w:rFonts w:hint="eastAsia" w:ascii="Times New Roman" w:hAnsi="Times New Roman" w:eastAsia="宋体" w:cs="Times New Roman"/>
          <w:sz w:val="24"/>
          <w:szCs w:val="24"/>
          <w:u w:val="none"/>
          <w:lang w:val="en-US" w:eastAsia="zh-CN"/>
        </w:rPr>
        <w:t xml:space="preserve"> </w:t>
      </w:r>
      <w:r>
        <w:rPr>
          <w:rFonts w:hint="default" w:ascii="Times New Roman" w:hAnsi="Times New Roman" w:eastAsia="宋体" w:cs="Times New Roman"/>
          <w:sz w:val="24"/>
          <w:szCs w:val="24"/>
          <w:u w:val="none"/>
        </w:rPr>
        <w:t>m</w:t>
      </w:r>
      <w:r>
        <w:rPr>
          <w:rFonts w:hint="default" w:ascii="Times New Roman" w:hAnsi="Times New Roman" w:eastAsia="宋体" w:cs="Times New Roman"/>
          <w:sz w:val="24"/>
          <w:szCs w:val="24"/>
          <w:u w:val="none"/>
          <w:vertAlign w:val="superscript"/>
        </w:rPr>
        <w:t>3</w:t>
      </w:r>
      <w:r>
        <w:rPr>
          <w:rFonts w:hint="default" w:ascii="Times New Roman" w:hAnsi="Times New Roman" w:eastAsia="宋体" w:cs="Times New Roman"/>
          <w:sz w:val="24"/>
          <w:szCs w:val="24"/>
          <w:u w:val="none"/>
        </w:rPr>
        <w:t>和1座2300</w:t>
      </w:r>
      <w:r>
        <w:rPr>
          <w:rFonts w:hint="eastAsia" w:ascii="Times New Roman" w:hAnsi="Times New Roman" w:eastAsia="宋体" w:cs="Times New Roman"/>
          <w:sz w:val="24"/>
          <w:szCs w:val="24"/>
          <w:u w:val="none"/>
          <w:lang w:val="en-US" w:eastAsia="zh-CN"/>
        </w:rPr>
        <w:t xml:space="preserve"> </w:t>
      </w:r>
      <w:r>
        <w:rPr>
          <w:rFonts w:hint="default" w:ascii="Times New Roman" w:hAnsi="Times New Roman" w:eastAsia="宋体" w:cs="Times New Roman"/>
          <w:sz w:val="24"/>
          <w:szCs w:val="24"/>
          <w:u w:val="none"/>
        </w:rPr>
        <w:t>m</w:t>
      </w:r>
      <w:r>
        <w:rPr>
          <w:rFonts w:hint="default" w:ascii="Times New Roman" w:hAnsi="Times New Roman" w:eastAsia="宋体" w:cs="Times New Roman"/>
          <w:sz w:val="24"/>
          <w:szCs w:val="24"/>
          <w:u w:val="none"/>
          <w:vertAlign w:val="superscript"/>
        </w:rPr>
        <w:t>3</w:t>
      </w:r>
      <w:r>
        <w:rPr>
          <w:rFonts w:hint="default" w:ascii="Times New Roman" w:hAnsi="Times New Roman" w:eastAsia="宋体" w:cs="Times New Roman"/>
          <w:sz w:val="24"/>
          <w:szCs w:val="24"/>
          <w:u w:val="none"/>
        </w:rPr>
        <w:t>的应急事故池，可作为本项目的第三级防控措施。当发生公司内部无法应对的环境事件时，启动第三级（流域级）应急防控，事故发现人员立即通知公司应急指挥部，应急指挥部立即转为应急现场指挥部，同时立即通知平江高新区污水处理厂应急指挥部协同应急处置。如果进入雨水管道，应立即通知平江高新技术产业区应急指挥中心，立即关闭园区的雨水排口阀门，用于截断泄漏</w:t>
      </w:r>
      <w:r>
        <w:rPr>
          <w:rFonts w:hint="eastAsia" w:ascii="Times New Roman" w:hAnsi="Times New Roman" w:eastAsia="宋体" w:cs="Times New Roman"/>
          <w:sz w:val="24"/>
          <w:szCs w:val="24"/>
          <w:u w:val="none"/>
          <w:lang w:val="en-US" w:eastAsia="zh-CN"/>
        </w:rPr>
        <w:t>废水</w:t>
      </w:r>
      <w:r>
        <w:rPr>
          <w:rFonts w:hint="default" w:ascii="Times New Roman" w:hAnsi="Times New Roman" w:eastAsia="宋体" w:cs="Times New Roman"/>
          <w:sz w:val="24"/>
          <w:szCs w:val="24"/>
          <w:u w:val="none"/>
        </w:rPr>
        <w:t>，防止进入地表水。同时使用抽吸泵和罐车将泄漏</w:t>
      </w:r>
      <w:r>
        <w:rPr>
          <w:rFonts w:hint="eastAsia" w:ascii="Times New Roman" w:hAnsi="Times New Roman" w:eastAsia="宋体" w:cs="Times New Roman"/>
          <w:sz w:val="24"/>
          <w:szCs w:val="24"/>
          <w:u w:val="none"/>
          <w:lang w:val="en-US" w:eastAsia="zh-CN"/>
        </w:rPr>
        <w:t>废水</w:t>
      </w:r>
      <w:r>
        <w:rPr>
          <w:rFonts w:hint="default" w:ascii="Times New Roman" w:hAnsi="Times New Roman" w:eastAsia="宋体" w:cs="Times New Roman"/>
          <w:sz w:val="24"/>
          <w:szCs w:val="24"/>
          <w:u w:val="none"/>
        </w:rPr>
        <w:t>转移和清理。收集的泄漏</w:t>
      </w:r>
      <w:r>
        <w:rPr>
          <w:rFonts w:hint="eastAsia" w:ascii="Times New Roman" w:hAnsi="Times New Roman" w:eastAsia="宋体" w:cs="Times New Roman"/>
          <w:sz w:val="24"/>
          <w:szCs w:val="24"/>
          <w:u w:val="none"/>
          <w:lang w:val="en-US" w:eastAsia="zh-CN"/>
        </w:rPr>
        <w:t>废水</w:t>
      </w:r>
      <w:r>
        <w:rPr>
          <w:rFonts w:hint="default" w:ascii="Times New Roman" w:hAnsi="Times New Roman" w:eastAsia="宋体" w:cs="Times New Roman"/>
          <w:sz w:val="24"/>
          <w:szCs w:val="24"/>
          <w:u w:val="none"/>
        </w:rPr>
        <w:t>交由有资质单位处置。</w:t>
      </w:r>
    </w:p>
    <w:p w14:paraId="09E1048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ascii="Times New Roman" w:hAnsi="Times New Roman"/>
          <w:color w:val="000000"/>
          <w:u w:val="none"/>
        </w:rPr>
      </w:pPr>
      <w:r>
        <w:rPr>
          <w:rFonts w:ascii="Times New Roman" w:hAnsi="Times New Roman"/>
          <w:color w:val="000000"/>
          <w:u w:val="none"/>
        </w:rPr>
        <w:drawing>
          <wp:inline distT="0" distB="0" distL="114300" distR="114300">
            <wp:extent cx="5208905" cy="3838575"/>
            <wp:effectExtent l="0" t="0" r="10795" b="9525"/>
            <wp:docPr id="102" name="ECB019B1-382A-4266-B25C-5B523AA43C14-5" descr="C:/Users/Administrator/AppData/Local/Temp/wps.jUhzV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ECB019B1-382A-4266-B25C-5B523AA43C14-5" descr="C:/Users/Administrator/AppData/Local/Temp/wps.jUhzVwwps"/>
                    <pic:cNvPicPr>
                      <a:picLocks noChangeAspect="1"/>
                    </pic:cNvPicPr>
                  </pic:nvPicPr>
                  <pic:blipFill>
                    <a:blip r:embed="rId49"/>
                    <a:srcRect l="2258" t="4810" r="2129" b="4169"/>
                    <a:stretch>
                      <a:fillRect/>
                    </a:stretch>
                  </pic:blipFill>
                  <pic:spPr>
                    <a:xfrm>
                      <a:off x="0" y="0"/>
                      <a:ext cx="5208905" cy="3838575"/>
                    </a:xfrm>
                    <a:prstGeom prst="rect">
                      <a:avLst/>
                    </a:prstGeom>
                  </pic:spPr>
                </pic:pic>
              </a:graphicData>
            </a:graphic>
          </wp:inline>
        </w:drawing>
      </w:r>
    </w:p>
    <w:p w14:paraId="6762B317">
      <w:pPr>
        <w:pStyle w:val="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图</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7.6-1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事故废水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截断措施</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示意图</w:t>
      </w:r>
    </w:p>
    <w:p w14:paraId="57FFC4A7">
      <w:pPr>
        <w:pStyle w:val="5"/>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bookmarkStart w:id="422" w:name="_Toc25428"/>
      <w:r>
        <w:rPr>
          <w:rFonts w:hint="eastAsia" w:ascii="Times New Roman" w:hAnsi="Times New Roman" w:eastAsia="宋体" w:cs="Times New Roman"/>
          <w:color w:val="000000" w:themeColor="text1"/>
          <w:u w:val="none" w:color="auto"/>
          <w:lang w:val="en-US" w:eastAsia="zh-CN"/>
          <w14:textFill>
            <w14:solidFill>
              <w14:schemeClr w14:val="tx1"/>
            </w14:solidFill>
          </w14:textFill>
        </w:rPr>
        <w:t>7.7 环境风险应急预案</w:t>
      </w:r>
      <w:bookmarkEnd w:id="422"/>
    </w:p>
    <w:p w14:paraId="7B41656B">
      <w:pPr>
        <w:spacing w:line="360" w:lineRule="auto"/>
        <w:ind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rPr>
        <w:t>根据《突发环境事件应急管理办法》、《突发环境事件信息报告办法》、《突发环境事件应急管理办法》等要求、《国家安全事故灾难应急预案》、《国务院关于进一步加强安全生产工作的决定》、《建设项目环境风险评价技术导则》及国家最新的环境风险控制要求，公司应建立全公司、各生产装置突发环境事件的应急预案，应急预案应与区域突发环境事故应急预案相衔接；进一步落实市政府、当地开发区和企业环境风险三级联动应急预案。环评建议该项目验收前需编制完成突发环境事件应急预案并备案。</w:t>
      </w:r>
    </w:p>
    <w:p w14:paraId="540F12A0">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bookmarkStart w:id="423" w:name="_Toc15283"/>
      <w:r>
        <w:rPr>
          <w:rFonts w:hint="default" w:ascii="Times New Roman" w:hAnsi="Times New Roman" w:eastAsia="宋体" w:cs="Times New Roman"/>
          <w:color w:val="000000" w:themeColor="text1"/>
          <w:u w:val="none" w:color="auto"/>
          <w:lang w:val="en-US" w:eastAsia="zh-CN"/>
          <w14:textFill>
            <w14:solidFill>
              <w14:schemeClr w14:val="tx1"/>
            </w14:solidFill>
          </w14:textFill>
        </w:rPr>
        <w:t>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环境风险</w:t>
      </w:r>
      <w:r>
        <w:rPr>
          <w:rFonts w:hint="default" w:ascii="Times New Roman" w:hAnsi="Times New Roman" w:eastAsia="宋体" w:cs="Times New Roman"/>
          <w:color w:val="000000" w:themeColor="text1"/>
          <w:u w:val="none" w:color="auto"/>
          <w:lang w:eastAsia="zh-CN"/>
          <w14:textFill>
            <w14:solidFill>
              <w14:schemeClr w14:val="tx1"/>
            </w14:solidFill>
          </w14:textFill>
        </w:rPr>
        <w:t>结论</w:t>
      </w:r>
      <w:bookmarkEnd w:id="423"/>
    </w:p>
    <w:p w14:paraId="1D7F3C9F">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（1）本项目环境风险潜势为Ⅰ，环境风险评价等级确定为简单分析。</w:t>
      </w:r>
    </w:p>
    <w:p w14:paraId="32CA8D31">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（2）本项目的事故风险在相应的备用设备齐全以及风险防范措施落实到位的情况下，环境风险是可以接受的。为了防范事故和减少危害，需制定事故应急预案。</w:t>
      </w:r>
    </w:p>
    <w:p w14:paraId="56DC5929">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（3）建设单位应加强对各项风险防范措施的定期维护和检修，加强应急演习训练，总结积累经验。</w:t>
      </w:r>
    </w:p>
    <w:p w14:paraId="7DC579E7">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w:t>
      </w:r>
      <w:r>
        <w:rPr>
          <w:rFonts w:hint="default" w:ascii="Times New Roman" w:hAnsi="Times New Roman" w:eastAsia="宋体" w:cs="Times New Roman"/>
          <w:color w:val="000000" w:themeColor="text1"/>
          <w:u w:val="none" w:color="auto"/>
          <w14:textFill>
            <w14:solidFill>
              <w14:schemeClr w14:val="tx1"/>
            </w14:solidFill>
          </w14:textFill>
        </w:rPr>
        <w:t>评价认为，只要企业严格按照有关规定及环评提出的风险防范措施与管理的要求实施，建立应急预案机制，并接受当地政府等有关部门的监督检查，该项目发生危险事故的可能性将进一步降低，环境风险可以控制在可预知、可控制、可解决的情况之下，不会对外环境造成大的危害影响，对人群健康及周围环境风险危害在可控范围之内。</w:t>
      </w:r>
    </w:p>
    <w:p w14:paraId="7A02F6EB">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建设项目环境风险简单分析内容表：</w:t>
      </w:r>
    </w:p>
    <w:p w14:paraId="65D4A82C">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表7.</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  项目建设项目环境风险简单分析内容表</w:t>
      </w:r>
    </w:p>
    <w:tbl>
      <w:tblPr>
        <w:tblStyle w:val="37"/>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51"/>
        <w:gridCol w:w="1150"/>
        <w:gridCol w:w="2015"/>
        <w:gridCol w:w="1310"/>
        <w:gridCol w:w="2102"/>
      </w:tblGrid>
      <w:tr w14:paraId="21F7C0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951" w:type="dxa"/>
            <w:noWrap w:val="0"/>
            <w:vAlign w:val="center"/>
          </w:tcPr>
          <w:p w14:paraId="3041D0D6">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建设项目名称</w:t>
            </w:r>
          </w:p>
        </w:tc>
        <w:tc>
          <w:tcPr>
            <w:tcW w:w="6577" w:type="dxa"/>
            <w:gridSpan w:val="4"/>
            <w:noWrap w:val="0"/>
            <w:vAlign w:val="center"/>
          </w:tcPr>
          <w:p w14:paraId="4482E2CD">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color w:val="000000" w:themeColor="text1"/>
                <w:u w:val="none" w:color="auto"/>
                <w14:textFill>
                  <w14:solidFill>
                    <w14:schemeClr w14:val="tx1"/>
                  </w14:solidFill>
                </w14:textFill>
              </w:rPr>
              <w:t>湖南信达生物能源有限公司年产10000吨工业级混合油（非食用动植物油脂）初加工、仓储及转运收集建设项目</w:t>
            </w:r>
          </w:p>
        </w:tc>
      </w:tr>
      <w:tr w14:paraId="5A6832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951" w:type="dxa"/>
            <w:noWrap w:val="0"/>
            <w:vAlign w:val="center"/>
          </w:tcPr>
          <w:p w14:paraId="0FCF2962">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建设地点</w:t>
            </w:r>
          </w:p>
        </w:tc>
        <w:tc>
          <w:tcPr>
            <w:tcW w:w="6577" w:type="dxa"/>
            <w:gridSpan w:val="4"/>
            <w:noWrap w:val="0"/>
            <w:vAlign w:val="center"/>
          </w:tcPr>
          <w:p w14:paraId="38C99705">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color w:val="000000" w:themeColor="text1"/>
                <w:u w:val="none" w:color="auto"/>
                <w14:textFill>
                  <w14:solidFill>
                    <w14:schemeClr w14:val="tx1"/>
                  </w14:solidFill>
                </w14:textFill>
              </w:rPr>
              <w:t>平江高新技术产业园区兴东路与兴旺路交叉</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口</w:t>
            </w:r>
          </w:p>
        </w:tc>
      </w:tr>
      <w:tr w14:paraId="09FE2D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951" w:type="dxa"/>
            <w:noWrap w:val="0"/>
            <w:vAlign w:val="center"/>
          </w:tcPr>
          <w:p w14:paraId="4F52171A">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地理坐标</w:t>
            </w:r>
          </w:p>
        </w:tc>
        <w:tc>
          <w:tcPr>
            <w:tcW w:w="1150" w:type="dxa"/>
            <w:noWrap w:val="0"/>
            <w:vAlign w:val="center"/>
          </w:tcPr>
          <w:p w14:paraId="6A0C595F">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经度</w:t>
            </w:r>
          </w:p>
        </w:tc>
        <w:tc>
          <w:tcPr>
            <w:tcW w:w="2015" w:type="dxa"/>
            <w:noWrap w:val="0"/>
            <w:vAlign w:val="center"/>
          </w:tcPr>
          <w:p w14:paraId="35A96A42">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113°16′23.71</w:t>
            </w:r>
            <w:r>
              <w:rPr>
                <w:rFonts w:hint="default" w:ascii="Times New Roman" w:hAnsi="Times New Roman" w:eastAsia="宋体" w:cs="Times New Roman"/>
                <w:b w:val="0"/>
                <w:bCs/>
                <w:color w:val="auto"/>
                <w:sz w:val="21"/>
                <w:szCs w:val="21"/>
                <w:u w:val="none" w:color="auto"/>
                <w:lang w:val="en-US" w:eastAsia="zh-CN"/>
              </w:rPr>
              <w:t>2</w:t>
            </w:r>
            <w:r>
              <w:rPr>
                <w:rFonts w:hint="default" w:ascii="Times New Roman" w:hAnsi="Times New Roman" w:eastAsia="宋体" w:cs="Times New Roman"/>
                <w:b w:val="0"/>
                <w:bCs/>
                <w:color w:val="auto"/>
                <w:sz w:val="21"/>
                <w:szCs w:val="21"/>
                <w:u w:val="none" w:color="auto"/>
              </w:rPr>
              <w:t>″</w:t>
            </w:r>
          </w:p>
        </w:tc>
        <w:tc>
          <w:tcPr>
            <w:tcW w:w="1310" w:type="dxa"/>
            <w:noWrap w:val="0"/>
            <w:vAlign w:val="center"/>
          </w:tcPr>
          <w:p w14:paraId="7D987E33">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纬度</w:t>
            </w:r>
          </w:p>
        </w:tc>
        <w:tc>
          <w:tcPr>
            <w:tcW w:w="2102" w:type="dxa"/>
            <w:noWrap w:val="0"/>
            <w:vAlign w:val="center"/>
          </w:tcPr>
          <w:p w14:paraId="1E8A1206">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28°47′9.122″</w:t>
            </w:r>
          </w:p>
        </w:tc>
      </w:tr>
      <w:tr w14:paraId="4C6857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951" w:type="dxa"/>
            <w:noWrap w:val="0"/>
            <w:vAlign w:val="center"/>
          </w:tcPr>
          <w:p w14:paraId="6C28F3AB">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主要危险物质及分布</w:t>
            </w:r>
          </w:p>
        </w:tc>
        <w:tc>
          <w:tcPr>
            <w:tcW w:w="6577" w:type="dxa"/>
            <w:gridSpan w:val="4"/>
            <w:noWrap w:val="0"/>
            <w:vAlign w:val="center"/>
          </w:tcPr>
          <w:p w14:paraId="4E1AAA6B">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lang w:val="en-US" w:eastAsia="zh-CN"/>
              </w:rPr>
              <w:t>加工区暂存的废弃油脂、成品油储罐贮存的油类、危废暂存间暂存的</w:t>
            </w:r>
            <w:r>
              <w:rPr>
                <w:rFonts w:hint="default" w:ascii="Times New Roman" w:hAnsi="Times New Roman" w:eastAsia="宋体" w:cs="Times New Roman"/>
                <w:b w:val="0"/>
                <w:bCs/>
                <w:color w:val="auto"/>
                <w:sz w:val="21"/>
                <w:szCs w:val="21"/>
                <w:u w:val="none" w:color="auto"/>
              </w:rPr>
              <w:t>危险废物</w:t>
            </w:r>
          </w:p>
        </w:tc>
      </w:tr>
      <w:tr w14:paraId="6BC7B8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951" w:type="dxa"/>
            <w:noWrap w:val="0"/>
            <w:vAlign w:val="center"/>
          </w:tcPr>
          <w:p w14:paraId="4F068238">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环境影响途径及危害后果</w:t>
            </w:r>
          </w:p>
        </w:tc>
        <w:tc>
          <w:tcPr>
            <w:tcW w:w="6577" w:type="dxa"/>
            <w:gridSpan w:val="4"/>
            <w:noWrap w:val="0"/>
            <w:vAlign w:val="center"/>
          </w:tcPr>
          <w:p w14:paraId="4BCBDA3D">
            <w:pPr>
              <w:jc w:val="left"/>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lang w:eastAsia="zh-CN"/>
              </w:rPr>
              <w:t>（</w:t>
            </w:r>
            <w:r>
              <w:rPr>
                <w:rFonts w:hint="default" w:ascii="Times New Roman" w:hAnsi="Times New Roman" w:eastAsia="宋体" w:cs="Times New Roman"/>
                <w:b w:val="0"/>
                <w:bCs/>
                <w:color w:val="auto"/>
                <w:sz w:val="21"/>
                <w:szCs w:val="21"/>
                <w:u w:val="none" w:color="auto"/>
                <w:lang w:val="en-US" w:eastAsia="zh-CN"/>
              </w:rPr>
              <w:t>1</w:t>
            </w:r>
            <w:r>
              <w:rPr>
                <w:rFonts w:hint="default" w:ascii="Times New Roman" w:hAnsi="Times New Roman" w:eastAsia="宋体" w:cs="Times New Roman"/>
                <w:b w:val="0"/>
                <w:bCs/>
                <w:color w:val="auto"/>
                <w:sz w:val="21"/>
                <w:szCs w:val="21"/>
                <w:u w:val="none" w:color="auto"/>
                <w:lang w:eastAsia="zh-CN"/>
              </w:rPr>
              <w:t>）</w:t>
            </w:r>
            <w:r>
              <w:rPr>
                <w:rFonts w:hint="default" w:ascii="Times New Roman" w:hAnsi="Times New Roman" w:eastAsia="宋体" w:cs="Times New Roman"/>
                <w:b w:val="0"/>
                <w:bCs/>
                <w:color w:val="auto"/>
                <w:sz w:val="21"/>
                <w:szCs w:val="21"/>
                <w:u w:val="none" w:color="auto"/>
              </w:rPr>
              <w:t>大气扩散：有毒有害物质泄漏后或烟气非正常排放直接进入大气环境或挥发进入大气环境，或者易燃易爆物质泄漏后发生火灾事故时伴生污染物进入大气环境，通过大气扩散对周围环境造成影响。</w:t>
            </w:r>
          </w:p>
          <w:p w14:paraId="14FACBA6">
            <w:pPr>
              <w:jc w:val="both"/>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lang w:eastAsia="zh-CN"/>
              </w:rPr>
              <w:t>（</w:t>
            </w:r>
            <w:r>
              <w:rPr>
                <w:rFonts w:hint="default" w:ascii="Times New Roman" w:hAnsi="Times New Roman" w:eastAsia="宋体" w:cs="Times New Roman"/>
                <w:b w:val="0"/>
                <w:bCs/>
                <w:color w:val="auto"/>
                <w:sz w:val="21"/>
                <w:szCs w:val="21"/>
                <w:u w:val="none" w:color="auto"/>
                <w:lang w:val="en-US" w:eastAsia="zh-CN"/>
              </w:rPr>
              <w:t>2</w:t>
            </w:r>
            <w:r>
              <w:rPr>
                <w:rFonts w:hint="default" w:ascii="Times New Roman" w:hAnsi="Times New Roman" w:eastAsia="宋体" w:cs="Times New Roman"/>
                <w:b w:val="0"/>
                <w:bCs/>
                <w:color w:val="auto"/>
                <w:sz w:val="21"/>
                <w:szCs w:val="21"/>
                <w:u w:val="none" w:color="auto"/>
                <w:lang w:eastAsia="zh-CN"/>
              </w:rPr>
              <w:t>）</w:t>
            </w:r>
            <w:r>
              <w:rPr>
                <w:rFonts w:hint="default" w:ascii="Times New Roman" w:hAnsi="Times New Roman" w:eastAsia="宋体" w:cs="Times New Roman"/>
                <w:b w:val="0"/>
                <w:bCs/>
                <w:color w:val="auto"/>
                <w:sz w:val="21"/>
                <w:szCs w:val="21"/>
                <w:u w:val="none" w:color="auto"/>
                <w:lang w:val="en-US" w:eastAsia="zh-CN"/>
              </w:rPr>
              <w:t>地表</w:t>
            </w:r>
            <w:r>
              <w:rPr>
                <w:rFonts w:hint="default" w:ascii="Times New Roman" w:hAnsi="Times New Roman" w:eastAsia="宋体" w:cs="Times New Roman"/>
                <w:b w:val="0"/>
                <w:bCs/>
                <w:color w:val="auto"/>
                <w:sz w:val="21"/>
                <w:szCs w:val="21"/>
                <w:u w:val="none" w:color="auto"/>
              </w:rPr>
              <w:t>水环境扩散：本项目泄漏物料或易燃易爆物质发生火灾事故时产生的消防废水未得到有效收集而进入清净雨水管网，通过管网排入外环境，对周围环境造成影响。</w:t>
            </w:r>
          </w:p>
          <w:p w14:paraId="1B18AA97">
            <w:pPr>
              <w:jc w:val="left"/>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lang w:eastAsia="zh-CN"/>
              </w:rPr>
              <w:t>（</w:t>
            </w:r>
            <w:r>
              <w:rPr>
                <w:rFonts w:hint="default" w:ascii="Times New Roman" w:hAnsi="Times New Roman" w:eastAsia="宋体" w:cs="Times New Roman"/>
                <w:b w:val="0"/>
                <w:bCs/>
                <w:color w:val="auto"/>
                <w:sz w:val="21"/>
                <w:szCs w:val="21"/>
                <w:u w:val="none" w:color="auto"/>
                <w:lang w:val="en-US" w:eastAsia="zh-CN"/>
              </w:rPr>
              <w:t>3</w:t>
            </w:r>
            <w:r>
              <w:rPr>
                <w:rFonts w:hint="default" w:ascii="Times New Roman" w:hAnsi="Times New Roman" w:eastAsia="宋体" w:cs="Times New Roman"/>
                <w:b w:val="0"/>
                <w:bCs/>
                <w:color w:val="auto"/>
                <w:sz w:val="21"/>
                <w:szCs w:val="21"/>
                <w:u w:val="none" w:color="auto"/>
                <w:lang w:eastAsia="zh-CN"/>
              </w:rPr>
              <w:t>）</w:t>
            </w:r>
            <w:r>
              <w:rPr>
                <w:rFonts w:hint="default" w:ascii="Times New Roman" w:hAnsi="Times New Roman" w:eastAsia="宋体" w:cs="Times New Roman"/>
                <w:b w:val="0"/>
                <w:bCs/>
                <w:color w:val="auto"/>
                <w:sz w:val="21"/>
                <w:szCs w:val="21"/>
                <w:u w:val="none" w:color="auto"/>
              </w:rPr>
              <w:t>地下水环境扩散：本项目液态危险物质泄漏或事故废水，通过厂区地面下渗至地下含水层并向下游运移，对下游地下水环境敏感目标造成风险事故影响。</w:t>
            </w:r>
          </w:p>
          <w:p w14:paraId="5A394DFF">
            <w:pPr>
              <w:jc w:val="left"/>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lang w:val="en-US" w:eastAsia="zh-CN"/>
              </w:rPr>
              <w:t>（4）土壤</w:t>
            </w:r>
            <w:r>
              <w:rPr>
                <w:rFonts w:hint="default" w:ascii="Times New Roman" w:hAnsi="Times New Roman" w:eastAsia="宋体" w:cs="Times New Roman"/>
                <w:b w:val="0"/>
                <w:bCs/>
                <w:color w:val="auto"/>
                <w:sz w:val="21"/>
                <w:szCs w:val="21"/>
                <w:u w:val="none" w:color="auto"/>
              </w:rPr>
              <w:t>环境扩散：本项目液态危险物质泄漏或事故废水，</w:t>
            </w:r>
            <w:r>
              <w:rPr>
                <w:rFonts w:hint="default" w:ascii="Times New Roman" w:hAnsi="Times New Roman" w:eastAsia="宋体" w:cs="Times New Roman"/>
                <w:b w:val="0"/>
                <w:bCs/>
                <w:color w:val="auto"/>
                <w:sz w:val="21"/>
                <w:szCs w:val="21"/>
                <w:u w:val="none" w:color="auto"/>
                <w:lang w:val="en-US" w:eastAsia="zh-CN"/>
              </w:rPr>
              <w:t>漫流至周边土壤环境</w:t>
            </w:r>
            <w:r>
              <w:rPr>
                <w:rFonts w:hint="default" w:ascii="Times New Roman" w:hAnsi="Times New Roman" w:eastAsia="宋体" w:cs="Times New Roman"/>
                <w:b w:val="0"/>
                <w:bCs/>
                <w:color w:val="auto"/>
                <w:sz w:val="21"/>
                <w:szCs w:val="21"/>
                <w:u w:val="none" w:color="auto"/>
              </w:rPr>
              <w:t>，对</w:t>
            </w:r>
            <w:r>
              <w:rPr>
                <w:rFonts w:hint="default" w:ascii="Times New Roman" w:hAnsi="Times New Roman" w:eastAsia="宋体" w:cs="Times New Roman"/>
                <w:b w:val="0"/>
                <w:bCs/>
                <w:color w:val="auto"/>
                <w:sz w:val="21"/>
                <w:szCs w:val="21"/>
                <w:u w:val="none" w:color="auto"/>
                <w:lang w:val="en-US" w:eastAsia="zh-CN"/>
              </w:rPr>
              <w:t>项目周边土壤环境</w:t>
            </w:r>
            <w:r>
              <w:rPr>
                <w:rFonts w:hint="default" w:ascii="Times New Roman" w:hAnsi="Times New Roman" w:eastAsia="宋体" w:cs="Times New Roman"/>
                <w:b w:val="0"/>
                <w:bCs/>
                <w:color w:val="auto"/>
                <w:sz w:val="21"/>
                <w:szCs w:val="21"/>
                <w:u w:val="none" w:color="auto"/>
              </w:rPr>
              <w:t>造成风险事故影响。</w:t>
            </w:r>
          </w:p>
        </w:tc>
      </w:tr>
      <w:tr w14:paraId="08BBCB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951" w:type="dxa"/>
            <w:noWrap w:val="0"/>
            <w:vAlign w:val="center"/>
          </w:tcPr>
          <w:p w14:paraId="44E454E4">
            <w:pPr>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rPr>
              <w:t>风险防范措施要求</w:t>
            </w:r>
          </w:p>
        </w:tc>
        <w:tc>
          <w:tcPr>
            <w:tcW w:w="6577" w:type="dxa"/>
            <w:gridSpan w:val="4"/>
            <w:noWrap w:val="0"/>
            <w:vAlign w:val="center"/>
          </w:tcPr>
          <w:p w14:paraId="449BC32C">
            <w:pPr>
              <w:jc w:val="left"/>
              <w:rPr>
                <w:rFonts w:hint="eastAsia" w:ascii="Times New Roman" w:hAnsi="Times New Roman" w:eastAsia="宋体" w:cs="Times New Roman"/>
                <w:b w:val="0"/>
                <w:bCs/>
                <w:color w:val="auto"/>
                <w:sz w:val="21"/>
                <w:szCs w:val="21"/>
                <w:u w:val="none" w:color="auto"/>
                <w:lang w:eastAsia="zh-CN"/>
              </w:rPr>
            </w:pPr>
            <w:r>
              <w:rPr>
                <w:rFonts w:hint="default" w:ascii="Times New Roman" w:hAnsi="Times New Roman" w:eastAsia="宋体" w:cs="Times New Roman"/>
                <w:b w:val="0"/>
                <w:bCs/>
                <w:color w:val="auto"/>
                <w:sz w:val="21"/>
                <w:szCs w:val="21"/>
                <w:u w:val="none" w:color="auto"/>
              </w:rPr>
              <w:t>编制突发环境事故应急预案，根据预案要求，公司应设置专门的应急救 援组织机构、配备管理人员；制定事故处理预案；购置相应的应急物资等；火灾风险防范措施：设置事故池，并设切换阀，确保消防废水全部进入事故池，不流出厂外；火灾产大量有毒有害烟气时，制定疏散路线，制定疏散及自救应急计划，确保安全疏散</w:t>
            </w:r>
            <w:r>
              <w:rPr>
                <w:rFonts w:hint="eastAsia" w:ascii="Times New Roman" w:hAnsi="Times New Roman" w:eastAsia="宋体" w:cs="Times New Roman"/>
                <w:b w:val="0"/>
                <w:bCs/>
                <w:color w:val="auto"/>
                <w:sz w:val="21"/>
                <w:szCs w:val="21"/>
                <w:u w:val="none" w:color="auto"/>
                <w:lang w:eastAsia="zh-CN"/>
              </w:rPr>
              <w:t>。</w:t>
            </w:r>
          </w:p>
        </w:tc>
      </w:tr>
      <w:bookmarkEnd w:id="377"/>
      <w:bookmarkEnd w:id="378"/>
      <w:bookmarkEnd w:id="379"/>
      <w:bookmarkEnd w:id="380"/>
      <w:bookmarkEnd w:id="381"/>
      <w:bookmarkEnd w:id="382"/>
    </w:tbl>
    <w:p w14:paraId="6BE249F6">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bookmarkStart w:id="424" w:name="_Toc187011386"/>
      <w:bookmarkStart w:id="425" w:name="_Toc188005932"/>
      <w:bookmarkStart w:id="426" w:name="_Toc191240090"/>
    </w:p>
    <w:p w14:paraId="4FEA6964">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427" w:name="_Toc3249"/>
      <w:r>
        <w:rPr>
          <w:rFonts w:hint="default" w:ascii="Times New Roman" w:hAnsi="Times New Roman" w:eastAsia="宋体" w:cs="Times New Roman"/>
          <w:color w:val="000000" w:themeColor="text1"/>
          <w:u w:val="none" w:color="auto"/>
          <w14:textFill>
            <w14:solidFill>
              <w14:schemeClr w14:val="tx1"/>
            </w14:solidFill>
          </w14:textFill>
        </w:rPr>
        <w:t>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章 污染防治措施可行性分析</w:t>
      </w:r>
      <w:bookmarkEnd w:id="424"/>
      <w:bookmarkEnd w:id="425"/>
      <w:bookmarkEnd w:id="426"/>
      <w:bookmarkEnd w:id="427"/>
    </w:p>
    <w:p w14:paraId="6ED9FF83">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30"/>
          <w:u w:val="none" w:color="auto"/>
          <w14:textFill>
            <w14:solidFill>
              <w14:schemeClr w14:val="tx1"/>
            </w14:solidFill>
          </w14:textFill>
        </w:rPr>
      </w:pPr>
      <w:bookmarkStart w:id="428" w:name="_Toc144276987"/>
      <w:bookmarkStart w:id="429" w:name="_Toc164200876"/>
      <w:bookmarkStart w:id="430" w:name="_Toc28244"/>
      <w:bookmarkStart w:id="431" w:name="_Toc187011387"/>
      <w:bookmarkStart w:id="432" w:name="_Toc144236857"/>
      <w:bookmarkStart w:id="433" w:name="_Toc102658237"/>
      <w:r>
        <w:rPr>
          <w:rFonts w:hint="default" w:ascii="Times New Roman" w:hAnsi="Times New Roman" w:eastAsia="宋体" w:cs="Times New Roman"/>
          <w:color w:val="000000" w:themeColor="text1"/>
          <w:szCs w:val="30"/>
          <w:u w:val="none" w:color="auto"/>
          <w:lang w:eastAsia="zh-CN"/>
          <w14:textFill>
            <w14:solidFill>
              <w14:schemeClr w14:val="tx1"/>
            </w14:solidFill>
          </w14:textFill>
        </w:rPr>
        <w:t>8.</w:t>
      </w:r>
      <w:r>
        <w:rPr>
          <w:rFonts w:hint="default" w:ascii="Times New Roman" w:hAnsi="Times New Roman" w:eastAsia="宋体" w:cs="Times New Roman"/>
          <w:color w:val="000000" w:themeColor="text1"/>
          <w:szCs w:val="30"/>
          <w:u w:val="none" w:color="auto"/>
          <w14:textFill>
            <w14:solidFill>
              <w14:schemeClr w14:val="tx1"/>
            </w14:solidFill>
          </w14:textFill>
        </w:rPr>
        <w:t>1 施工期污染防治措施分析</w:t>
      </w:r>
      <w:bookmarkEnd w:id="428"/>
      <w:bookmarkEnd w:id="429"/>
      <w:bookmarkEnd w:id="430"/>
      <w:bookmarkEnd w:id="431"/>
      <w:bookmarkEnd w:id="432"/>
    </w:p>
    <w:p w14:paraId="3C2C2AC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28"/>
          <w:u w:val="none" w:color="auto"/>
          <w14:textFill>
            <w14:solidFill>
              <w14:schemeClr w14:val="tx1"/>
            </w14:solidFill>
          </w14:textFill>
        </w:rPr>
      </w:pPr>
      <w:bookmarkStart w:id="434" w:name="_Toc164200877"/>
      <w:bookmarkStart w:id="435" w:name="_Toc144236858"/>
      <w:bookmarkStart w:id="436" w:name="_Toc144276988"/>
      <w:bookmarkStart w:id="437" w:name="_Toc187011388"/>
      <w:bookmarkStart w:id="438" w:name="_Toc25286"/>
      <w:r>
        <w:rPr>
          <w:rFonts w:hint="default" w:ascii="Times New Roman" w:hAnsi="Times New Roman" w:eastAsia="宋体" w:cs="Times New Roman"/>
          <w:color w:val="000000" w:themeColor="text1"/>
          <w:szCs w:val="28"/>
          <w:u w:val="none" w:color="auto"/>
          <w:lang w:eastAsia="zh-CN"/>
          <w14:textFill>
            <w14:solidFill>
              <w14:schemeClr w14:val="tx1"/>
            </w14:solidFill>
          </w14:textFill>
        </w:rPr>
        <w:t>8.</w:t>
      </w:r>
      <w:r>
        <w:rPr>
          <w:rFonts w:hint="default" w:ascii="Times New Roman" w:hAnsi="Times New Roman" w:eastAsia="宋体" w:cs="Times New Roman"/>
          <w:color w:val="000000" w:themeColor="text1"/>
          <w:szCs w:val="28"/>
          <w:u w:val="none" w:color="auto"/>
          <w14:textFill>
            <w14:solidFill>
              <w14:schemeClr w14:val="tx1"/>
            </w14:solidFill>
          </w14:textFill>
        </w:rPr>
        <w:t>1.1 施工期大气污染防治措施分析</w:t>
      </w:r>
      <w:bookmarkEnd w:id="434"/>
      <w:bookmarkEnd w:id="435"/>
      <w:bookmarkEnd w:id="436"/>
      <w:bookmarkEnd w:id="437"/>
      <w:bookmarkEnd w:id="438"/>
    </w:p>
    <w:p w14:paraId="24081966">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本项目在施工阶段对周围大气环境产生的影响主要因素有：一是装修阶段产生的装修废气；二是机械设备焊接时会产生少量焊接废气。</w:t>
      </w:r>
    </w:p>
    <w:p w14:paraId="1A321C42">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）装修废气</w:t>
      </w:r>
    </w:p>
    <w:p w14:paraId="1219556E">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项目室内装修阶段</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主要是厂房内外墙面粉饰，</w:t>
      </w:r>
      <w:r>
        <w:rPr>
          <w:rFonts w:hint="default" w:ascii="Times New Roman" w:hAnsi="Times New Roman" w:eastAsia="宋体" w:cs="Times New Roman"/>
          <w:color w:val="000000" w:themeColor="text1"/>
          <w:u w:val="none" w:color="auto"/>
          <w14:textFill>
            <w14:solidFill>
              <w14:schemeClr w14:val="tx1"/>
            </w14:solidFill>
          </w14:textFill>
        </w:rPr>
        <w:t>对环境产生污染的材料主要是油漆</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其主要污染因子为甲苯和二甲苯</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本环评建议采用环保型油漆和装修材料</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项目在标准厂房内进行装修，装修工程小，工期短，装修产生的废气对周边大气环境产生的影响很小。</w:t>
      </w:r>
    </w:p>
    <w:p w14:paraId="1449A6A8">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（2）焊接烟尘</w:t>
      </w:r>
    </w:p>
    <w:p w14:paraId="2FF401D9">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期设备的安装会产生焊接废气，其特点是排放量小，且属于间断无组织性排放，由于其这一特点，加之施工场地开阔，扩散条件良好，因此对其不加处理也可以达到相应的排放标准。但为了进一步降低焊接烟尘对环境的影响，在施工期内应多加注意设备的维护，使其能够正常的运行，提高设备的利用率，在施工现场设置移动式焊烟净化装置和吸气罩，将焊烟收集处理后排放。</w:t>
      </w:r>
    </w:p>
    <w:p w14:paraId="05727E4C">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）建设单位应设置专门的环保机构和管理人员，增加施工场地环境保护管理人员，制定环境保护管理制度，加强环境监测工作，控制和降低污染物的产生与排放，及时发现问题并予以处理解决。</w:t>
      </w:r>
    </w:p>
    <w:p w14:paraId="35E77879">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采取上述措施后，本项目施工期对环境空气影响较小，其措施可行。</w:t>
      </w:r>
    </w:p>
    <w:p w14:paraId="0C057F1F">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28"/>
          <w:u w:val="none" w:color="auto"/>
          <w14:textFill>
            <w14:solidFill>
              <w14:schemeClr w14:val="tx1"/>
            </w14:solidFill>
          </w14:textFill>
        </w:rPr>
      </w:pPr>
      <w:bookmarkStart w:id="439" w:name="_Toc13262"/>
      <w:bookmarkStart w:id="440" w:name="_Toc187011389"/>
      <w:bookmarkStart w:id="441" w:name="_Toc164200878"/>
      <w:bookmarkStart w:id="442" w:name="_Toc144276989"/>
      <w:bookmarkStart w:id="443" w:name="_Toc144236859"/>
      <w:r>
        <w:rPr>
          <w:rFonts w:hint="default" w:ascii="Times New Roman" w:hAnsi="Times New Roman" w:eastAsia="宋体" w:cs="Times New Roman"/>
          <w:color w:val="000000" w:themeColor="text1"/>
          <w:szCs w:val="28"/>
          <w:u w:val="none" w:color="auto"/>
          <w:lang w:eastAsia="zh-CN"/>
          <w14:textFill>
            <w14:solidFill>
              <w14:schemeClr w14:val="tx1"/>
            </w14:solidFill>
          </w14:textFill>
        </w:rPr>
        <w:t>8.</w:t>
      </w:r>
      <w:r>
        <w:rPr>
          <w:rFonts w:hint="default" w:ascii="Times New Roman" w:hAnsi="Times New Roman" w:eastAsia="宋体" w:cs="Times New Roman"/>
          <w:color w:val="000000" w:themeColor="text1"/>
          <w:szCs w:val="28"/>
          <w:u w:val="none" w:color="auto"/>
          <w14:textFill>
            <w14:solidFill>
              <w14:schemeClr w14:val="tx1"/>
            </w14:solidFill>
          </w14:textFill>
        </w:rPr>
        <w:t>1.2 施工期水污染防治措施分析</w:t>
      </w:r>
      <w:bookmarkEnd w:id="439"/>
      <w:bookmarkEnd w:id="440"/>
      <w:bookmarkEnd w:id="441"/>
      <w:bookmarkEnd w:id="442"/>
      <w:bookmarkEnd w:id="443"/>
    </w:p>
    <w:p w14:paraId="52642C12">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施工期废水主要包括主要为施工人员生活类污水。施工期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w:t>
      </w:r>
      <w:r>
        <w:rPr>
          <w:rFonts w:hint="default" w:ascii="Times New Roman" w:hAnsi="Times New Roman" w:eastAsia="宋体" w:cs="Times New Roman"/>
          <w:color w:val="000000" w:themeColor="text1"/>
          <w:u w:val="none" w:color="auto"/>
          <w14:textFill>
            <w14:solidFill>
              <w14:schemeClr w14:val="tx1"/>
            </w14:solidFill>
          </w14:textFill>
        </w:rPr>
        <w:t>依托</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园区化粪池处理后排入平江高新区污水处理厂深度处理</w:t>
      </w:r>
      <w:r>
        <w:rPr>
          <w:rFonts w:hint="default" w:ascii="Times New Roman" w:hAnsi="Times New Roman" w:eastAsia="宋体" w:cs="Times New Roman"/>
          <w:color w:val="000000" w:themeColor="text1"/>
          <w:u w:val="none" w:color="auto"/>
          <w14:textFill>
            <w14:solidFill>
              <w14:schemeClr w14:val="tx1"/>
            </w14:solidFill>
          </w14:textFill>
        </w:rPr>
        <w:t>。不外排，对环境影响较小，其措施可行。</w:t>
      </w:r>
    </w:p>
    <w:p w14:paraId="67FB97D0">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28"/>
          <w:u w:val="none" w:color="auto"/>
          <w14:textFill>
            <w14:solidFill>
              <w14:schemeClr w14:val="tx1"/>
            </w14:solidFill>
          </w14:textFill>
        </w:rPr>
      </w:pPr>
      <w:bookmarkStart w:id="444" w:name="_Toc187011390"/>
      <w:bookmarkStart w:id="445" w:name="_Toc1615"/>
      <w:bookmarkStart w:id="446" w:name="_Toc164200879"/>
      <w:bookmarkStart w:id="447" w:name="_Toc144236860"/>
      <w:bookmarkStart w:id="448" w:name="_Toc144276990"/>
      <w:r>
        <w:rPr>
          <w:rFonts w:hint="default" w:ascii="Times New Roman" w:hAnsi="Times New Roman" w:eastAsia="宋体" w:cs="Times New Roman"/>
          <w:color w:val="000000" w:themeColor="text1"/>
          <w:szCs w:val="28"/>
          <w:u w:val="none" w:color="auto"/>
          <w:lang w:eastAsia="zh-CN"/>
          <w14:textFill>
            <w14:solidFill>
              <w14:schemeClr w14:val="tx1"/>
            </w14:solidFill>
          </w14:textFill>
        </w:rPr>
        <w:t>8.</w:t>
      </w:r>
      <w:r>
        <w:rPr>
          <w:rFonts w:hint="default" w:ascii="Times New Roman" w:hAnsi="Times New Roman" w:eastAsia="宋体" w:cs="Times New Roman"/>
          <w:color w:val="000000" w:themeColor="text1"/>
          <w:szCs w:val="28"/>
          <w:u w:val="none" w:color="auto"/>
          <w14:textFill>
            <w14:solidFill>
              <w14:schemeClr w14:val="tx1"/>
            </w14:solidFill>
          </w14:textFill>
        </w:rPr>
        <w:t>1.3 施工期噪声污染防治措施分析</w:t>
      </w:r>
      <w:bookmarkEnd w:id="444"/>
      <w:bookmarkEnd w:id="445"/>
      <w:bookmarkEnd w:id="446"/>
      <w:bookmarkEnd w:id="447"/>
      <w:bookmarkEnd w:id="448"/>
    </w:p>
    <w:p w14:paraId="39FBE845">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为确保区域声环境质量，本环评提出以下施工期噪声污染防治措施：</w:t>
      </w:r>
    </w:p>
    <w:p w14:paraId="100A7384">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（1）为减少项目在施工期间所使用的施工机械、运输车辆产生的噪声对周边居民区生活环境的影响，施工单位应采用先进的低噪声施工机械，并加强施工机械的维护保养，使机械处于最佳工作状况。</w:t>
      </w:r>
    </w:p>
    <w:p w14:paraId="7BFE3743">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（2）统筹安排好施工时间，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施工在</w:t>
      </w:r>
      <w:r>
        <w:rPr>
          <w:rFonts w:hint="default" w:ascii="Times New Roman" w:hAnsi="Times New Roman" w:eastAsia="宋体" w:cs="Times New Roman"/>
          <w:color w:val="000000" w:themeColor="text1"/>
          <w:u w:val="none" w:color="auto"/>
          <w14:textFill>
            <w14:solidFill>
              <w14:schemeClr w14:val="tx1"/>
            </w14:solidFill>
          </w14:textFill>
        </w:rPr>
        <w:t>白天进行。根据施工作业各阶段的具体情况，尽量避免高噪声机械设备集中使用或几台声功率相同的设备同时作业，以减少作业时的噪声声级。同时，要求施工单位严格执行《建筑施工场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12523-2025）中的规定。</w:t>
      </w:r>
    </w:p>
    <w:p w14:paraId="629AFAE7">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（3）建设施工单位若需要在夜间进行施工，必须到环境主管部门申报，办理夜间施工许可证，同时张贴告示，通知周围居民和公众。</w:t>
      </w:r>
    </w:p>
    <w:p w14:paraId="0F0BDC6B">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）进出施工场界的物料运输车辆需限制行驶速度，并禁鸣喇叭，以最大程度减小运输车辆噪声对周边敏感目标的影响。</w:t>
      </w:r>
    </w:p>
    <w:p w14:paraId="55139BFC">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）在施工期间，加强施工管理，落实各项减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振</w:t>
      </w:r>
      <w:r>
        <w:rPr>
          <w:rFonts w:hint="default" w:ascii="Times New Roman" w:hAnsi="Times New Roman" w:eastAsia="宋体" w:cs="Times New Roman"/>
          <w:color w:val="000000" w:themeColor="text1"/>
          <w:u w:val="none" w:color="auto"/>
          <w14:textFill>
            <w14:solidFill>
              <w14:schemeClr w14:val="tx1"/>
            </w14:solidFill>
          </w14:textFill>
        </w:rPr>
        <w:t>降噪措施。</w:t>
      </w:r>
    </w:p>
    <w:p w14:paraId="6C53E557">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项目施工主要是厂房内装修和设备安装，施工周期短，</w:t>
      </w:r>
      <w:r>
        <w:rPr>
          <w:rFonts w:hint="default" w:ascii="Times New Roman" w:hAnsi="Times New Roman" w:eastAsia="宋体" w:cs="Times New Roman"/>
          <w:color w:val="000000" w:themeColor="text1"/>
          <w:u w:val="none" w:color="auto"/>
          <w14:textFill>
            <w14:solidFill>
              <w14:schemeClr w14:val="tx1"/>
            </w14:solidFill>
          </w14:textFill>
        </w:rPr>
        <w:t>施工单位按照本环评提出的施工噪声控制措施进行施工后，不会对厂界周边的声环境敏感目标造成明显的噪声污染影响</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其措施可行。</w:t>
      </w:r>
    </w:p>
    <w:p w14:paraId="69922FC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28"/>
          <w:u w:val="none" w:color="auto"/>
          <w14:textFill>
            <w14:solidFill>
              <w14:schemeClr w14:val="tx1"/>
            </w14:solidFill>
          </w14:textFill>
        </w:rPr>
      </w:pPr>
      <w:bookmarkStart w:id="449" w:name="_Toc164200880"/>
      <w:bookmarkStart w:id="450" w:name="_Toc3054"/>
      <w:bookmarkStart w:id="451" w:name="_Toc187011391"/>
      <w:bookmarkStart w:id="452" w:name="_Toc144236861"/>
      <w:bookmarkStart w:id="453" w:name="_Toc144276991"/>
      <w:r>
        <w:rPr>
          <w:rFonts w:hint="default" w:ascii="Times New Roman" w:hAnsi="Times New Roman" w:eastAsia="宋体" w:cs="Times New Roman"/>
          <w:color w:val="000000" w:themeColor="text1"/>
          <w:szCs w:val="28"/>
          <w:u w:val="none" w:color="auto"/>
          <w:lang w:eastAsia="zh-CN"/>
          <w14:textFill>
            <w14:solidFill>
              <w14:schemeClr w14:val="tx1"/>
            </w14:solidFill>
          </w14:textFill>
        </w:rPr>
        <w:t>8.</w:t>
      </w:r>
      <w:r>
        <w:rPr>
          <w:rFonts w:hint="default" w:ascii="Times New Roman" w:hAnsi="Times New Roman" w:eastAsia="宋体" w:cs="Times New Roman"/>
          <w:color w:val="000000" w:themeColor="text1"/>
          <w:szCs w:val="28"/>
          <w:u w:val="none" w:color="auto"/>
          <w14:textFill>
            <w14:solidFill>
              <w14:schemeClr w14:val="tx1"/>
            </w14:solidFill>
          </w14:textFill>
        </w:rPr>
        <w:t>1.4 施工期固体废物污染防治措施分析</w:t>
      </w:r>
      <w:bookmarkEnd w:id="449"/>
      <w:bookmarkEnd w:id="450"/>
      <w:bookmarkEnd w:id="451"/>
      <w:bookmarkEnd w:id="452"/>
      <w:bookmarkEnd w:id="453"/>
    </w:p>
    <w:p w14:paraId="09467252">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本项目施工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仅包含装修和设备安装，施工期</w:t>
      </w:r>
      <w:r>
        <w:rPr>
          <w:rFonts w:hint="default" w:ascii="Times New Roman" w:hAnsi="Times New Roman" w:eastAsia="宋体" w:cs="Times New Roman"/>
          <w:color w:val="000000" w:themeColor="text1"/>
          <w:u w:val="none" w:color="auto"/>
          <w14:textFill>
            <w14:solidFill>
              <w14:schemeClr w14:val="tx1"/>
            </w14:solidFill>
          </w14:textFill>
        </w:rPr>
        <w:t>不产生弃土</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u-ES"/>
          <w14:textFill>
            <w14:solidFill>
              <w14:schemeClr w14:val="tx1"/>
            </w14:solidFill>
          </w14:textFill>
        </w:rPr>
        <w:t>施工期所产生的固体废物为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r>
        <w:rPr>
          <w:rFonts w:hint="default" w:ascii="Times New Roman" w:hAnsi="Times New Roman" w:eastAsia="宋体" w:cs="Times New Roman"/>
          <w:color w:val="000000" w:themeColor="text1"/>
          <w:u w:val="none" w:color="auto"/>
          <w:lang w:val="eu-ES"/>
          <w14:textFill>
            <w14:solidFill>
              <w14:schemeClr w14:val="tx1"/>
            </w14:solidFill>
          </w14:textFill>
        </w:rPr>
        <w:t>、施工人员生活垃圾。</w:t>
      </w:r>
    </w:p>
    <w:p w14:paraId="2816D960">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p>
    <w:p w14:paraId="1DDFA62A">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装修和设备安装产生的固体废物</w:t>
      </w:r>
      <w:r>
        <w:rPr>
          <w:rFonts w:hint="default" w:ascii="Times New Roman" w:hAnsi="Times New Roman" w:eastAsia="宋体" w:cs="Times New Roman"/>
          <w:color w:val="000000" w:themeColor="text1"/>
          <w:u w:val="none" w:color="auto"/>
          <w:lang w:val="eu-ES"/>
          <w14:textFill>
            <w14:solidFill>
              <w14:schemeClr w14:val="tx1"/>
            </w14:solidFill>
          </w14:textFill>
        </w:rPr>
        <w:t>中可回收废料尽量由施工单位回收利用</w:t>
      </w:r>
      <w:r>
        <w:rPr>
          <w:rFonts w:hint="default" w:ascii="Times New Roman" w:hAnsi="Times New Roman" w:eastAsia="宋体" w:cs="Times New Roman"/>
          <w:color w:val="000000" w:themeColor="text1"/>
          <w:u w:val="none" w:color="auto"/>
          <w:lang w:val="eu-ES" w:eastAsia="zh-CN"/>
          <w14:textFill>
            <w14:solidFill>
              <w14:schemeClr w14:val="tx1"/>
            </w14:solidFill>
          </w14:textFill>
        </w:rPr>
        <w:t>，</w:t>
      </w:r>
      <w:r>
        <w:rPr>
          <w:rFonts w:hint="default" w:ascii="Times New Roman" w:hAnsi="Times New Roman" w:eastAsia="宋体" w:cs="Times New Roman"/>
          <w:color w:val="000000" w:themeColor="text1"/>
          <w:u w:val="none" w:color="auto"/>
          <w:lang w:val="eu-ES"/>
          <w14:textFill>
            <w14:solidFill>
              <w14:schemeClr w14:val="tx1"/>
            </w14:solidFill>
          </w14:textFill>
        </w:rPr>
        <w:t>其他无法利用的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固体废物</w:t>
      </w:r>
      <w:r>
        <w:rPr>
          <w:rFonts w:hint="default" w:ascii="Times New Roman" w:hAnsi="Times New Roman" w:eastAsia="宋体" w:cs="Times New Roman"/>
          <w:color w:val="000000" w:themeColor="text1"/>
          <w:u w:val="none" w:color="auto"/>
          <w14:textFill>
            <w14:solidFill>
              <w14:schemeClr w14:val="tx1"/>
            </w14:solidFill>
          </w14:textFill>
        </w:rPr>
        <w:t>送往指定的消纳场</w:t>
      </w:r>
      <w:r>
        <w:rPr>
          <w:rFonts w:hint="default" w:ascii="Times New Roman" w:hAnsi="Times New Roman" w:eastAsia="宋体" w:cs="Times New Roman"/>
          <w:color w:val="000000" w:themeColor="text1"/>
          <w:u w:val="none" w:color="auto"/>
          <w:lang w:val="eu-ES"/>
          <w14:textFill>
            <w14:solidFill>
              <w14:schemeClr w14:val="tx1"/>
            </w14:solidFill>
          </w14:textFill>
        </w:rPr>
        <w:t>，不随意丢弃。</w:t>
      </w:r>
    </w:p>
    <w:p w14:paraId="1C1E553C">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（2）生活垃圾</w:t>
      </w:r>
    </w:p>
    <w:p w14:paraId="24E24EE4">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生活垃圾经集中收集后运至环卫部门指定的地点统一处置。</w:t>
      </w:r>
    </w:p>
    <w:p w14:paraId="3711A277">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按照本环评提出的固体废物处置措施对项目施工期产生的固体废物进行处理后，不会对周边环境产生明显的污染影响，其措施可行。</w:t>
      </w:r>
    </w:p>
    <w:bookmarkEnd w:id="433"/>
    <w:p w14:paraId="3A927EE1">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54" w:name="_Toc187011392"/>
      <w:bookmarkStart w:id="455" w:name="_Toc23010"/>
      <w:bookmarkStart w:id="456" w:name="_Toc144236862"/>
      <w:bookmarkStart w:id="457" w:name="_Toc144276992"/>
      <w:bookmarkStart w:id="458" w:name="_Toc164200881"/>
      <w:bookmarkStart w:id="459" w:name="_Toc102658238"/>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2 运营期污染防治措施分析</w:t>
      </w:r>
      <w:bookmarkEnd w:id="454"/>
      <w:bookmarkEnd w:id="455"/>
      <w:bookmarkEnd w:id="456"/>
      <w:bookmarkEnd w:id="457"/>
      <w:bookmarkEnd w:id="458"/>
      <w:bookmarkEnd w:id="459"/>
    </w:p>
    <w:p w14:paraId="211A5AC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60" w:name="_Toc4356"/>
      <w:bookmarkStart w:id="461" w:name="_Toc187011393"/>
      <w:bookmarkStart w:id="462" w:name="_Toc164200882"/>
      <w:bookmarkStart w:id="463" w:name="_Toc144276993"/>
      <w:bookmarkStart w:id="464" w:name="_Toc144236863"/>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2.1 运营期大气污染防治措施分析</w:t>
      </w:r>
      <w:bookmarkEnd w:id="460"/>
      <w:bookmarkEnd w:id="461"/>
      <w:bookmarkEnd w:id="462"/>
      <w:bookmarkEnd w:id="463"/>
      <w:bookmarkEnd w:id="464"/>
    </w:p>
    <w:p w14:paraId="0B1A34E1">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2.1.1 废气收集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治理</w:t>
      </w:r>
      <w:r>
        <w:rPr>
          <w:rFonts w:hint="default" w:ascii="Times New Roman" w:hAnsi="Times New Roman" w:eastAsia="宋体" w:cs="Times New Roman"/>
          <w:color w:val="000000" w:themeColor="text1"/>
          <w:u w:val="none" w:color="auto"/>
          <w14:textFill>
            <w14:solidFill>
              <w14:schemeClr w14:val="tx1"/>
            </w14:solidFill>
          </w14:textFill>
        </w:rPr>
        <w:t>方式</w:t>
      </w:r>
    </w:p>
    <w:p w14:paraId="076B5D6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原料输运过程中容器全程密闭</w:t>
      </w:r>
      <w:r>
        <w:rPr>
          <w:rFonts w:hint="default" w:ascii="Times New Roman" w:hAnsi="Times New Roman" w:eastAsia="宋体" w:cs="Times New Roman"/>
          <w:color w:val="000000" w:themeColor="text1"/>
          <w:u w:val="none" w:color="auto"/>
          <w14:textFill>
            <w14:solidFill>
              <w14:schemeClr w14:val="tx1"/>
            </w14:solidFill>
          </w14:textFill>
        </w:rPr>
        <w:t>；</w:t>
      </w:r>
    </w:p>
    <w:p w14:paraId="4BC4F41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废弃油脂加工产生的废气</w:t>
      </w:r>
      <w:r>
        <w:rPr>
          <w:rFonts w:hint="default" w:ascii="Times New Roman" w:hAnsi="Times New Roman" w:eastAsia="宋体" w:cs="Times New Roman"/>
          <w:color w:val="000000" w:themeColor="text1"/>
          <w:u w:val="none" w:color="auto"/>
          <w14:textFill>
            <w14:solidFill>
              <w14:schemeClr w14:val="tx1"/>
            </w14:solidFill>
          </w14:textFill>
        </w:rPr>
        <w:t>采用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喷淋塔+过滤棉+二级活性炭</w:t>
      </w:r>
      <w:r>
        <w:rPr>
          <w:rFonts w:hint="default" w:ascii="Times New Roman" w:hAnsi="Times New Roman" w:eastAsia="宋体" w:cs="Times New Roman"/>
          <w:color w:val="000000" w:themeColor="text1"/>
          <w:u w:val="none" w:color="auto"/>
          <w14:textFill>
            <w14:solidFill>
              <w14:schemeClr w14:val="tx1"/>
            </w14:solidFill>
          </w14:textFill>
        </w:rPr>
        <w:t>处理后通过DA00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排放。</w:t>
      </w:r>
    </w:p>
    <w:p w14:paraId="5DD5BBB3">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2.1.2 废气治理措施</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分析</w:t>
      </w:r>
    </w:p>
    <w:p w14:paraId="18C5828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原料运输环节</w:t>
      </w:r>
    </w:p>
    <w:p w14:paraId="15FDA4F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原料输运采用密闭收运车，密闭运输能有效阻隔废气逸散。</w:t>
      </w:r>
    </w:p>
    <w:p w14:paraId="3C66D67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生产及贮存环节</w:t>
      </w:r>
    </w:p>
    <w:p w14:paraId="494B0F5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及</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成品油储罐呼吸产生的废气，经收集汇入喷淋塔+过滤棉+二级活性炭</w:t>
      </w:r>
      <w:r>
        <w:rPr>
          <w:rFonts w:hint="default" w:ascii="Times New Roman" w:hAnsi="Times New Roman" w:eastAsia="宋体" w:cs="Times New Roman"/>
          <w:color w:val="000000" w:themeColor="text1"/>
          <w:u w:val="none" w:color="auto"/>
          <w14:textFill>
            <w14:solidFill>
              <w14:schemeClr w14:val="tx1"/>
            </w14:solidFill>
          </w14:textFill>
        </w:rPr>
        <w:t>处理后通过DA00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排放</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主要污染物为氨气、硫化氢、臭气浓度、非甲烷总烃。</w:t>
      </w:r>
    </w:p>
    <w:p w14:paraId="22FCDE7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1）恶臭气体</w:t>
      </w:r>
    </w:p>
    <w:p w14:paraId="23F2D0BA">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氨气、硫化氢等恶臭气体易溶于水，通过水喷淋塔，废气与</w:t>
      </w:r>
      <w:r>
        <w:rPr>
          <w:rFonts w:hint="default" w:ascii="Times New Roman" w:hAnsi="Times New Roman" w:eastAsia="宋体" w:cs="Times New Roman"/>
          <w:color w:val="000000" w:themeColor="text1"/>
          <w:u w:val="none" w:color="auto"/>
          <w14:textFill>
            <w14:solidFill>
              <w14:schemeClr w14:val="tx1"/>
            </w14:solidFill>
          </w14:textFill>
        </w:rPr>
        <w:t>自上而下喷淋的水雾充分接触，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被水溶液溶解吸收。该技术对氨气、硫化氢等恶臭气体的</w:t>
      </w:r>
      <w:r>
        <w:rPr>
          <w:rFonts w:hint="default" w:ascii="Times New Roman" w:hAnsi="Times New Roman" w:eastAsia="宋体" w:cs="Times New Roman"/>
          <w:color w:val="000000" w:themeColor="text1"/>
          <w:u w:val="none" w:color="auto"/>
          <w14:textFill>
            <w14:solidFill>
              <w14:schemeClr w14:val="tx1"/>
            </w14:solidFill>
          </w14:textFill>
        </w:rPr>
        <w:t>吸收效率可达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30</w:t>
      </w:r>
      <w:r>
        <w:rPr>
          <w:rFonts w:hint="default" w:ascii="Times New Roman" w:hAnsi="Times New Roman" w:eastAsia="宋体" w:cs="Times New Roman"/>
          <w:color w:val="000000" w:themeColor="text1"/>
          <w:u w:val="none" w:color="auto"/>
          <w14:textFill>
            <w14:solidFill>
              <w14:schemeClr w14:val="tx1"/>
            </w14:solidFill>
          </w14:textFill>
        </w:rPr>
        <w:t>%以上</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活性炭对氨气、硫化氢等恶臭气体的吸收效率约15%左右。氨气、硫化氢等恶臭气体经过喷淋塔+过滤棉+二级活性炭处理，综合处理效率约50%。</w:t>
      </w:r>
    </w:p>
    <w:p w14:paraId="6B8EA096">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根据前文工程分析可知</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生产车间有组织排放的恶臭气体</w:t>
      </w:r>
      <w:r>
        <w:rPr>
          <w:rFonts w:hint="default" w:ascii="Times New Roman" w:hAnsi="Times New Roman" w:eastAsia="宋体" w:cs="Times New Roman"/>
          <w:color w:val="000000" w:themeColor="text1"/>
          <w:u w:val="none" w:color="auto"/>
          <w14:textFill>
            <w14:solidFill>
              <w14:schemeClr w14:val="tx1"/>
            </w14:solidFill>
          </w14:textFill>
        </w:rPr>
        <w:t>采用采用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喷淋塔+过滤棉+二级活性炭</w:t>
      </w:r>
      <w:r>
        <w:rPr>
          <w:rFonts w:hint="default" w:ascii="Times New Roman" w:hAnsi="Times New Roman" w:eastAsia="宋体" w:cs="Times New Roman"/>
          <w:color w:val="000000" w:themeColor="text1"/>
          <w:u w:val="none" w:color="auto"/>
          <w14:textFill>
            <w14:solidFill>
              <w14:schemeClr w14:val="tx1"/>
            </w14:solidFill>
          </w14:textFill>
        </w:rPr>
        <w:t>处理后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氨气排放速率0.04004 kg/h，硫化氢排放速率0.01044 kg/h，均满足《恶臭污染物排放标准》（GB 14554-93）相关</w:t>
      </w:r>
      <w:r>
        <w:rPr>
          <w:rFonts w:hint="default" w:ascii="Times New Roman" w:hAnsi="Times New Roman" w:eastAsia="宋体" w:cs="Times New Roman"/>
          <w:color w:val="000000" w:themeColor="text1"/>
          <w:u w:val="none" w:color="auto"/>
          <w14:textFill>
            <w14:solidFill>
              <w14:schemeClr w14:val="tx1"/>
            </w14:solidFill>
          </w14:textFill>
        </w:rPr>
        <w:t>排放限值</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要求。</w:t>
      </w:r>
      <w:r>
        <w:rPr>
          <w:rFonts w:hint="default" w:ascii="Times New Roman" w:hAnsi="Times New Roman" w:eastAsia="宋体" w:cs="Times New Roman"/>
          <w:color w:val="000000" w:themeColor="text1"/>
          <w:u w:val="none" w:color="auto"/>
          <w14:textFill>
            <w14:solidFill>
              <w14:schemeClr w14:val="tx1"/>
            </w14:solidFill>
          </w14:textFill>
        </w:rPr>
        <w:t>且</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处理工艺</w:t>
      </w:r>
      <w:r>
        <w:rPr>
          <w:rFonts w:hint="default" w:ascii="Times New Roman" w:hAnsi="Times New Roman" w:eastAsia="宋体" w:cs="Times New Roman"/>
          <w:color w:val="000000" w:themeColor="text1"/>
          <w:u w:val="none" w:color="auto"/>
          <w14:textFill>
            <w14:solidFill>
              <w14:schemeClr w14:val="tx1"/>
            </w14:solidFill>
          </w14:textFill>
        </w:rPr>
        <w:t>设备结构简单、运行成本低，符合工业规模化处理需求</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6D0EDD1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2）有机气体</w:t>
      </w:r>
    </w:p>
    <w:p w14:paraId="25B02117">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参照生态环境部《主要污染物总量减排核算技术指南（2022年修订）》</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表2-3 VOCs废气收集率和治理设施去除率通用系数</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核算，一次性活性炭吸附工艺按集中再生并活化、集中再生、不再生分类，对VOCs的处理效率分别为50%、30%、15%，对应的二级活性炭对VOCs的处理分别为75%、51%、27.75%。本项目使用不再生活性炭，因此，本项目二级活性炭对VOCs（以非甲烷总烃计）的处理效率为27.75%。</w:t>
      </w:r>
    </w:p>
    <w:p w14:paraId="55D5E35D">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根据前文工程分析可知</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生产车间有组织排放的有机气体</w:t>
      </w:r>
      <w:r>
        <w:rPr>
          <w:rFonts w:hint="default" w:ascii="Times New Roman" w:hAnsi="Times New Roman" w:eastAsia="宋体" w:cs="Times New Roman"/>
          <w:color w:val="000000" w:themeColor="text1"/>
          <w:u w:val="none" w:color="auto"/>
          <w14:textFill>
            <w14:solidFill>
              <w14:schemeClr w14:val="tx1"/>
            </w14:solidFill>
          </w14:textFill>
        </w:rPr>
        <w:t>采用采用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喷淋塔+过滤棉+二级活性炭</w:t>
      </w:r>
      <w:r>
        <w:rPr>
          <w:rFonts w:hint="default" w:ascii="Times New Roman" w:hAnsi="Times New Roman" w:eastAsia="宋体" w:cs="Times New Roman"/>
          <w:color w:val="000000" w:themeColor="text1"/>
          <w:u w:val="none" w:color="auto"/>
          <w14:textFill>
            <w14:solidFill>
              <w14:schemeClr w14:val="tx1"/>
            </w14:solidFill>
          </w14:textFill>
        </w:rPr>
        <w:t>处理后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非甲烷总烃排放速率0.01202 kg/h，排放浓度0.35365 mg/m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。满足《大气污染物综合排放标准》（GB 16297-1996）相关</w:t>
      </w:r>
      <w:r>
        <w:rPr>
          <w:rFonts w:hint="default" w:ascii="Times New Roman" w:hAnsi="Times New Roman" w:eastAsia="宋体" w:cs="Times New Roman"/>
          <w:color w:val="000000" w:themeColor="text1"/>
          <w:u w:val="none" w:color="auto"/>
          <w14:textFill>
            <w14:solidFill>
              <w14:schemeClr w14:val="tx1"/>
            </w14:solidFill>
          </w14:textFill>
        </w:rPr>
        <w:t>排放限值</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要求且处理工艺设备结构简单、运行成本低，符合工业规模化处理需求。</w:t>
      </w:r>
    </w:p>
    <w:p w14:paraId="1D0D0F22">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参照</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fldChar w:fldCharType="begin"/>
      </w:r>
      <w:r>
        <w:rPr>
          <w:rFonts w:hint="default" w:ascii="Times New Roman" w:hAnsi="Times New Roman" w:eastAsia="宋体" w:cs="Times New Roman"/>
          <w:color w:val="000000" w:themeColor="text1"/>
          <w:u w:val="none" w:color="auto"/>
          <w14:textFill>
            <w14:solidFill>
              <w14:schemeClr w14:val="tx1"/>
            </w14:solidFill>
          </w14:textFill>
        </w:rPr>
        <w:instrText xml:space="preserve"> HYPERLINK "https://www.mee.gov.cn/ywgz/fgbz/bz/bzwb/pwxk/202003/W020200304695456261270.pdf" </w:instrText>
      </w:r>
      <w:r>
        <w:rPr>
          <w:rFonts w:hint="default" w:ascii="Times New Roman" w:hAnsi="Times New Roman" w:eastAsia="宋体" w:cs="Times New Roman"/>
          <w:color w:val="000000" w:themeColor="text1"/>
          <w:u w:val="none" w:color="auto"/>
          <w14:textFill>
            <w14:solidFill>
              <w14:schemeClr w14:val="tx1"/>
            </w14:solidFill>
          </w14:textFill>
        </w:rPr>
        <w:fldChar w:fldCharType="separate"/>
      </w:r>
      <w:r>
        <w:rPr>
          <w:rFonts w:hint="default" w:ascii="Times New Roman" w:hAnsi="Times New Roman" w:eastAsia="宋体" w:cs="Times New Roman"/>
          <w:color w:val="000000" w:themeColor="text1"/>
          <w:u w:val="none" w:color="auto"/>
          <w14:textFill>
            <w14:solidFill>
              <w14:schemeClr w14:val="tx1"/>
            </w14:solidFill>
          </w14:textFill>
        </w:rPr>
        <w:t>排污许可证申请与核发技术规范 环境卫生管理业</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（HJ 1106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2020）</w:t>
      </w:r>
      <w:r>
        <w:rPr>
          <w:rFonts w:hint="default" w:ascii="Times New Roman" w:hAnsi="Times New Roman" w:eastAsia="宋体" w:cs="Times New Roman"/>
          <w:color w:val="000000" w:themeColor="text1"/>
          <w:u w:val="none" w:color="auto"/>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附录A</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餐厨废弃物油脂处理单元</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，活性炭吸附属于治理氨气、硫化氢、臭气浓度、非甲烷总烃的可行性技术。</w:t>
      </w:r>
    </w:p>
    <w:p w14:paraId="57378244">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综上</w:t>
      </w:r>
      <w:r>
        <w:rPr>
          <w:rFonts w:hint="default" w:ascii="Times New Roman" w:hAnsi="Times New Roman" w:eastAsia="宋体" w:cs="Times New Roman"/>
          <w:color w:val="000000" w:themeColor="text1"/>
          <w:u w:val="none" w:color="auto"/>
          <w14:textFill>
            <w14:solidFill>
              <w14:schemeClr w14:val="tx1"/>
            </w14:solidFill>
          </w14:textFill>
        </w:rPr>
        <w:t>，本项目各工艺废气采取上述治理措施是可行的。</w:t>
      </w:r>
    </w:p>
    <w:p w14:paraId="078D4DC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65" w:name="_Toc4178"/>
      <w:bookmarkStart w:id="466" w:name="_Toc204350795"/>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2.2 排气筒设置合理性分析</w:t>
      </w:r>
      <w:bookmarkEnd w:id="465"/>
      <w:bookmarkEnd w:id="466"/>
    </w:p>
    <w:p w14:paraId="0EA86583">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467" w:name="_Toc22194"/>
      <w:bookmarkStart w:id="468" w:name="_Toc204350796"/>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项目设置1根排气筒，生产车间有组织废气排放口（DA001）</w:t>
      </w:r>
      <w:bookmarkEnd w:id="467"/>
      <w:bookmarkStart w:id="469" w:name="_Toc8411"/>
      <w:r>
        <w:rPr>
          <w:rFonts w:hint="default" w:ascii="Times New Roman" w:hAnsi="Times New Roman" w:eastAsia="宋体" w:cs="Times New Roman"/>
          <w:color w:val="000000" w:themeColor="text1"/>
          <w:u w:val="none" w:color="auto"/>
          <w:lang w:val="en-US" w:eastAsia="zh-CN"/>
          <w14:textFill>
            <w14:solidFill>
              <w14:schemeClr w14:val="tx1"/>
            </w14:solidFill>
          </w14:textFill>
        </w:rPr>
        <w:t>。排气筒高度设置依据：</w:t>
      </w:r>
      <w:bookmarkEnd w:id="469"/>
    </w:p>
    <w:p w14:paraId="32951C01">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根据《大气污染物综合排放标准》（GB 16297-1996）中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7.1 排气筒高度除须遵循表列排放速率标准值外，还应高出周围200 m半径范围的建筑物5 m以上，不能达到该要求的排气筒，应按其高度对应的表列排放速率标准值严格50%执行。</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和</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7.4 新污染源的排气筒一般不低于15 m</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，周围200 m半径范围内建筑物最高高度约10 m，则生产车间有组织废气排放口（DA001）设置离地15 m合理。</w:t>
      </w:r>
    </w:p>
    <w:p w14:paraId="357C8110">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70" w:name="_Toc19766"/>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2.3 无组织排放废气防治措施</w:t>
      </w:r>
      <w:bookmarkEnd w:id="468"/>
      <w:bookmarkEnd w:id="470"/>
    </w:p>
    <w:p w14:paraId="04700248">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本项目无组织废气主要为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氨气、硫化氢、臭气浓度、非甲烷总烃</w:t>
      </w:r>
      <w:r>
        <w:rPr>
          <w:rFonts w:hint="default" w:ascii="Times New Roman" w:hAnsi="Times New Roman" w:eastAsia="宋体" w:cs="Times New Roman"/>
          <w:color w:val="000000" w:themeColor="text1"/>
          <w:u w:val="none" w:color="auto"/>
          <w14:textFill>
            <w14:solidFill>
              <w14:schemeClr w14:val="tx1"/>
            </w14:solidFill>
          </w14:textFill>
        </w:rPr>
        <w:t>。</w:t>
      </w:r>
    </w:p>
    <w:p w14:paraId="19C9BD7C">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对于生产车间的无组织废气，主要采取车间进出口在生产过程中密闭，车间窗户密闭，仅用作采光，同时车间内定期托洗，减少活动时</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污染物逸散等</w:t>
      </w:r>
      <w:r>
        <w:rPr>
          <w:rFonts w:hint="default" w:ascii="Times New Roman" w:hAnsi="Times New Roman" w:eastAsia="宋体" w:cs="Times New Roman"/>
          <w:color w:val="000000" w:themeColor="text1"/>
          <w:u w:val="none" w:color="auto"/>
          <w14:textFill>
            <w14:solidFill>
              <w14:schemeClr w14:val="tx1"/>
            </w14:solidFill>
          </w14:textFill>
        </w:rPr>
        <w:t>措施。确保项目厂界无组织排放废气能够达到相应的排放限值要求。</w:t>
      </w:r>
    </w:p>
    <w:p w14:paraId="6B76FB7C">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此外还应采取以下具体控制措施：</w:t>
      </w:r>
    </w:p>
    <w:p w14:paraId="4E9AC227">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①为保持高集气效率，在确定净化系统排烟量时，要充分考虑实际生产作业中各种不利因素，在引风机设备选型上应留有余地。</w:t>
      </w:r>
    </w:p>
    <w:p w14:paraId="2217209F">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沉渣池保持密闭</w:t>
      </w:r>
      <w:r>
        <w:rPr>
          <w:rFonts w:hint="default" w:ascii="Times New Roman" w:hAnsi="Times New Roman" w:eastAsia="宋体" w:cs="Times New Roman"/>
          <w:color w:val="000000" w:themeColor="text1"/>
          <w:u w:val="none" w:color="auto"/>
          <w14:textFill>
            <w14:solidFill>
              <w14:schemeClr w14:val="tx1"/>
            </w14:solidFill>
          </w14:textFill>
        </w:rPr>
        <w:t>，可有效减少废气逸散。</w:t>
      </w:r>
    </w:p>
    <w:p w14:paraId="6C4B2E0E">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③对于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物料输送</w:t>
      </w:r>
      <w:r>
        <w:rPr>
          <w:rFonts w:hint="default" w:ascii="Times New Roman" w:hAnsi="Times New Roman" w:eastAsia="宋体" w:cs="Times New Roman"/>
          <w:color w:val="000000" w:themeColor="text1"/>
          <w:u w:val="none" w:color="auto"/>
          <w14:textFill>
            <w14:solidFill>
              <w14:schemeClr w14:val="tx1"/>
            </w14:solidFill>
          </w14:textFill>
        </w:rPr>
        <w:t>管道，应定期做好检修，减少跑冒滴漏等现象的发生。一般情况下管道为密封管道，无破损时不会发生跑冒滴漏等现象，但在弯头、管道衔接、连接泵等地方易发生泄漏现象，因此</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生产运行期间建设严格的管理巡检制度，加强管道、阀门的密封检修。</w:t>
      </w:r>
    </w:p>
    <w:p w14:paraId="1B32B511">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④通过加强维护和管理使防治设备有效地运转，尽可能使之发挥出设计的性能，操作人员一定要严格控制好生产线各项工艺指标，对废气密闭设施的易损易耗件应注重备用品的储存，确保设备发生故障时能得到及时的更换，杜绝各种操作事故和异常现象。</w:t>
      </w:r>
    </w:p>
    <w:p w14:paraId="035908E6">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⑤一旦发现废气净化设施运行不正常时，应及时予以处理或维修，如确定适时间内不能恢复正常运行的，应立即停产检修，以避免对环境造成更大的污染影响。</w:t>
      </w:r>
    </w:p>
    <w:p w14:paraId="6AAD11A5">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⑥</w:t>
      </w:r>
      <w:r>
        <w:rPr>
          <w:rFonts w:hint="default" w:ascii="Times New Roman" w:hAnsi="Times New Roman" w:eastAsia="宋体" w:cs="Times New Roman"/>
          <w:color w:val="000000" w:themeColor="text1"/>
          <w:u w:val="none" w:color="auto"/>
          <w14:textFill>
            <w14:solidFill>
              <w14:schemeClr w14:val="tx1"/>
            </w14:solidFill>
          </w14:textFill>
        </w:rPr>
        <w:t>此外还应加强操作工的培训和管理，以减少人为造成的对环境的污染。</w:t>
      </w:r>
    </w:p>
    <w:p w14:paraId="0C8AD33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71" w:name="_Toc11083"/>
      <w:bookmarkStart w:id="472" w:name="_Toc204350797"/>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2.4 废气治理设施的管理维护要求</w:t>
      </w:r>
      <w:bookmarkEnd w:id="471"/>
      <w:bookmarkEnd w:id="472"/>
    </w:p>
    <w:p w14:paraId="44D5AA8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考虑到布袋除尘器或覆膜布袋除尘器如不及时清灰会造成处理效率下降的情况，在废气处理过程中，应根据除尘器的吸附负荷及时对布袋除尘器进行清灰处理，以保证除尘器的处理效率。加强除尘器的管理和维护，防止因滤袋破损而造成非正常排放情况的发生。</w:t>
      </w:r>
    </w:p>
    <w:p w14:paraId="53FB5302">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喷淋塔循环水</w:t>
      </w:r>
      <w:r>
        <w:rPr>
          <w:rFonts w:hint="default" w:ascii="Times New Roman" w:hAnsi="Times New Roman" w:eastAsia="宋体" w:cs="Times New Roman"/>
          <w:color w:val="000000" w:themeColor="text1"/>
          <w:u w:val="none" w:color="auto"/>
          <w14:textFill>
            <w14:solidFill>
              <w14:schemeClr w14:val="tx1"/>
            </w14:solidFill>
          </w14:textFill>
        </w:rPr>
        <w:t>定期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补充、更换</w:t>
      </w:r>
      <w:r>
        <w:rPr>
          <w:rFonts w:hint="default" w:ascii="Times New Roman" w:hAnsi="Times New Roman" w:eastAsia="宋体" w:cs="Times New Roman"/>
          <w:color w:val="000000" w:themeColor="text1"/>
          <w:u w:val="none" w:color="auto"/>
          <w14:textFill>
            <w14:solidFill>
              <w14:schemeClr w14:val="tx1"/>
            </w14:solidFill>
          </w14:textFill>
        </w:rPr>
        <w:t>，避免时间长后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循环水pH值降低影响恶臭废气</w:t>
      </w:r>
      <w:r>
        <w:rPr>
          <w:rFonts w:hint="default" w:ascii="Times New Roman" w:hAnsi="Times New Roman" w:eastAsia="宋体" w:cs="Times New Roman"/>
          <w:color w:val="000000" w:themeColor="text1"/>
          <w:u w:val="none" w:color="auto"/>
          <w14:textFill>
            <w14:solidFill>
              <w14:schemeClr w14:val="tx1"/>
            </w14:solidFill>
          </w14:textFill>
        </w:rPr>
        <w:t>的去除效率。</w:t>
      </w:r>
    </w:p>
    <w:p w14:paraId="7D94A30D">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为保护活性炭及保障活性炭的处理效率，定期更换过滤棉。</w:t>
      </w:r>
    </w:p>
    <w:p w14:paraId="22172449">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为保证活性炭对有机废气的吸附效率，定期更换活性炭。</w:t>
      </w:r>
    </w:p>
    <w:p w14:paraId="6BAC5162">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企业应加强厂区清洁要求，定期清洁车间内外地面，避免厂内工作活动引二次污染。</w:t>
      </w:r>
    </w:p>
    <w:p w14:paraId="4CBB1EC0">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73" w:name="_Toc204350798"/>
      <w:bookmarkStart w:id="474" w:name="_Toc17209"/>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2.5 废气事故排放防范措施</w:t>
      </w:r>
      <w:bookmarkEnd w:id="473"/>
      <w:bookmarkEnd w:id="474"/>
    </w:p>
    <w:p w14:paraId="41979938">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本项目特征污染物</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氨气、硫化氢、臭气浓度、非甲烷总烃</w:t>
      </w:r>
      <w:r>
        <w:rPr>
          <w:rFonts w:hint="default" w:ascii="Times New Roman" w:hAnsi="Times New Roman" w:eastAsia="宋体" w:cs="Times New Roman"/>
          <w:color w:val="000000" w:themeColor="text1"/>
          <w:u w:val="none" w:color="auto"/>
          <w14:textFill>
            <w14:solidFill>
              <w14:schemeClr w14:val="tx1"/>
            </w14:solidFill>
          </w14:textFill>
        </w:rPr>
        <w:t>出现事故排放时。因此，为防止废气事故排放，应采取如下废气事故防范措施：</w:t>
      </w:r>
    </w:p>
    <w:p w14:paraId="6FDDE1A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（1）应停止生产，查明原因，待系统恢复正常后再行生产。</w:t>
      </w:r>
    </w:p>
    <w:p w14:paraId="12C76A87">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（2）严格设备选型，确保设备净化效率，引风机应有足够的抽力，尽量减少无组织排放。</w:t>
      </w:r>
    </w:p>
    <w:p w14:paraId="074E692E">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）加强烟气净化系统的管理和维护。</w:t>
      </w:r>
    </w:p>
    <w:p w14:paraId="6625BCA9">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75" w:name="_Toc21405"/>
      <w:bookmarkStart w:id="476" w:name="_Toc204350799"/>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3 运营期水污染防治措施分析</w:t>
      </w:r>
      <w:bookmarkEnd w:id="475"/>
      <w:bookmarkEnd w:id="476"/>
    </w:p>
    <w:p w14:paraId="50C38D0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77" w:name="_Toc3547"/>
      <w:bookmarkStart w:id="478" w:name="_Toc204350800"/>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3.1 生产废水处理措施</w:t>
      </w:r>
      <w:bookmarkEnd w:id="477"/>
      <w:bookmarkEnd w:id="478"/>
    </w:p>
    <w:p w14:paraId="7905A253">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FF0000"/>
          <w:u w:val="none" w:color="auto"/>
          <w:lang w:eastAsia="zh-CN"/>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运营期生产废水包括废弃油脂加工工序产生的废水、地面拖洗废水、车辆清洗废水、设备管道清洗废水。生产废水经密闭管道收集汇入隔油池+A/O预处理</w:t>
      </w:r>
      <w:r>
        <w:rPr>
          <w:rFonts w:hint="default" w:ascii="Times New Roman" w:hAnsi="Times New Roman" w:eastAsia="宋体" w:cs="Times New Roman"/>
          <w:color w:val="000000" w:themeColor="text1"/>
          <w:u w:val="none" w:color="auto"/>
          <w14:textFill>
            <w14:solidFill>
              <w14:schemeClr w14:val="tx1"/>
            </w14:solidFill>
          </w14:textFill>
        </w:rPr>
        <w:t>达到</w:t>
      </w:r>
      <w:r>
        <w:rPr>
          <w:rFonts w:hint="default" w:ascii="Times New Roman" w:hAnsi="Times New Roman" w:eastAsia="宋体" w:cs="Times New Roman"/>
          <w:color w:val="000000" w:themeColor="text1"/>
          <w:szCs w:val="24"/>
          <w:u w:val="none" w:color="auto"/>
          <w14:textFill>
            <w14:solidFill>
              <w14:schemeClr w14:val="tx1"/>
            </w14:solidFill>
          </w14:textFill>
        </w:rPr>
        <w:t>平江高新技术产业园污水处理厂</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纳污标准</w:t>
      </w:r>
      <w:r>
        <w:rPr>
          <w:rFonts w:hint="default" w:ascii="Times New Roman" w:hAnsi="Times New Roman" w:eastAsia="宋体" w:cs="Times New Roman"/>
          <w:color w:val="000000" w:themeColor="text1"/>
          <w:u w:val="none" w:color="auto"/>
          <w14:textFill>
            <w14:solidFill>
              <w14:schemeClr w14:val="tx1"/>
            </w14:solidFill>
          </w14:textFill>
        </w:rPr>
        <w:t>后</w:t>
      </w:r>
      <w:r>
        <w:rPr>
          <w:rFonts w:hint="default" w:ascii="Times New Roman" w:hAnsi="Times New Roman" w:eastAsia="宋体" w:cs="Times New Roman"/>
          <w:color w:val="000000" w:themeColor="text1"/>
          <w:szCs w:val="24"/>
          <w:u w:val="none" w:color="auto"/>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6F2CB6F6">
      <w:pPr>
        <w:pStyle w:val="101"/>
        <w:keepNext w:val="0"/>
        <w:keepLines w:val="0"/>
        <w:pageBreakBefore w:val="0"/>
        <w:widowControl w:val="0"/>
        <w:numPr>
          <w:ilvl w:val="0"/>
          <w:numId w:val="0"/>
        </w:numPr>
        <w:kinsoku/>
        <w:wordWrap/>
        <w:overflowPunct/>
        <w:topLinePunct w:val="0"/>
        <w:bidi w:val="0"/>
        <w:ind w:firstLine="482" w:firstLineChars="200"/>
        <w:rPr>
          <w:rFonts w:hint="default" w:ascii="Times New Roman" w:hAnsi="Times New Roman" w:eastAsia="宋体" w:cs="Times New Roman"/>
          <w:b/>
          <w:bCs/>
          <w:color w:val="000000" w:themeColor="text1"/>
          <w:u w:val="none" w:color="auto"/>
          <w:lang w:val="en-US" w:eastAsia="zh-CN"/>
          <w14:textFill>
            <w14:solidFill>
              <w14:schemeClr w14:val="tx1"/>
            </w14:solidFill>
          </w14:textFill>
        </w:rPr>
      </w:pPr>
      <w:bookmarkStart w:id="479" w:name="_Toc204350801"/>
      <w:r>
        <w:rPr>
          <w:rFonts w:hint="default" w:ascii="Times New Roman" w:hAnsi="Times New Roman" w:eastAsia="宋体" w:cs="Times New Roman"/>
          <w:b/>
          <w:bCs/>
          <w:color w:val="000000" w:themeColor="text1"/>
          <w:kern w:val="2"/>
          <w:sz w:val="24"/>
          <w:szCs w:val="24"/>
          <w:u w:val="none" w:color="auto"/>
          <w:lang w:val="en-US" w:eastAsia="zh-CN" w:bidi="ar-SA"/>
          <w14:textFill>
            <w14:solidFill>
              <w14:schemeClr w14:val="tx1"/>
            </w14:solidFill>
          </w14:textFill>
        </w:rPr>
        <w:t>（1）</w:t>
      </w:r>
      <w:r>
        <w:rPr>
          <w:rFonts w:hint="default" w:ascii="Times New Roman" w:hAnsi="Times New Roman" w:eastAsia="宋体" w:cs="Times New Roman"/>
          <w:b/>
          <w:bCs/>
          <w:color w:val="000000" w:themeColor="text1"/>
          <w:u w:val="none" w:color="auto"/>
          <w:lang w:val="en-US" w:eastAsia="zh-CN"/>
          <w14:textFill>
            <w14:solidFill>
              <w14:schemeClr w14:val="tx1"/>
            </w14:solidFill>
          </w14:textFill>
        </w:rPr>
        <w:t>隔油池</w:t>
      </w:r>
    </w:p>
    <w:p w14:paraId="086C772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隔油池是利用油与水的密度差产生上浮作用来去除含油废水中可浮性油类物质的一种废水预处理构筑物。</w:t>
      </w:r>
    </w:p>
    <w:p w14:paraId="68313C1E">
      <w:pPr>
        <w:pStyle w:val="101"/>
        <w:keepNext w:val="0"/>
        <w:keepLines w:val="0"/>
        <w:pageBreakBefore w:val="0"/>
        <w:widowControl w:val="0"/>
        <w:kinsoku/>
        <w:wordWrap/>
        <w:overflowPunct/>
        <w:topLinePunct w:val="0"/>
        <w:bidi w:val="0"/>
        <w:ind w:firstLine="482"/>
        <w:rPr>
          <w:rFonts w:hint="default" w:ascii="Times New Roman" w:hAnsi="Times New Roman" w:eastAsia="宋体" w:cs="Times New Roman"/>
          <w:b/>
          <w:bCs/>
          <w:color w:val="000000" w:themeColor="text1"/>
          <w:u w:val="none" w:color="auto"/>
          <w:lang w:eastAsia="zh-CN"/>
          <w14:textFill>
            <w14:solidFill>
              <w14:schemeClr w14:val="tx1"/>
            </w14:solidFill>
          </w14:textFill>
        </w:rPr>
      </w:pPr>
      <w:r>
        <w:rPr>
          <w:rFonts w:hint="default" w:ascii="Times New Roman" w:hAnsi="Times New Roman" w:eastAsia="宋体" w:cs="Times New Roman"/>
          <w:b/>
          <w:bCs/>
          <w:color w:val="000000" w:themeColor="text1"/>
          <w:u w:val="none" w:color="auto"/>
          <w:lang w:eastAsia="zh-CN"/>
          <w14:textFill>
            <w14:solidFill>
              <w14:schemeClr w14:val="tx1"/>
            </w14:solidFill>
          </w14:textFill>
        </w:rPr>
        <w:t>（</w:t>
      </w:r>
      <w:r>
        <w:rPr>
          <w:rFonts w:hint="default" w:ascii="Times New Roman" w:hAnsi="Times New Roman" w:eastAsia="宋体" w:cs="Times New Roman"/>
          <w:b/>
          <w:bCs/>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b/>
          <w:bCs/>
          <w:color w:val="000000" w:themeColor="text1"/>
          <w:u w:val="none" w:color="auto"/>
          <w:lang w:eastAsia="zh-CN"/>
          <w14:textFill>
            <w14:solidFill>
              <w14:schemeClr w14:val="tx1"/>
            </w14:solidFill>
          </w14:textFill>
        </w:rPr>
        <w:t>）</w:t>
      </w:r>
      <w:r>
        <w:rPr>
          <w:rFonts w:hint="default" w:ascii="Times New Roman" w:hAnsi="Times New Roman" w:eastAsia="宋体" w:cs="Times New Roman"/>
          <w:b/>
          <w:bCs/>
          <w:color w:val="000000" w:themeColor="text1"/>
          <w:u w:val="none" w:color="auto"/>
          <w:lang w:val="en-US" w:eastAsia="zh-CN"/>
          <w14:textFill>
            <w14:solidFill>
              <w14:schemeClr w14:val="tx1"/>
            </w14:solidFill>
          </w14:textFill>
        </w:rPr>
        <w:t>A/O</w:t>
      </w:r>
      <w:r>
        <w:rPr>
          <w:rFonts w:hint="default" w:ascii="Times New Roman" w:hAnsi="Times New Roman" w:eastAsia="宋体" w:cs="Times New Roman"/>
          <w:b/>
          <w:bCs/>
          <w:color w:val="000000" w:themeColor="text1"/>
          <w:u w:val="none" w:color="auto"/>
          <w:lang w:eastAsia="zh-CN"/>
          <w14:textFill>
            <w14:solidFill>
              <w14:schemeClr w14:val="tx1"/>
            </w14:solidFill>
          </w14:textFill>
        </w:rPr>
        <w:t>处理</w:t>
      </w:r>
      <w:bookmarkEnd w:id="479"/>
      <w:r>
        <w:rPr>
          <w:rFonts w:hint="default" w:ascii="Times New Roman" w:hAnsi="Times New Roman" w:eastAsia="宋体" w:cs="Times New Roman"/>
          <w:b/>
          <w:bCs/>
          <w:color w:val="000000" w:themeColor="text1"/>
          <w:u w:val="none" w:color="auto"/>
          <w:lang w:eastAsia="zh-CN"/>
          <w14:textFill>
            <w14:solidFill>
              <w14:schemeClr w14:val="tx1"/>
            </w14:solidFill>
          </w14:textFill>
        </w:rPr>
        <w:t>系统</w:t>
      </w:r>
    </w:p>
    <w:p w14:paraId="43DC2F6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A/O工艺将前段缺氧段和后段好氧段串联在一起。在缺氧段异养菌将污水中的淀粉、纤维、碳水化合物等悬浮污染物和可溶性有机物水解为有机酸，使大分子有机物分解为小分子有机物，不溶性的有机物转化成可溶性有机物，当这些经缺氧水解的产物进入好氧池进行好氧处理时，提高污水的可生化性，提高氧的效率；在缺氧段异养菌将蛋白质、脂肪等污染物进行氨化（有机链上的N或氨基酸中的氨基）游离出氨（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、NH</w:t>
      </w:r>
      <w:r>
        <w:rPr>
          <w:rFonts w:hint="default" w:ascii="Times New Roman" w:hAnsi="Times New Roman" w:eastAsia="宋体" w:cs="Times New Roman"/>
          <w:color w:val="000000" w:themeColor="text1"/>
          <w:u w:val="none" w:color="auto"/>
          <w:vertAlign w:val="subscript"/>
          <w14:textFill>
            <w14:solidFill>
              <w14:schemeClr w14:val="tx1"/>
            </w14:solidFill>
          </w14:textFill>
        </w:rPr>
        <w:t>4</w:t>
      </w:r>
      <w:r>
        <w:rPr>
          <w:rFonts w:hint="default" w:ascii="Times New Roman" w:hAnsi="Times New Roman" w:eastAsia="宋体" w:cs="Times New Roman"/>
          <w:color w:val="000000" w:themeColor="text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），在充足供氧条件下，自养菌的硝化作用将NH</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-N（NH</w:t>
      </w:r>
      <w:r>
        <w:rPr>
          <w:rFonts w:hint="default" w:ascii="Times New Roman" w:hAnsi="Times New Roman" w:eastAsia="宋体" w:cs="Times New Roman"/>
          <w:color w:val="000000" w:themeColor="text1"/>
          <w:u w:val="none" w:color="auto"/>
          <w:vertAlign w:val="subscript"/>
          <w14:textFill>
            <w14:solidFill>
              <w14:schemeClr w14:val="tx1"/>
            </w14:solidFill>
          </w14:textFill>
        </w:rPr>
        <w:t>4</w:t>
      </w:r>
      <w:r>
        <w:rPr>
          <w:rFonts w:hint="default" w:ascii="Times New Roman" w:hAnsi="Times New Roman" w:eastAsia="宋体" w:cs="Times New Roman"/>
          <w:color w:val="000000" w:themeColor="text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）氧化为NO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，通过回流控制返回至A池，在缺氧条件下，异氧菌的反硝化作用将NO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vertAlign w:val="superscript"/>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还原为分子态氮（N</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）完成C、N、O在生态中的循环，实现污水无害化处理。</w:t>
      </w:r>
    </w:p>
    <w:p w14:paraId="414BA1A9">
      <w:pPr>
        <w:pStyle w:val="101"/>
        <w:keepNext w:val="0"/>
        <w:keepLines w:val="0"/>
        <w:pageBreakBefore w:val="0"/>
        <w:widowControl w:val="0"/>
        <w:kinsoku/>
        <w:wordWrap/>
        <w:overflowPunct/>
        <w:topLinePunct w:val="0"/>
        <w:bidi w:val="0"/>
        <w:ind w:firstLine="482"/>
        <w:rPr>
          <w:rFonts w:hint="default" w:ascii="Times New Roman" w:hAnsi="Times New Roman" w:eastAsia="宋体" w:cs="Times New Roman"/>
          <w:b/>
          <w:bCs/>
          <w:color w:val="000000" w:themeColor="text1"/>
          <w:u w:val="none" w:color="auto"/>
          <w14:textFill>
            <w14:solidFill>
              <w14:schemeClr w14:val="tx1"/>
            </w14:solidFill>
          </w14:textFill>
        </w:rPr>
      </w:pPr>
      <w:r>
        <w:rPr>
          <w:rFonts w:hint="default" w:ascii="Times New Roman" w:hAnsi="Times New Roman" w:eastAsia="宋体" w:cs="Times New Roman"/>
          <w:b/>
          <w:bCs/>
          <w:color w:val="000000" w:themeColor="text1"/>
          <w:u w:val="none" w:color="auto"/>
          <w14:textFill>
            <w14:solidFill>
              <w14:schemeClr w14:val="tx1"/>
            </w14:solidFill>
          </w14:textFill>
        </w:rPr>
        <w:t>（</w:t>
      </w:r>
      <w:r>
        <w:rPr>
          <w:rFonts w:hint="default" w:ascii="Times New Roman" w:hAnsi="Times New Roman" w:eastAsia="宋体" w:cs="Times New Roman"/>
          <w:b/>
          <w:bCs/>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b/>
          <w:bCs/>
          <w:color w:val="000000" w:themeColor="text1"/>
          <w:u w:val="none" w:color="auto"/>
          <w14:textFill>
            <w14:solidFill>
              <w14:schemeClr w14:val="tx1"/>
            </w14:solidFill>
          </w14:textFill>
        </w:rPr>
        <w:t>）处理效果分析</w:t>
      </w:r>
    </w:p>
    <w:p w14:paraId="500E21A9">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项目生产废水采用隔油池+A/O的方式进行预处理，A/O属于生物处理。参照</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fldChar w:fldCharType="begin"/>
      </w:r>
      <w:r>
        <w:rPr>
          <w:rFonts w:hint="default" w:ascii="Times New Roman" w:hAnsi="Times New Roman" w:eastAsia="宋体" w:cs="Times New Roman"/>
          <w:color w:val="000000" w:themeColor="text1"/>
          <w:u w:val="none" w:color="auto"/>
          <w14:textFill>
            <w14:solidFill>
              <w14:schemeClr w14:val="tx1"/>
            </w14:solidFill>
          </w14:textFill>
        </w:rPr>
        <w:instrText xml:space="preserve"> HYPERLINK "https://www.mee.gov.cn/ywgz/fgbz/bz/bzwb/pwxk/202003/W020200304695456261270.pdf" </w:instrText>
      </w:r>
      <w:r>
        <w:rPr>
          <w:rFonts w:hint="default" w:ascii="Times New Roman" w:hAnsi="Times New Roman" w:eastAsia="宋体" w:cs="Times New Roman"/>
          <w:color w:val="000000" w:themeColor="text1"/>
          <w:u w:val="none" w:color="auto"/>
          <w14:textFill>
            <w14:solidFill>
              <w14:schemeClr w14:val="tx1"/>
            </w14:solidFill>
          </w14:textFill>
        </w:rPr>
        <w:fldChar w:fldCharType="separate"/>
      </w:r>
      <w:r>
        <w:rPr>
          <w:rFonts w:hint="default" w:ascii="Times New Roman" w:hAnsi="Times New Roman" w:eastAsia="宋体" w:cs="Times New Roman"/>
          <w:color w:val="000000" w:themeColor="text1"/>
          <w:u w:val="none" w:color="auto"/>
          <w14:textFill>
            <w14:solidFill>
              <w14:schemeClr w14:val="tx1"/>
            </w14:solidFill>
          </w14:textFill>
        </w:rPr>
        <w:t>排污许可证申请与核发技术规范 环境卫生管理业</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（HJ 1106</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2020）</w:t>
      </w:r>
      <w:r>
        <w:rPr>
          <w:rFonts w:hint="default" w:ascii="Times New Roman" w:hAnsi="Times New Roman" w:eastAsia="宋体" w:cs="Times New Roman"/>
          <w:color w:val="000000" w:themeColor="text1"/>
          <w:u w:val="none" w:color="auto"/>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附录A</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sz w:val="24"/>
          <w:szCs w:val="24"/>
          <w:u w:val="none" w:color="auto"/>
        </w:rPr>
        <w:t>餐厨废弃物上清液</w:t>
      </w:r>
      <w:r>
        <w:rPr>
          <w:rFonts w:hint="default" w:ascii="Times New Roman" w:hAnsi="Times New Roman" w:eastAsia="宋体" w:cs="Times New Roman"/>
          <w:sz w:val="24"/>
          <w:szCs w:val="24"/>
          <w:u w:val="none" w:color="auto"/>
          <w:lang w:eastAsia="zh-CN"/>
        </w:rPr>
        <w:t>、</w:t>
      </w:r>
      <w:r>
        <w:rPr>
          <w:rFonts w:hint="default" w:ascii="Times New Roman" w:hAnsi="Times New Roman" w:eastAsia="宋体" w:cs="Times New Roman"/>
          <w:sz w:val="24"/>
          <w:szCs w:val="24"/>
          <w:u w:val="none" w:color="auto"/>
        </w:rPr>
        <w:t>油水分离废水</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，生物处理属于治理生产废水的可行性技术。</w:t>
      </w:r>
    </w:p>
    <w:p w14:paraId="59654E0C">
      <w:pPr>
        <w:pStyle w:val="101"/>
        <w:keepNext w:val="0"/>
        <w:keepLines w:val="0"/>
        <w:pageBreakBefore w:val="0"/>
        <w:widowControl w:val="0"/>
        <w:kinsoku/>
        <w:wordWrap/>
        <w:overflowPunct/>
        <w:topLinePunct w:val="0"/>
        <w:bidi w:val="0"/>
        <w:ind w:firstLine="482"/>
        <w:rPr>
          <w:rFonts w:hint="default" w:ascii="Times New Roman" w:hAnsi="Times New Roman" w:eastAsia="宋体" w:cs="Times New Roman"/>
          <w:b/>
          <w:color w:val="000000" w:themeColor="text1"/>
          <w:u w:val="none" w:color="auto"/>
          <w14:textFill>
            <w14:solidFill>
              <w14:schemeClr w14:val="tx1"/>
            </w14:solidFill>
          </w14:textFill>
        </w:rPr>
      </w:pPr>
      <w:r>
        <w:rPr>
          <w:rFonts w:hint="default" w:ascii="Times New Roman" w:hAnsi="Times New Roman" w:eastAsia="宋体" w:cs="Times New Roman"/>
          <w:b/>
          <w:color w:val="000000" w:themeColor="text1"/>
          <w:u w:val="none" w:color="auto"/>
          <w14:textFill>
            <w14:solidFill>
              <w14:schemeClr w14:val="tx1"/>
            </w14:solidFill>
          </w14:textFill>
        </w:rPr>
        <w:t>（</w:t>
      </w:r>
      <w:r>
        <w:rPr>
          <w:rFonts w:hint="default" w:ascii="Times New Roman" w:hAnsi="Times New Roman" w:eastAsia="宋体" w:cs="Times New Roman"/>
          <w:b/>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b/>
          <w:color w:val="000000" w:themeColor="text1"/>
          <w:u w:val="none" w:color="auto"/>
          <w14:textFill>
            <w14:solidFill>
              <w14:schemeClr w14:val="tx1"/>
            </w14:solidFill>
          </w14:textFill>
        </w:rPr>
        <w:t>）处理规模可行性分析</w:t>
      </w:r>
    </w:p>
    <w:p w14:paraId="1E701826">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本项目厂区污水处理设施处理规模为4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/d，污水处置量约为1.1 m</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/d，污水处理设施处理规模可满足实施后全厂废水处理需求。</w:t>
      </w:r>
    </w:p>
    <w:p w14:paraId="4D5B31F6">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因此，拟建项目废水处理措施可行。</w:t>
      </w:r>
    </w:p>
    <w:p w14:paraId="3E988122">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80" w:name="_Toc204350803"/>
      <w:bookmarkStart w:id="481" w:name="_Toc271"/>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 xml:space="preserve"> 生活污水处理</w:t>
      </w:r>
      <w:bookmarkEnd w:id="480"/>
      <w:bookmarkEnd w:id="481"/>
    </w:p>
    <w:p w14:paraId="7B9EDC3A">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生活污水经化粪池处理达到《污水综合排放标准》（GB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8978-1996）表4三级标准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及</w:t>
      </w:r>
      <w:r>
        <w:rPr>
          <w:rFonts w:hint="default" w:ascii="Times New Roman" w:hAnsi="Times New Roman" w:eastAsia="宋体" w:cs="Times New Roman"/>
          <w:color w:val="000000" w:themeColor="text1"/>
          <w:szCs w:val="24"/>
          <w:u w:val="none" w:color="auto"/>
          <w14:textFill>
            <w14:solidFill>
              <w14:schemeClr w14:val="tx1"/>
            </w14:solidFill>
          </w14:textFill>
        </w:rPr>
        <w:t>及平江高新技术产业园污水处理厂进水水质要求中的较严值</w:t>
      </w:r>
      <w:r>
        <w:rPr>
          <w:rFonts w:hint="default" w:ascii="Times New Roman" w:hAnsi="Times New Roman" w:eastAsia="宋体" w:cs="Times New Roman"/>
          <w:color w:val="000000" w:themeColor="text1"/>
          <w:u w:val="none" w:color="auto"/>
          <w14:textFill>
            <w14:solidFill>
              <w14:schemeClr w14:val="tx1"/>
            </w14:solidFill>
          </w14:textFill>
        </w:rPr>
        <w:t>后</w:t>
      </w:r>
      <w:r>
        <w:rPr>
          <w:rFonts w:hint="default" w:ascii="Times New Roman" w:hAnsi="Times New Roman" w:eastAsia="宋体" w:cs="Times New Roman"/>
          <w:color w:val="000000" w:themeColor="text1"/>
          <w:szCs w:val="24"/>
          <w:u w:val="none" w:color="auto"/>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经园区污水管网排入平江高新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p>
    <w:p w14:paraId="187385F9">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82" w:name="_Toc204350804"/>
      <w:bookmarkStart w:id="483" w:name="_Toc21785"/>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4 运营期地下水污染防治措施</w:t>
      </w:r>
      <w:bookmarkEnd w:id="482"/>
      <w:bookmarkEnd w:id="483"/>
    </w:p>
    <w:p w14:paraId="22E7605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84" w:name="_Toc204350805"/>
      <w:bookmarkStart w:id="485" w:name="_Toc21946"/>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4.1 环境管理对策</w:t>
      </w:r>
      <w:bookmarkEnd w:id="484"/>
      <w:bookmarkEnd w:id="485"/>
    </w:p>
    <w:p w14:paraId="216712D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1、提高环保意识：提高全员的环境风险意识和应急能力，严格执行各项规章制度，避免由于误操作或违章操作带来严重污染后果。</w:t>
      </w:r>
    </w:p>
    <w:p w14:paraId="0A4A8EE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2、健全管理机制：对可能发生泄漏的污染源进行认真排查、登记、建立健全定期巡检制度，及时发现，及时解决。</w:t>
      </w:r>
    </w:p>
    <w:p w14:paraId="69593B1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3、制定应急预案：对可能发生突发事件制定应急预案，采取相应有效的措施，以避免对地下水的污染。</w:t>
      </w:r>
    </w:p>
    <w:p w14:paraId="1F3CAEE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4、定期监测：对监测井定期监测。一旦发现水质污染现象，应及时查明原因采取防范措施，防止污染。</w:t>
      </w:r>
    </w:p>
    <w:p w14:paraId="760ED40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86" w:name="_Toc3209"/>
      <w:bookmarkStart w:id="487" w:name="_Toc204350806"/>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4.2 地下水防治原则</w:t>
      </w:r>
      <w:bookmarkEnd w:id="486"/>
      <w:bookmarkEnd w:id="487"/>
    </w:p>
    <w:p w14:paraId="31E99B1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针对项目可能发生的地下水污染，地下水污染防治措施按照</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源头控制、末端防治、污染监控、应急响应</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相结合的原则，从污染物的产生、入渗、扩散、应急响应全阶段进行控制。</w:t>
      </w:r>
    </w:p>
    <w:p w14:paraId="69EE926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（1）源头控制措施</w:t>
      </w:r>
    </w:p>
    <w:p w14:paraId="007327E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主要包括在工艺、管道、设备、渗滤液储存及处理构筑物采取相应措施，防止和降低污染物跑、冒、滴、漏，将污染物泄漏的环境风险事故降到最低程度；管线敷设尽量采用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可视化</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原则，即管道尽可能地上敷设，做到污染物</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早发现、早处理</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，减少由于埋地管道泄漏而造成的地下水污染。</w:t>
      </w:r>
    </w:p>
    <w:p w14:paraId="5CCD878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（2）末端防治措施</w:t>
      </w:r>
    </w:p>
    <w:p w14:paraId="53D5270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主要包括建设区域污染区地面的防渗措施和泄漏、渗漏污染物收集措施，即在污染区地面进行防渗处理，防止洒落地面的污染物渗入地下，并把滞留在地面的污染物收集起来，集中送至污水处理场处理；末端控制采取分区防渗，按重点污染防治区、一般污染防治区和非污染区防渗措施有区别的防渗原则。</w:t>
      </w:r>
    </w:p>
    <w:p w14:paraId="334611F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（3）污染监控体系</w:t>
      </w:r>
    </w:p>
    <w:p w14:paraId="222B872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实施覆盖生产区的地下水污染监控系统，建立完善的监测制度，配备先进的检测仪器和设备，科学合理设置地下水监控井，及时发现污染、控制污染。</w:t>
      </w:r>
    </w:p>
    <w:p w14:paraId="7AEC778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（4）应急响应措施</w:t>
      </w:r>
    </w:p>
    <w:p w14:paraId="5CB31F4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包括一旦发现地下水污染事故，立即启动应急预案、采取应急措施控制地下水污染，并使污染得到治理。</w:t>
      </w:r>
    </w:p>
    <w:p w14:paraId="5EC3FCDF">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88" w:name="_Toc204350807"/>
      <w:bookmarkStart w:id="489" w:name="_Toc28981"/>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4.3 分区防渗划分</w:t>
      </w:r>
      <w:bookmarkEnd w:id="488"/>
      <w:bookmarkEnd w:id="489"/>
    </w:p>
    <w:p w14:paraId="1FC8F08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根据防渗参照的标准和规范，结合施工过程中的可操作性和技术水平，针对不同的防渗区域采用的防渗措施如下。具体设计时可根据实际情况在满足防渗标准的前提下作必要的调整。</w:t>
      </w:r>
    </w:p>
    <w:p w14:paraId="7AC0F62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工程防渗的设计标准应符合下列规定：设备、地下管道、建构筑物防渗的设计使用年限不应低于其主体的设计使用年限；针对不同的防渗区域采用不同的防渗措施。</w:t>
      </w:r>
    </w:p>
    <w:p w14:paraId="57B071C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根据建设项目可能泄漏至地面区域污染物的性质和生产单元的构筑方式，将建设场地全部划分为重点污染防治区。</w:t>
      </w:r>
    </w:p>
    <w:p w14:paraId="270A25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重点防渗区：</w:t>
      </w:r>
      <w:r>
        <w:rPr>
          <w:rFonts w:hint="default" w:ascii="Times New Roman" w:hAnsi="Times New Roman" w:eastAsia="宋体" w:cs="Times New Roman"/>
          <w:color w:val="000000" w:themeColor="text1"/>
          <w:u w:val="none" w:color="auto"/>
          <w14:textFill>
            <w14:solidFill>
              <w14:schemeClr w14:val="tx1"/>
            </w14:solidFill>
          </w14:textFill>
        </w:rPr>
        <w:t>指位于地下或半地下的生产功能单元，污染地下水环境的物料泄漏后，不容易被及时发现和处理的区域。主要包括：生产车间、储罐区、污水处理站、应急事故池、危废暂存间、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沉渣池</w:t>
      </w:r>
      <w:r>
        <w:rPr>
          <w:rFonts w:hint="default" w:ascii="Times New Roman" w:hAnsi="Times New Roman" w:eastAsia="宋体" w:cs="Times New Roman"/>
          <w:color w:val="000000" w:themeColor="text1"/>
          <w:u w:val="none" w:color="auto"/>
          <w14:textFill>
            <w14:solidFill>
              <w14:schemeClr w14:val="tx1"/>
            </w14:solidFill>
          </w14:textFill>
        </w:rPr>
        <w:t>。对于重点污染防治区，等效黏土防渗层Mb≥6.0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m，K≤1×10</w:t>
      </w:r>
      <w:r>
        <w:rPr>
          <w:rFonts w:hint="default" w:ascii="Times New Roman" w:hAnsi="Times New Roman" w:eastAsia="宋体" w:cs="Times New Roman"/>
          <w:color w:val="000000" w:themeColor="text1"/>
          <w:u w:val="none" w:color="auto"/>
          <w:vertAlign w:val="superscript"/>
          <w14:textFill>
            <w14:solidFill>
              <w14:schemeClr w14:val="tx1"/>
            </w14:solidFill>
          </w14:textFill>
        </w:rPr>
        <w:t>-7</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cm/s，或防渗能力与GB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18597要求等效。</w:t>
      </w:r>
    </w:p>
    <w:p w14:paraId="5375EF1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一般防渗区：是指裸露于地面的生产功能单元，污染地下水环境的物料泄漏后，容易被及时发现和处理的区域。主要包括：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进出场道路</w:t>
      </w:r>
      <w:r>
        <w:rPr>
          <w:rFonts w:hint="default" w:ascii="Times New Roman" w:hAnsi="Times New Roman" w:eastAsia="宋体" w:cs="Times New Roman"/>
          <w:color w:val="000000" w:themeColor="text1"/>
          <w:u w:val="none" w:color="auto"/>
          <w14:textFill>
            <w14:solidFill>
              <w14:schemeClr w14:val="tx1"/>
            </w14:solidFill>
          </w14:textFill>
        </w:rPr>
        <w:t>。等效黏土防渗层Mb≥1.5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m，K≤1×10</w:t>
      </w:r>
      <w:r>
        <w:rPr>
          <w:rFonts w:hint="default" w:ascii="Times New Roman" w:hAnsi="Times New Roman" w:eastAsia="宋体" w:cs="Times New Roman"/>
          <w:color w:val="000000" w:themeColor="text1"/>
          <w:u w:val="none" w:color="auto"/>
          <w:vertAlign w:val="superscript"/>
          <w14:textFill>
            <w14:solidFill>
              <w14:schemeClr w14:val="tx1"/>
            </w14:solidFill>
          </w14:textFill>
        </w:rPr>
        <w:t>-7</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cm/s；或参考GB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16689执行。</w:t>
      </w:r>
    </w:p>
    <w:p w14:paraId="4B5263C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简单防渗区：指不会对地下水环境造成污染的区域。主要包括管理区以及装置区外系统管廊区等，</w:t>
      </w:r>
      <w:r>
        <w:rPr>
          <w:rFonts w:hint="default" w:ascii="Times New Roman" w:hAnsi="Times New Roman" w:eastAsia="宋体" w:cs="Times New Roman"/>
          <w:color w:val="000000" w:themeColor="text1"/>
          <w:u w:val="none" w:color="auto"/>
          <w14:textFill>
            <w14:solidFill>
              <w14:schemeClr w14:val="tx1"/>
            </w14:solidFill>
          </w14:textFill>
        </w:rPr>
        <w:t>不采取专门针对地下水污染的防治措施，地基处理应分层压实或一般地面硬化。</w:t>
      </w:r>
    </w:p>
    <w:p w14:paraId="07BD1E6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Cs w:val="24"/>
          <w:u w:val="none" w:color="auto"/>
          <w:lang w:eastAsia="zh-CN"/>
          <w14:textFill>
            <w14:solidFill>
              <w14:schemeClr w14:val="tx1"/>
            </w14:solidFill>
          </w14:textFill>
        </w:rPr>
      </w:pPr>
      <w:bookmarkStart w:id="490" w:name="_Toc204350810"/>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项目对可能产生地下水影响的各项途径均进行有效预防，在确保各项防渗措施得以落实，并加强维护和厂区环境管理的前提下，可有效控制厂区内的废水污染物下渗现象，避免污染地下水，因此项目不会对区域地下水环境产生明显影响。</w:t>
      </w:r>
    </w:p>
    <w:p w14:paraId="59184774">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91" w:name="_Toc20060"/>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5 运营期土壤污染防治措施</w:t>
      </w:r>
      <w:bookmarkEnd w:id="490"/>
      <w:bookmarkEnd w:id="491"/>
    </w:p>
    <w:p w14:paraId="137A166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本项目土壤污染的方式为垂直入渗。在日常运营过程中，采取以下措施减少项目对土壤环境质量的影响。</w:t>
      </w:r>
    </w:p>
    <w:p w14:paraId="4DBAC23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92" w:name="_Toc204350811"/>
      <w:bookmarkStart w:id="493" w:name="_Toc25108"/>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5.1 源头控制</w:t>
      </w:r>
      <w:bookmarkEnd w:id="492"/>
      <w:bookmarkEnd w:id="493"/>
    </w:p>
    <w:p w14:paraId="10B98C6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源头控制措施主要考虑从生产工艺和污染治理措施方面通常应采取以下措施：</w:t>
      </w:r>
    </w:p>
    <w:p w14:paraId="394D004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严格按照国家相关规范要求，对处理工艺、物料管道、设备、喷淋水储存及处理构筑物采取相应的防护措施，防止和降低污染物的跑、冒、滴、漏，将物料泄漏的环境风险事故降低到最低程度。</w:t>
      </w:r>
    </w:p>
    <w:p w14:paraId="5A104C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厂区内全部采用水泥抹面，涉及生产过程的装置区</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储罐区及</w:t>
      </w:r>
      <w:r>
        <w:rPr>
          <w:rFonts w:hint="default" w:ascii="Times New Roman" w:hAnsi="Times New Roman" w:eastAsia="宋体" w:cs="Times New Roman"/>
          <w:color w:val="000000" w:themeColor="text1"/>
          <w:u w:val="none" w:color="auto"/>
          <w14:textFill>
            <w14:solidFill>
              <w14:schemeClr w14:val="tx1"/>
            </w14:solidFill>
          </w14:textFill>
        </w:rPr>
        <w:t>污染防治措施均采取严格的硬化及防渗处理。生产过程中的各种物料及污染物均与天然土壤隔离。从污染物源头控制排放，加强环境管理，减少事故排放，采取严格的防渗措施，确保环保设施正常运行，故障后立刻停工整修。</w:t>
      </w:r>
    </w:p>
    <w:p w14:paraId="3E58961A">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94" w:name="_Toc204350812"/>
      <w:bookmarkStart w:id="495" w:name="_Toc32594"/>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5.2 过程防控措施</w:t>
      </w:r>
      <w:bookmarkEnd w:id="494"/>
      <w:bookmarkEnd w:id="495"/>
    </w:p>
    <w:p w14:paraId="6783469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（1）采取分区防渗措施。一般工业固废暂存区和危险废物暂存间分别按照《一般工业固体废物贮存和填埋污染控制标准》（GB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18599-2020）和《危险废物贮存污染控制标准》（GB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18597-2023）的要求进行防腐、防渗，使一般工业固废暂存区和危险废物暂存间的场地防渗系数分别小于10</w:t>
      </w:r>
      <w:r>
        <w:rPr>
          <w:rFonts w:hint="default" w:ascii="Times New Roman" w:hAnsi="Times New Roman" w:eastAsia="宋体" w:cs="Times New Roman"/>
          <w:color w:val="000000" w:themeColor="text1"/>
          <w:u w:val="none" w:color="auto"/>
          <w:vertAlign w:val="superscript"/>
          <w14:textFill>
            <w14:solidFill>
              <w14:schemeClr w14:val="tx1"/>
            </w14:solidFill>
          </w14:textFill>
        </w:rPr>
        <w:t>-7</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cm/s和10</w:t>
      </w:r>
      <w:r>
        <w:rPr>
          <w:rFonts w:hint="default" w:ascii="Times New Roman" w:hAnsi="Times New Roman" w:eastAsia="宋体" w:cs="Times New Roman"/>
          <w:color w:val="000000" w:themeColor="text1"/>
          <w:u w:val="none" w:color="auto"/>
          <w:vertAlign w:val="superscript"/>
          <w14:textFill>
            <w14:solidFill>
              <w14:schemeClr w14:val="tx1"/>
            </w14:solidFill>
          </w14:textFill>
        </w:rPr>
        <w:t>-10</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cm/s。</w:t>
      </w:r>
    </w:p>
    <w:p w14:paraId="32375B2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（2）在项目厂界周围种植较强吸附能力的植物，做好绿化工作，利用植物吸附作用减少土壤环境影响。</w:t>
      </w:r>
    </w:p>
    <w:p w14:paraId="10B0DAA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（3）加强对废气处理设施维护，保证废气处理设施正常运转。</w:t>
      </w:r>
    </w:p>
    <w:p w14:paraId="6BC04F2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96" w:name="_Toc20629"/>
      <w:bookmarkStart w:id="497" w:name="_Toc204350813"/>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5.3 跟踪监测</w:t>
      </w:r>
      <w:bookmarkEnd w:id="496"/>
      <w:bookmarkEnd w:id="497"/>
    </w:p>
    <w:p w14:paraId="4BAA080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制定跟踪监测计划，以便及时发现问题，采取措施。</w:t>
      </w:r>
    </w:p>
    <w:p w14:paraId="5503B60F">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498" w:name="_Toc2888"/>
      <w:bookmarkStart w:id="499" w:name="_Toc204350814"/>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5.4 应急措施</w:t>
      </w:r>
      <w:bookmarkEnd w:id="498"/>
      <w:bookmarkEnd w:id="499"/>
    </w:p>
    <w:p w14:paraId="0A6C476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发生突发事件可能造成土壤污染的，应当立即采取应急措施，防止土壤污染，并依照《中华人民共和国土壤污染防治法》规定做好土壤污染状况监测、调查和土壤污染风险评估、风险管控、修复等工作。</w:t>
      </w:r>
    </w:p>
    <w:p w14:paraId="76FBE7BF">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00" w:name="_Toc4967"/>
      <w:bookmarkStart w:id="501" w:name="_Toc204350815"/>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6 运营期噪声污染防治措施及可行性分析</w:t>
      </w:r>
      <w:bookmarkEnd w:id="500"/>
      <w:bookmarkEnd w:id="501"/>
    </w:p>
    <w:p w14:paraId="38F6867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02" w:name="_Toc18258"/>
      <w:bookmarkStart w:id="503" w:name="_Toc204350816"/>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6.1 项目噪声污染防治措施</w:t>
      </w:r>
      <w:bookmarkEnd w:id="502"/>
      <w:bookmarkEnd w:id="503"/>
    </w:p>
    <w:p w14:paraId="64917BA3">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本项目运营期主要的高噪声源有压滤机、闪蒸烘干机、高速混合机等，噪声源强为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75</w:t>
      </w:r>
      <w:r>
        <w:rPr>
          <w:rFonts w:hint="default" w:ascii="Times New Roman" w:hAnsi="Times New Roman" w:eastAsia="宋体" w:cs="Times New Roman"/>
          <w:color w:val="000000" w:themeColor="text1"/>
          <w:u w:val="none" w:color="auto"/>
          <w14:textFill>
            <w14:solidFill>
              <w14:schemeClr w14:val="tx1"/>
            </w14:solidFill>
          </w14:textFill>
        </w:rPr>
        <w:t>~9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0 </w:t>
      </w:r>
      <w:r>
        <w:rPr>
          <w:rFonts w:hint="default" w:ascii="Times New Roman" w:hAnsi="Times New Roman" w:eastAsia="宋体" w:cs="Times New Roman"/>
          <w:color w:val="000000" w:themeColor="text1"/>
          <w:u w:val="none" w:color="auto"/>
          <w14:textFill>
            <w14:solidFill>
              <w14:schemeClr w14:val="tx1"/>
            </w14:solidFill>
          </w14:textFill>
        </w:rPr>
        <w:t>dB（A）。</w:t>
      </w:r>
    </w:p>
    <w:p w14:paraId="3C411872">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属于物理性污染，其污染状况与噪声源、传播途径、接受者均有一定的关系。噪声传播途径包括反射，采用阻尼、隔声、消声器、个人防护和建筑布局等七大措施，尽量减弱或降低声源的振动，或将传播中的声能吸收掉，使声音全部或部分反射出去，减弱噪声对接受者的影响，这样则可达到控制噪声的目的。本项目噪声防治对策拟从声源上降低噪声和从噪声传播途径上降低噪声两个环节着手。</w:t>
      </w:r>
    </w:p>
    <w:p w14:paraId="2853AD66">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（1）企业选用低噪声环保型设备，并维持设备处于良好的运转状态；对声源采用减震、隔声、吸声和消声措施。</w:t>
      </w:r>
    </w:p>
    <w:p w14:paraId="2D2FEFAF">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（2）采用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闹静分开</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和</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合理布局</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设计原则，使高噪声设备尽可能远离噪声敏感区，在厂区布局设计时，将噪声大的车间设置在厂中部，这样可阻挡车间的噪声传播，把车间的噪声影响限制在厂区范围内，降低噪声对外界的影响，确保厂界噪声符合标准要求。</w:t>
      </w:r>
    </w:p>
    <w:p w14:paraId="230AC6F2">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zh-CN"/>
          <w14:textFill>
            <w14:solidFill>
              <w14:schemeClr w14:val="tx1"/>
            </w14:solidFill>
          </w14:textFill>
        </w:rPr>
      </w:pPr>
      <w:r>
        <w:rPr>
          <w:rFonts w:hint="default" w:ascii="Times New Roman" w:hAnsi="Times New Roman" w:eastAsia="宋体" w:cs="Times New Roman"/>
          <w:color w:val="000000" w:themeColor="text1"/>
          <w:u w:val="none" w:color="auto"/>
          <w:lang w:val="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3</w:t>
      </w:r>
      <w:r>
        <w:rPr>
          <w:rFonts w:hint="default" w:ascii="Times New Roman" w:hAnsi="Times New Roman" w:eastAsia="宋体" w:cs="Times New Roman"/>
          <w:color w:val="000000" w:themeColor="text1"/>
          <w:u w:val="none" w:color="auto"/>
          <w:lang w:val="zh-CN"/>
          <w14:textFill>
            <w14:solidFill>
              <w14:schemeClr w14:val="tx1"/>
            </w14:solidFill>
          </w14:textFill>
        </w:rPr>
        <w:t>）针对各车间设置的引风机、输送泵的产噪较大的生产设备应进行相应消声、减振措施，降低其噪声对周边声环境的不良影响。</w:t>
      </w:r>
    </w:p>
    <w:p w14:paraId="6F7EF87E">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val="zh-CN"/>
          <w14:textFill>
            <w14:solidFill>
              <w14:schemeClr w14:val="tx1"/>
            </w14:solidFill>
          </w14:textFill>
        </w:rPr>
      </w:pPr>
      <w:r>
        <w:rPr>
          <w:rFonts w:hint="default" w:ascii="Times New Roman" w:hAnsi="Times New Roman" w:eastAsia="宋体" w:cs="Times New Roman"/>
          <w:color w:val="000000" w:themeColor="text1"/>
          <w:u w:val="none" w:color="auto"/>
          <w:lang w:val="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zh-CN"/>
          <w14:textFill>
            <w14:solidFill>
              <w14:schemeClr w14:val="tx1"/>
            </w14:solidFill>
          </w14:textFill>
        </w:rPr>
        <w:t>）对于辅助性设施空压机应布置在专门的设备房内，并做好基础减振措施。</w:t>
      </w:r>
    </w:p>
    <w:p w14:paraId="750FFE05">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（5）加强厂区内部、项目边界等处的绿化，合理配置绿化植物，既可美化环境，同时可起到辅助吸声、隔声作用。</w:t>
      </w:r>
    </w:p>
    <w:p w14:paraId="0190F696">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经过以上的隔声降噪处理后，项目生产过程中所产生的噪声值一般可降低20~30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dB（A）。经过距离衰减后可达到《工业企业厂界环境噪声排放标准》（GB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12348-2008）3类标准的要求。</w:t>
      </w:r>
    </w:p>
    <w:p w14:paraId="31509A35">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项目采取相应的隔声降噪措施，以减少噪声的影响，在噪声防治中相对比较成熟的做法，技术可行性高，采取的治理措施投入不大，具有良好的经济可行性。</w:t>
      </w:r>
    </w:p>
    <w:p w14:paraId="7C38A23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04" w:name="_Toc10221"/>
      <w:bookmarkStart w:id="505" w:name="_Toc204350817"/>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6.2 噪声污染防治措施可行性分析</w:t>
      </w:r>
      <w:bookmarkEnd w:id="504"/>
      <w:bookmarkEnd w:id="505"/>
    </w:p>
    <w:p w14:paraId="23B32D52">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本项目设置的噪声污染防治措施在国内已得到广泛应用，技术上成熟可靠。</w:t>
      </w:r>
    </w:p>
    <w:p w14:paraId="2BDE7A3B">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06" w:name="_Toc204350818"/>
      <w:bookmarkStart w:id="507" w:name="_Toc11640"/>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7 运营期固体废物污染防治措施及可行性分析</w:t>
      </w:r>
      <w:bookmarkEnd w:id="506"/>
      <w:bookmarkEnd w:id="507"/>
    </w:p>
    <w:p w14:paraId="1104024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08" w:name="_Toc204350819"/>
      <w:bookmarkStart w:id="509" w:name="_Toc4468"/>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7.1 固体废物处置措施</w:t>
      </w:r>
      <w:bookmarkEnd w:id="508"/>
      <w:bookmarkEnd w:id="509"/>
    </w:p>
    <w:p w14:paraId="61D907C8">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建设单位对各种固体废物进行分类堆放处理，根据企业现场调查，目前厂区内设置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垃圾桶</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沉渣池</w:t>
      </w:r>
      <w:r>
        <w:rPr>
          <w:rFonts w:hint="default" w:ascii="Times New Roman" w:hAnsi="Times New Roman" w:eastAsia="宋体" w:cs="Times New Roman"/>
          <w:color w:val="000000" w:themeColor="text1"/>
          <w:u w:val="none" w:color="auto"/>
          <w14:textFill>
            <w14:solidFill>
              <w14:schemeClr w14:val="tx1"/>
            </w14:solidFill>
          </w14:textFill>
        </w:rPr>
        <w:t>、危险废物暂存</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间</w:t>
      </w:r>
      <w:r>
        <w:rPr>
          <w:rFonts w:hint="default" w:ascii="Times New Roman" w:hAnsi="Times New Roman" w:eastAsia="宋体" w:cs="Times New Roman"/>
          <w:color w:val="000000" w:themeColor="text1"/>
          <w:u w:val="none" w:color="auto"/>
          <w14:textFill>
            <w14:solidFill>
              <w14:schemeClr w14:val="tx1"/>
            </w14:solidFill>
          </w14:textFill>
        </w:rPr>
        <w:t>，项目各类固体废物应采取的处理措施如下：</w:t>
      </w:r>
    </w:p>
    <w:p w14:paraId="5E0C6C41">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（1）危险废物：包括生产过程产生的废气处理设施产生的废过滤棉</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废气处理设施产生的废活性炭</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设备检修产生的废润滑油</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废劳保用品等，定期交由有资质单位处置。</w:t>
      </w:r>
    </w:p>
    <w:p w14:paraId="1DA1E955">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（2）一般固废：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废弃油脂加工产生的废渣</w:t>
      </w:r>
      <w:r>
        <w:rPr>
          <w:rFonts w:hint="default" w:ascii="Times New Roman" w:hAnsi="Times New Roman" w:eastAsia="宋体" w:cs="Times New Roman"/>
          <w:color w:val="000000" w:themeColor="text1"/>
          <w:u w:val="none" w:color="auto"/>
          <w14:textFill>
            <w14:solidFill>
              <w14:schemeClr w14:val="tx1"/>
            </w14:solidFill>
          </w14:textFill>
        </w:rPr>
        <w:t>交由有关单位进行综合利用或处置</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污水处理设施隔油池产生的浮渣回用生产；成品油检验产生的废油作为产品外售。项目产生的一般固体废物均能得到妥善处置</w:t>
      </w:r>
      <w:r>
        <w:rPr>
          <w:rFonts w:hint="default" w:ascii="Times New Roman" w:hAnsi="Times New Roman" w:eastAsia="宋体" w:cs="Times New Roman"/>
          <w:color w:val="000000" w:themeColor="text1"/>
          <w:u w:val="none" w:color="auto"/>
          <w14:textFill>
            <w14:solidFill>
              <w14:schemeClr w14:val="tx1"/>
            </w14:solidFill>
          </w14:textFill>
        </w:rPr>
        <w:t>，对周边环境影响小。</w:t>
      </w:r>
    </w:p>
    <w:p w14:paraId="6781350C">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（3）生活垃圾：主要为员工</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生活产生的生活垃圾</w:t>
      </w:r>
      <w:r>
        <w:rPr>
          <w:rFonts w:hint="default" w:ascii="Times New Roman" w:hAnsi="Times New Roman" w:eastAsia="宋体" w:cs="Times New Roman"/>
          <w:color w:val="000000" w:themeColor="text1"/>
          <w:u w:val="none" w:color="auto"/>
          <w14:textFill>
            <w14:solidFill>
              <w14:schemeClr w14:val="tx1"/>
            </w14:solidFill>
          </w14:textFill>
        </w:rPr>
        <w:t>等，该部分废物</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于厂区垃圾桶分类</w:t>
      </w:r>
      <w:r>
        <w:rPr>
          <w:rFonts w:hint="default" w:ascii="Times New Roman" w:hAnsi="Times New Roman" w:eastAsia="宋体" w:cs="Times New Roman"/>
          <w:color w:val="000000" w:themeColor="text1"/>
          <w:u w:val="none" w:color="auto"/>
          <w14:textFill>
            <w14:solidFill>
              <w14:schemeClr w14:val="tx1"/>
            </w14:solidFill>
          </w14:textFill>
        </w:rPr>
        <w:t>收集后，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统一</w:t>
      </w:r>
      <w:r>
        <w:rPr>
          <w:rFonts w:hint="default" w:ascii="Times New Roman" w:hAnsi="Times New Roman" w:eastAsia="宋体" w:cs="Times New Roman"/>
          <w:color w:val="000000" w:themeColor="text1"/>
          <w:u w:val="none" w:color="auto"/>
          <w14:textFill>
            <w14:solidFill>
              <w14:schemeClr w14:val="tx1"/>
            </w14:solidFill>
          </w14:textFill>
        </w:rPr>
        <w:t>交由环卫部门定期清运。</w:t>
      </w:r>
    </w:p>
    <w:p w14:paraId="62DCFF06">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通过上述处理，项目产生的固体废物对周围环境不会产生不利影响。</w:t>
      </w:r>
    </w:p>
    <w:p w14:paraId="5330781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10" w:name="_Toc204350820"/>
      <w:bookmarkStart w:id="511" w:name="_Toc1939"/>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7.2 危险废物污染防治措施分析</w:t>
      </w:r>
      <w:bookmarkEnd w:id="510"/>
      <w:bookmarkEnd w:id="511"/>
    </w:p>
    <w:p w14:paraId="057B4427">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7.2.1 储存过程污染控制分析</w:t>
      </w:r>
    </w:p>
    <w:p w14:paraId="31F300CA">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拟</w:t>
      </w:r>
      <w:r>
        <w:rPr>
          <w:rFonts w:hint="default" w:ascii="Times New Roman" w:hAnsi="Times New Roman" w:eastAsia="宋体" w:cs="Times New Roman"/>
          <w:color w:val="000000" w:themeColor="text1"/>
          <w:u w:val="none" w:color="auto"/>
          <w14:textFill>
            <w14:solidFill>
              <w14:schemeClr w14:val="tx1"/>
            </w14:solidFill>
          </w14:textFill>
        </w:rPr>
        <w:t>建危险废物暂存间</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占地面积约为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10 </w:t>
      </w:r>
      <w:r>
        <w:rPr>
          <w:rFonts w:hint="default" w:ascii="Times New Roman" w:hAnsi="Times New Roman" w:eastAsia="宋体" w:cs="Times New Roman"/>
          <w:color w:val="000000" w:themeColor="text1"/>
          <w:u w:val="none" w:color="auto"/>
          <w14:textFill>
            <w14:solidFill>
              <w14:schemeClr w14:val="tx1"/>
            </w14:solidFill>
          </w14:textFill>
        </w:rPr>
        <w:t>m</w:t>
      </w:r>
      <w:r>
        <w:rPr>
          <w:rFonts w:hint="default" w:ascii="Times New Roman" w:hAnsi="Times New Roman" w:eastAsia="宋体" w:cs="Times New Roman"/>
          <w:color w:val="000000" w:themeColor="text1"/>
          <w:u w:val="none" w:color="auto"/>
          <w:vertAlign w:val="superscript"/>
          <w14:textFill>
            <w14:solidFill>
              <w14:schemeClr w14:val="tx1"/>
            </w14:solidFill>
          </w14:textFill>
        </w:rPr>
        <w:t>2</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p w14:paraId="3B5E1BAD">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项目危险废物储存和处置执行《危险固体废物贮存污染控制标准》（GB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18597-2023），危废应设专用设施和仓库分类存贮，不得混贮，并做好仓库的防淋防渗防腐措施，固体废物暂存间的建设要求主要如下：</w:t>
      </w:r>
    </w:p>
    <w:p w14:paraId="24588F78">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①地面与裙脚要用坚固、防渗的材料建造，建筑材料必须与化学原料相容；</w:t>
      </w:r>
    </w:p>
    <w:p w14:paraId="7484BD57">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②基础和裙脚必须防渗，防渗能力要达到渗透系数≤10</w:t>
      </w:r>
      <w:r>
        <w:rPr>
          <w:rFonts w:hint="default" w:ascii="Times New Roman" w:hAnsi="Times New Roman" w:eastAsia="宋体" w:cs="Times New Roman"/>
          <w:color w:val="000000" w:themeColor="text1"/>
          <w:u w:val="none" w:color="auto"/>
          <w:vertAlign w:val="superscript"/>
          <w14:textFill>
            <w14:solidFill>
              <w14:schemeClr w14:val="tx1"/>
            </w14:solidFill>
          </w14:textFill>
        </w:rPr>
        <w:t>-12</w:t>
      </w:r>
      <w:r>
        <w:rPr>
          <w:rFonts w:hint="default" w:ascii="Times New Roman" w:hAnsi="Times New Roman" w:eastAsia="宋体" w:cs="Times New Roman"/>
          <w:color w:val="000000" w:themeColor="text1"/>
          <w:u w:val="none" w:color="auto"/>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cm/s；</w:t>
      </w:r>
    </w:p>
    <w:p w14:paraId="2360AF23">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③应防风、防雨、防晒、防火；</w:t>
      </w:r>
    </w:p>
    <w:p w14:paraId="4F2BA75B">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④必须设集排水设施，避免泄露直排造成环境污染；</w:t>
      </w:r>
    </w:p>
    <w:p w14:paraId="58C03F80">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⑤设施内要有安全照明设施和观察窗口；</w:t>
      </w:r>
    </w:p>
    <w:p w14:paraId="6250EB7D">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⑥定期对储存场所进行检查，发现异常应及时进行修理；</w:t>
      </w:r>
    </w:p>
    <w:p w14:paraId="5566FA05">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⑦库房必须按GB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15562.2的规定设置警示标志。</w:t>
      </w:r>
    </w:p>
    <w:p w14:paraId="6A9262F6">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7.2.2 运输过程污染控制分析</w:t>
      </w:r>
    </w:p>
    <w:p w14:paraId="0CEB6CB5">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项目运营期的危险废物在运输过程中必须按如下要求严格控制：</w:t>
      </w:r>
    </w:p>
    <w:p w14:paraId="3EB62077">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运输线路尽量避开居民集中区、饮用水源保护区等环境敏感点，按当地政府、交通、公安、环保相关部门规定的线路行使。运输前需做好周密的运输计划和行使路线，其中应包括废物泄露情况下的有效应急措施；</w:t>
      </w:r>
    </w:p>
    <w:p w14:paraId="6C083E5C">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运输车辆必须采用专用罐车或者需有塑料内衬和帆布盖顶，完善原料及固体废物的封装、加强装卸运输车辆的防淋、防漏、防腐、防扬撒措施，不得超载，避免受振将有可能漏泄出含危险组分而对沿途带来的二次污染环境；</w:t>
      </w:r>
    </w:p>
    <w:p w14:paraId="134D340E">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③运输工具未经消除污染不能装载其他物品；</w:t>
      </w:r>
    </w:p>
    <w:p w14:paraId="13D2AE77">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④运输车辆应设置明显的标志并经常维护保养，保证车况良好和行车安全；</w:t>
      </w:r>
    </w:p>
    <w:p w14:paraId="147BD99C">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⑤运输必须由专业运输车辆和专业人员承运。从事运输人员，应接受专门安全培训后方可上岗。</w:t>
      </w:r>
    </w:p>
    <w:p w14:paraId="6E57E8FF">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⑥须做好危险废物情况的纪录，记录上须注明危险废物的名称、来源、数量、特性和包装容器的类别、入库日期、堆放库位，做好危废</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五联单</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交接管理。</w:t>
      </w:r>
    </w:p>
    <w:p w14:paraId="3D9268B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Cs/>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14:textFill>
            <w14:solidFill>
              <w14:schemeClr w14:val="tx1"/>
            </w14:solidFill>
          </w14:textFill>
        </w:rPr>
        <w:t>总体来看，本项目固体废物均得到了妥善处理，</w:t>
      </w:r>
      <w:r>
        <w:rPr>
          <w:rFonts w:hint="default" w:ascii="Times New Roman" w:hAnsi="Times New Roman" w:eastAsia="宋体" w:cs="Times New Roman"/>
          <w:bCs/>
          <w:color w:val="000000" w:themeColor="text1"/>
          <w:u w:val="none" w:color="auto"/>
          <w14:textFill>
            <w14:solidFill>
              <w14:schemeClr w14:val="tx1"/>
            </w14:solidFill>
          </w14:textFill>
        </w:rPr>
        <w:t>各项处理措施合理、可行、</w:t>
      </w:r>
      <w:r>
        <w:rPr>
          <w:rFonts w:hint="default" w:ascii="Times New Roman" w:hAnsi="Times New Roman" w:eastAsia="宋体" w:cs="Times New Roman"/>
          <w:color w:val="000000" w:themeColor="text1"/>
          <w:u w:val="none" w:color="auto"/>
          <w14:textFill>
            <w14:solidFill>
              <w14:schemeClr w14:val="tx1"/>
            </w14:solidFill>
          </w14:textFill>
        </w:rPr>
        <w:t>有效，企业</w:t>
      </w:r>
      <w:r>
        <w:rPr>
          <w:rFonts w:hint="default" w:ascii="Times New Roman" w:hAnsi="Times New Roman" w:eastAsia="宋体" w:cs="Times New Roman"/>
          <w:bCs/>
          <w:color w:val="000000" w:themeColor="text1"/>
          <w:u w:val="none" w:color="auto"/>
          <w14:textFill>
            <w14:solidFill>
              <w14:schemeClr w14:val="tx1"/>
            </w14:solidFill>
          </w14:textFill>
        </w:rPr>
        <w:t>必须加强储存与运输的监督管理，按各项要求逐一落实。</w:t>
      </w:r>
    </w:p>
    <w:p w14:paraId="4F6641FC">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512" w:name="_Toc188005954"/>
      <w:bookmarkStart w:id="513" w:name="_Toc187011399"/>
      <w:bookmarkStart w:id="514" w:name="_Toc191240118"/>
      <w:bookmarkStart w:id="515" w:name="_Toc32560"/>
      <w:r>
        <w:rPr>
          <w:rFonts w:hint="default" w:ascii="Times New Roman" w:hAnsi="Times New Roman" w:eastAsia="宋体" w:cs="Times New Roman"/>
          <w:color w:val="000000" w:themeColor="text1"/>
          <w:u w:val="none" w:color="auto"/>
          <w14:textFill>
            <w14:solidFill>
              <w14:schemeClr w14:val="tx1"/>
            </w14:solidFill>
          </w14:textFill>
        </w:rPr>
        <w:t>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章 总量控制</w:t>
      </w:r>
      <w:bookmarkEnd w:id="512"/>
      <w:bookmarkEnd w:id="513"/>
      <w:bookmarkEnd w:id="514"/>
      <w:bookmarkEnd w:id="515"/>
    </w:p>
    <w:p w14:paraId="20FE2F60">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16" w:name="OLE_LINK216"/>
      <w:bookmarkStart w:id="517" w:name="OLE_LINK215"/>
      <w:bookmarkStart w:id="518" w:name="_Toc164200896"/>
      <w:bookmarkStart w:id="519" w:name="_Toc144236877"/>
      <w:bookmarkStart w:id="520" w:name="_Toc2525"/>
      <w:bookmarkStart w:id="521" w:name="_Toc191240119"/>
      <w:bookmarkStart w:id="522" w:name="_Toc144277007"/>
      <w:bookmarkStart w:id="523" w:name="_Toc188005955"/>
      <w:bookmarkStart w:id="524" w:name="_Toc187011400"/>
      <w:r>
        <w:rPr>
          <w:rFonts w:hint="default" w:ascii="Times New Roman" w:hAnsi="Times New Roman" w:eastAsia="宋体" w:cs="Times New Roman"/>
          <w:color w:val="000000" w:themeColor="text1"/>
          <w:u w:val="none" w:color="auto"/>
          <w:lang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1</w:t>
      </w:r>
      <w:bookmarkEnd w:id="516"/>
      <w:bookmarkEnd w:id="517"/>
      <w:r>
        <w:rPr>
          <w:rFonts w:hint="default" w:ascii="Times New Roman" w:hAnsi="Times New Roman" w:eastAsia="宋体" w:cs="Times New Roman"/>
          <w:color w:val="000000" w:themeColor="text1"/>
          <w:u w:val="none" w:color="auto"/>
          <w14:textFill>
            <w14:solidFill>
              <w14:schemeClr w14:val="tx1"/>
            </w14:solidFill>
          </w14:textFill>
        </w:rPr>
        <w:t xml:space="preserve"> 本项目建成后全厂污染物排放量</w:t>
      </w:r>
      <w:bookmarkEnd w:id="518"/>
      <w:bookmarkEnd w:id="519"/>
      <w:bookmarkEnd w:id="520"/>
      <w:bookmarkEnd w:id="521"/>
      <w:bookmarkEnd w:id="522"/>
      <w:bookmarkEnd w:id="523"/>
      <w:bookmarkEnd w:id="524"/>
    </w:p>
    <w:p w14:paraId="08A54CB4">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000000" w:themeColor="text1"/>
          <w:u w:val="none" w:color="auto"/>
          <w:lang w:val="en-US" w:eastAsia="zh-CN"/>
          <w14:textFill>
            <w14:solidFill>
              <w14:schemeClr w14:val="tx1"/>
            </w14:solidFill>
          </w14:textFill>
        </w:rPr>
      </w:pPr>
      <w:bookmarkStart w:id="525" w:name="_Toc187011401"/>
      <w:bookmarkStart w:id="526" w:name="_Toc204350823"/>
      <w:bookmarkStart w:id="527" w:name="_Toc191240120"/>
      <w:bookmarkStart w:id="528" w:name="_Toc199517628"/>
      <w:bookmarkStart w:id="529" w:name="_Toc188005956"/>
      <w:r>
        <w:rPr>
          <w:rFonts w:hint="default" w:ascii="Times New Roman" w:hAnsi="Times New Roman" w:eastAsia="宋体" w:cs="Times New Roman"/>
          <w:color w:val="000000" w:themeColor="text1"/>
          <w:u w:val="none" w:color="auto"/>
          <w14:textFill>
            <w14:solidFill>
              <w14:schemeClr w14:val="tx1"/>
            </w14:solidFill>
          </w14:textFill>
        </w:rPr>
        <w:t>根据湖南省人民政府办公厅关于印发《湖南省主要污染物排污权有偿使用和交易管理办法》的通知</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湘政办发〔2022〕23号</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，该办法适用于全省行政区域内主要污染物排污权有偿使用和交易管理，办法所称的主要污染物，是指化学需氧量、氨氮、二氧化硫、氮氧化物、铅、镉、砷、汞、铬、挥发性有机物、总磷等十一类污染物。</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根据</w:t>
      </w:r>
      <w:r>
        <w:rPr>
          <w:rFonts w:hint="default" w:ascii="Times New Roman" w:hAnsi="Times New Roman" w:eastAsia="宋体" w:cs="Times New Roman"/>
          <w:color w:val="000000" w:themeColor="text1"/>
          <w:u w:val="none" w:color="auto"/>
          <w14:textFill>
            <w14:solidFill>
              <w14:schemeClr w14:val="tx1"/>
            </w14:solidFill>
          </w14:textFill>
        </w:rPr>
        <w:t>《湖南省主要污染物排污权有偿使用和交易</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实施细则</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湘政办发〔202</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14:textFill>
            <w14:solidFill>
              <w14:schemeClr w14:val="tx1"/>
            </w14:solidFill>
          </w14:textFill>
        </w:rPr>
        <w:t>〕3号</w:t>
      </w:r>
      <w:r>
        <w:rPr>
          <w:rFonts w:hint="default" w:ascii="Times New Roman" w:hAnsi="Times New Roman" w:eastAsia="宋体" w:cs="Times New Roman"/>
          <w:color w:val="000000" w:themeColor="text1"/>
          <w:u w:val="none" w:color="auto"/>
          <w:lang w:eastAsia="zh-CN"/>
          <w14:textFill>
            <w14:solidFill>
              <w14:schemeClr w14:val="tx1"/>
            </w14:solidFill>
          </w14:textFill>
        </w:rPr>
        <w:t>），化学需氧量、氨氮、二氧化硫、氮氧化物、挥发性有机物、总 磷、铅、镉、砷、汞、铬十一类污染物实施管理的范围为有效实施的国家固定污染源排污许可分类管理名录的工业类排污单位。</w:t>
      </w:r>
    </w:p>
    <w:p w14:paraId="526C2CA6">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30" w:name="_Toc22265"/>
      <w:r>
        <w:rPr>
          <w:rFonts w:hint="default" w:ascii="Times New Roman" w:hAnsi="Times New Roman" w:eastAsia="宋体" w:cs="Times New Roman"/>
          <w:color w:val="000000" w:themeColor="text1"/>
          <w:u w:val="none" w:color="auto"/>
          <w:lang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1.1 废水</w:t>
      </w:r>
      <w:bookmarkEnd w:id="525"/>
      <w:bookmarkEnd w:id="526"/>
      <w:bookmarkEnd w:id="527"/>
      <w:bookmarkEnd w:id="528"/>
      <w:bookmarkEnd w:id="529"/>
      <w:bookmarkEnd w:id="530"/>
    </w:p>
    <w:p w14:paraId="7C7A4719">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运营期产生的废水包括生活废水、生产废水，其中生产废水包括废弃油脂加工工序产生的废水、地面拖洗废水、车辆清洗废水、设备管道清洗废水、喷淋塔循环废水。生产废水经密闭管道收集汇入隔油池+A/O预处理</w:t>
      </w:r>
      <w:r>
        <w:rPr>
          <w:rFonts w:hint="default" w:ascii="Times New Roman" w:hAnsi="Times New Roman" w:eastAsia="宋体" w:cs="Times New Roman"/>
          <w:color w:val="000000" w:themeColor="text1"/>
          <w:u w:val="none" w:color="auto"/>
          <w14:textFill>
            <w14:solidFill>
              <w14:schemeClr w14:val="tx1"/>
            </w14:solidFill>
          </w14:textFill>
        </w:rPr>
        <w:t>达到平江高新技术产业园污水处理厂</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纳污标准</w:t>
      </w:r>
      <w:r>
        <w:rPr>
          <w:rFonts w:hint="default" w:ascii="Times New Roman" w:hAnsi="Times New Roman" w:eastAsia="宋体" w:cs="Times New Roman"/>
          <w:color w:val="000000" w:themeColor="text1"/>
          <w:u w:val="none" w:color="auto"/>
          <w14:textFill>
            <w14:solidFill>
              <w14:schemeClr w14:val="tx1"/>
            </w14:solidFill>
          </w14:textFill>
        </w:rPr>
        <w:t>后，经园区污水管网排入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；生活污水经园区化粪池处理</w:t>
      </w:r>
      <w:r>
        <w:rPr>
          <w:rFonts w:hint="default" w:ascii="Times New Roman" w:hAnsi="Times New Roman" w:eastAsia="宋体" w:cs="Times New Roman"/>
          <w:color w:val="000000" w:themeColor="text1"/>
          <w:u w:val="none" w:color="auto"/>
          <w14:textFill>
            <w14:solidFill>
              <w14:schemeClr w14:val="tx1"/>
            </w14:solidFill>
          </w14:textFill>
        </w:rPr>
        <w:t>达到《污水综合排放标准》（GB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8978-1996）表4三级标准及平江高新技术产业园污水处理厂进水水质要求中的较严值后，经园区污水管网排入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p>
    <w:p w14:paraId="7788A9B9">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项目废水特征因子为COD</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Cr</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、BOD</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、SS、氨氮、动植物油。</w:t>
      </w:r>
      <w:r>
        <w:rPr>
          <w:rFonts w:hint="default" w:ascii="Times New Roman" w:hAnsi="Times New Roman" w:eastAsia="宋体" w:cs="Times New Roman"/>
          <w:color w:val="000000" w:themeColor="text1"/>
          <w:u w:val="none" w:color="auto"/>
          <w14:textFill>
            <w14:solidFill>
              <w14:schemeClr w14:val="tx1"/>
            </w14:solidFill>
          </w14:textFill>
        </w:rPr>
        <w:t>因此本项目废水总量控制指标为化学需氧量、氨氮。</w:t>
      </w:r>
    </w:p>
    <w:p w14:paraId="50E42347">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31" w:name="_Toc188005957"/>
      <w:bookmarkStart w:id="532" w:name="_Toc9006"/>
      <w:bookmarkStart w:id="533" w:name="_Toc191240121"/>
      <w:bookmarkStart w:id="534" w:name="_Toc187011402"/>
      <w:bookmarkStart w:id="535" w:name="_Toc199517629"/>
      <w:bookmarkStart w:id="536" w:name="_Toc204350824"/>
      <w:r>
        <w:rPr>
          <w:rFonts w:hint="default" w:ascii="Times New Roman" w:hAnsi="Times New Roman" w:eastAsia="宋体" w:cs="Times New Roman"/>
          <w:color w:val="000000" w:themeColor="text1"/>
          <w:u w:val="none" w:color="auto"/>
          <w:lang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1.2 废气</w:t>
      </w:r>
      <w:bookmarkEnd w:id="531"/>
      <w:bookmarkEnd w:id="532"/>
      <w:bookmarkEnd w:id="533"/>
      <w:bookmarkEnd w:id="534"/>
      <w:bookmarkEnd w:id="535"/>
      <w:bookmarkEnd w:id="536"/>
    </w:p>
    <w:p w14:paraId="5B2A4B6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项目运营期产生的废气包括生产车间有组织废气和厂区外无组织废气。废气特征因子为氨气、硫化氢、臭气浓度、非甲烷总烃。因此本项目废气总量控制指标为挥发性有机物。</w:t>
      </w:r>
    </w:p>
    <w:p w14:paraId="60CAA9BC">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37" w:name="_Toc29473"/>
      <w:r>
        <w:rPr>
          <w:rFonts w:hint="default" w:ascii="Times New Roman" w:hAnsi="Times New Roman" w:eastAsia="宋体" w:cs="Times New Roman"/>
          <w:color w:val="000000" w:themeColor="text1"/>
          <w:u w:val="none" w:color="auto"/>
          <w:lang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2 总量指标</w:t>
      </w:r>
      <w:bookmarkEnd w:id="537"/>
    </w:p>
    <w:p w14:paraId="59DE880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项目建成后，总量指标见下表所示：</w:t>
      </w:r>
    </w:p>
    <w:p w14:paraId="49167D77">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2-1  项目主要污染物总量控制指标单位：t/a</w:t>
      </w:r>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1"/>
        <w:gridCol w:w="2131"/>
        <w:gridCol w:w="2133"/>
      </w:tblGrid>
      <w:tr w14:paraId="04E553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shd w:val="clear" w:color="auto" w:fill="auto"/>
            <w:vAlign w:val="center"/>
          </w:tcPr>
          <w:p w14:paraId="11C14B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污染类别</w:t>
            </w:r>
          </w:p>
        </w:tc>
        <w:tc>
          <w:tcPr>
            <w:tcW w:w="1249" w:type="pct"/>
            <w:shd w:val="clear" w:color="auto" w:fill="auto"/>
            <w:vAlign w:val="center"/>
          </w:tcPr>
          <w:p w14:paraId="4A37465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w:t>
            </w:r>
          </w:p>
        </w:tc>
        <w:tc>
          <w:tcPr>
            <w:tcW w:w="1249" w:type="pct"/>
            <w:shd w:val="clear" w:color="auto" w:fill="auto"/>
            <w:vAlign w:val="center"/>
          </w:tcPr>
          <w:p w14:paraId="4E4BFF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t>项目总排放量</w:t>
            </w:r>
          </w:p>
        </w:tc>
        <w:tc>
          <w:tcPr>
            <w:tcW w:w="1250" w:type="pct"/>
            <w:shd w:val="clear" w:color="auto" w:fill="auto"/>
            <w:vAlign w:val="center"/>
          </w:tcPr>
          <w:p w14:paraId="6B06A4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需购总量</w:t>
            </w:r>
          </w:p>
        </w:tc>
      </w:tr>
      <w:tr w14:paraId="55A05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Merge w:val="restart"/>
            <w:shd w:val="clear" w:color="auto" w:fill="auto"/>
            <w:vAlign w:val="center"/>
          </w:tcPr>
          <w:p w14:paraId="231B865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废水</w:t>
            </w:r>
          </w:p>
        </w:tc>
        <w:tc>
          <w:tcPr>
            <w:tcW w:w="1249" w:type="pct"/>
            <w:shd w:val="clear" w:color="auto" w:fill="auto"/>
            <w:vAlign w:val="center"/>
          </w:tcPr>
          <w:p w14:paraId="03648D0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化学需氧量</w:t>
            </w:r>
          </w:p>
        </w:tc>
        <w:tc>
          <w:tcPr>
            <w:tcW w:w="1249" w:type="pct"/>
            <w:shd w:val="clear" w:color="auto" w:fill="auto"/>
            <w:vAlign w:val="center"/>
          </w:tcPr>
          <w:p w14:paraId="3D5A233E">
            <w:pPr>
              <w:pStyle w:val="68"/>
              <w:keepNext w:val="0"/>
              <w:keepLines w:val="0"/>
              <w:pageBreakBefore w:val="0"/>
              <w:widowControl w:val="0"/>
              <w:kinsoku/>
              <w:wordWrap/>
              <w:overflowPunct/>
              <w:topLinePunct w:val="0"/>
              <w:bidi w:val="0"/>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0.2</w:t>
            </w: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318</w:t>
            </w:r>
          </w:p>
        </w:tc>
        <w:tc>
          <w:tcPr>
            <w:tcW w:w="2133" w:type="dxa"/>
            <w:shd w:val="clear" w:color="auto" w:fill="auto"/>
            <w:vAlign w:val="center"/>
          </w:tcPr>
          <w:p w14:paraId="722A0257">
            <w:pPr>
              <w:pStyle w:val="68"/>
              <w:keepNext w:val="0"/>
              <w:keepLines w:val="0"/>
              <w:pageBreakBefore w:val="0"/>
              <w:widowControl w:val="0"/>
              <w:kinsoku/>
              <w:wordWrap/>
              <w:overflowPunct/>
              <w:topLinePunct w:val="0"/>
              <w:bidi w:val="0"/>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0.2</w:t>
            </w: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318</w:t>
            </w:r>
          </w:p>
        </w:tc>
      </w:tr>
      <w:tr w14:paraId="468EC0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Merge w:val="continue"/>
            <w:shd w:val="clear" w:color="auto" w:fill="auto"/>
            <w:vAlign w:val="center"/>
          </w:tcPr>
          <w:p w14:paraId="37298D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249" w:type="pct"/>
            <w:shd w:val="clear" w:color="auto" w:fill="auto"/>
            <w:vAlign w:val="center"/>
          </w:tcPr>
          <w:p w14:paraId="0F011E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氨氮</w:t>
            </w:r>
          </w:p>
        </w:tc>
        <w:tc>
          <w:tcPr>
            <w:tcW w:w="1249" w:type="pct"/>
            <w:shd w:val="clear" w:color="auto" w:fill="auto"/>
            <w:vAlign w:val="center"/>
          </w:tcPr>
          <w:p w14:paraId="160389F7">
            <w:pPr>
              <w:pStyle w:val="68"/>
              <w:keepNext w:val="0"/>
              <w:keepLines w:val="0"/>
              <w:pageBreakBefore w:val="0"/>
              <w:widowControl w:val="0"/>
              <w:kinsoku/>
              <w:wordWrap/>
              <w:overflowPunct/>
              <w:topLinePunct w:val="0"/>
              <w:bidi w:val="0"/>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0.02</w:t>
            </w: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69</w:t>
            </w:r>
          </w:p>
        </w:tc>
        <w:tc>
          <w:tcPr>
            <w:tcW w:w="2133" w:type="dxa"/>
            <w:shd w:val="clear" w:color="auto" w:fill="auto"/>
            <w:vAlign w:val="center"/>
          </w:tcPr>
          <w:p w14:paraId="39594689">
            <w:pPr>
              <w:pStyle w:val="68"/>
              <w:keepNext w:val="0"/>
              <w:keepLines w:val="0"/>
              <w:pageBreakBefore w:val="0"/>
              <w:widowControl w:val="0"/>
              <w:kinsoku/>
              <w:wordWrap/>
              <w:overflowPunct/>
              <w:topLinePunct w:val="0"/>
              <w:bidi w:val="0"/>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0.02</w:t>
            </w: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69</w:t>
            </w:r>
          </w:p>
        </w:tc>
      </w:tr>
      <w:tr w14:paraId="10B8DE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Align w:val="center"/>
          </w:tcPr>
          <w:p w14:paraId="394338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废气</w:t>
            </w:r>
          </w:p>
        </w:tc>
        <w:tc>
          <w:tcPr>
            <w:tcW w:w="1249" w:type="pct"/>
            <w:vAlign w:val="center"/>
          </w:tcPr>
          <w:p w14:paraId="62D085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w:t>
            </w:r>
          </w:p>
        </w:tc>
        <w:tc>
          <w:tcPr>
            <w:tcW w:w="1249" w:type="pct"/>
            <w:vAlign w:val="center"/>
          </w:tcPr>
          <w:p w14:paraId="675596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0.50176</w:t>
            </w:r>
          </w:p>
        </w:tc>
        <w:tc>
          <w:tcPr>
            <w:tcW w:w="2133" w:type="dxa"/>
            <w:vAlign w:val="center"/>
          </w:tcPr>
          <w:p w14:paraId="2089F9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0.50176</w:t>
            </w:r>
          </w:p>
        </w:tc>
      </w:tr>
    </w:tbl>
    <w:p w14:paraId="219C307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14:textFill>
            <w14:solidFill>
              <w14:schemeClr w14:val="tx1"/>
            </w14:solidFill>
          </w14:textFill>
        </w:rPr>
        <w:t>根据上表可知，项目建成后，化学需氧量排放量为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0.2318 </w:t>
      </w:r>
      <w:r>
        <w:rPr>
          <w:rFonts w:hint="default" w:ascii="Times New Roman" w:hAnsi="Times New Roman" w:eastAsia="宋体" w:cs="Times New Roman"/>
          <w:color w:val="000000" w:themeColor="text1"/>
          <w:u w:val="none" w:color="auto"/>
          <w14:textFill>
            <w14:solidFill>
              <w14:schemeClr w14:val="tx1"/>
            </w14:solidFill>
          </w14:textFill>
        </w:rPr>
        <w:t>t/a，氨氮排放量为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w:t>
      </w:r>
      <w:r>
        <w:rPr>
          <w:rFonts w:hint="default" w:ascii="Times New Roman" w:hAnsi="Times New Roman" w:eastAsia="宋体" w:cs="Times New Roman"/>
          <w:color w:val="000000" w:themeColor="text1"/>
          <w:u w:val="none" w:color="auto"/>
          <w14:textFill>
            <w14:solidFill>
              <w14:schemeClr w14:val="tx1"/>
            </w14:solidFill>
          </w14:textFill>
        </w:rPr>
        <w:t>排放量为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0.50176</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t</w:t>
      </w:r>
      <w:r>
        <w:rPr>
          <w:rFonts w:hint="default" w:ascii="Times New Roman" w:hAnsi="Times New Roman" w:eastAsia="宋体" w:cs="Times New Roman"/>
          <w:color w:val="000000" w:themeColor="text1"/>
          <w:u w:val="none" w:color="auto"/>
          <w14:textFill>
            <w14:solidFill>
              <w14:schemeClr w14:val="tx1"/>
            </w14:solidFill>
          </w14:textFill>
        </w:rPr>
        <w:t>/a</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需</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w:t>
      </w:r>
      <w:r>
        <w:rPr>
          <w:rFonts w:hint="default" w:ascii="Times New Roman" w:hAnsi="Times New Roman" w:eastAsia="宋体" w:cs="Times New Roman"/>
          <w:color w:val="000000" w:themeColor="text1"/>
          <w:u w:val="none" w:color="auto"/>
          <w14:textFill>
            <w14:solidFill>
              <w14:schemeClr w14:val="tx1"/>
            </w14:solidFill>
          </w14:textFill>
        </w:rPr>
        <w:t>排污权交易购买总量指标。</w:t>
      </w:r>
    </w:p>
    <w:p w14:paraId="7FFC13E7">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538" w:name="_Toc164200898"/>
      <w:bookmarkStart w:id="539" w:name="_Toc188005959"/>
      <w:bookmarkStart w:id="540" w:name="_Toc14338"/>
      <w:bookmarkStart w:id="541" w:name="_Toc144277009"/>
      <w:bookmarkStart w:id="542" w:name="_Toc144236879"/>
      <w:bookmarkStart w:id="543" w:name="_Toc191240123"/>
      <w:bookmarkStart w:id="544" w:name="_Toc187011404"/>
      <w:r>
        <w:rPr>
          <w:rFonts w:hint="default" w:ascii="Times New Roman" w:hAnsi="Times New Roman" w:eastAsia="宋体" w:cs="Times New Roman"/>
          <w:color w:val="000000" w:themeColor="text1"/>
          <w:u w:val="none" w:color="auto"/>
          <w14:textFill>
            <w14:solidFill>
              <w14:schemeClr w14:val="tx1"/>
            </w14:solidFill>
          </w14:textFill>
        </w:rPr>
        <w:t>第1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default" w:ascii="Times New Roman" w:hAnsi="Times New Roman" w:eastAsia="宋体" w:cs="Times New Roman"/>
          <w:color w:val="000000" w:themeColor="text1"/>
          <w:u w:val="none" w:color="auto"/>
          <w14:textFill>
            <w14:solidFill>
              <w14:schemeClr w14:val="tx1"/>
            </w14:solidFill>
          </w14:textFill>
        </w:rPr>
        <w:t>章 环境影响经济损益分析</w:t>
      </w:r>
      <w:bookmarkEnd w:id="538"/>
      <w:bookmarkEnd w:id="539"/>
      <w:bookmarkEnd w:id="540"/>
      <w:bookmarkEnd w:id="541"/>
      <w:bookmarkEnd w:id="542"/>
      <w:bookmarkEnd w:id="543"/>
      <w:bookmarkEnd w:id="544"/>
    </w:p>
    <w:p w14:paraId="04947A7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bookmarkStart w:id="545" w:name="_Toc488866529"/>
      <w:bookmarkStart w:id="546" w:name="_Toc493031127"/>
      <w:r>
        <w:rPr>
          <w:rFonts w:hint="default" w:ascii="Times New Roman" w:hAnsi="Times New Roman" w:eastAsia="宋体" w:cs="Times New Roman"/>
          <w:color w:val="000000" w:themeColor="text1"/>
          <w:u w:val="none" w:color="auto"/>
          <w14:textFill>
            <w14:solidFill>
              <w14:schemeClr w14:val="tx1"/>
            </w14:solidFill>
          </w14:textFill>
        </w:rPr>
        <w:t>环境经济损益分析是环境影响评价的一项重要工作内容，是衡量建设项目需要投入的环保治理资金及所收到的环境保护效果。因此，在环境经济损益分析中，除需计算用于控制污染所需的费用外，还需要计算进行的环境保护活动所产生的实际效益。但项目建设的环境经济损益分析较为复杂，有短期与长期、直接与间接的收益与损失，在污染领域也存在极大的不确定性，因此，建设项目的环境经济损益分析包含了货币与非货币两种形式的衡量。本章旨在采用市场价值法与半定量的货币形式，对本工程投入的环保设施所产生的环境经济效益与损失进行简要分析，旨在体现本项目投产后的环境经济损益趋势。</w:t>
      </w:r>
    </w:p>
    <w:p w14:paraId="4F2B9A5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经济损益分析除了需计算用于治理、控制污染所需的投资和费用外，还要同时核算可能收到的环境经济效益、社会环境效益和环境污染损失。本评价采用指标计算法，通过费用与效益比较，用环境年净效益及环境效益与污染控制费用比来进行分析。</w:t>
      </w:r>
    </w:p>
    <w:p w14:paraId="56CE189C">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47" w:name="_Toc102658243"/>
      <w:bookmarkStart w:id="548" w:name="_Toc144236880"/>
      <w:bookmarkStart w:id="549" w:name="_Toc144277010"/>
      <w:bookmarkStart w:id="550" w:name="_Toc51688838"/>
      <w:bookmarkStart w:id="551" w:name="_Toc187011405"/>
      <w:bookmarkStart w:id="552" w:name="_Toc164200899"/>
      <w:bookmarkStart w:id="553" w:name="_Toc5088"/>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1 社会效益分析</w:t>
      </w:r>
      <w:bookmarkEnd w:id="547"/>
      <w:bookmarkEnd w:id="548"/>
      <w:bookmarkEnd w:id="549"/>
      <w:bookmarkEnd w:id="550"/>
      <w:bookmarkEnd w:id="551"/>
      <w:bookmarkEnd w:id="552"/>
      <w:bookmarkEnd w:id="553"/>
    </w:p>
    <w:p w14:paraId="3B92FA4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bookmarkStart w:id="554" w:name="_Toc174693433"/>
      <w:bookmarkStart w:id="555" w:name="_Toc174693092"/>
      <w:r>
        <w:rPr>
          <w:rFonts w:hint="default" w:ascii="Times New Roman" w:hAnsi="Times New Roman" w:eastAsia="宋体" w:cs="Times New Roman"/>
          <w:color w:val="000000" w:themeColor="text1"/>
          <w:u w:val="none" w:color="auto"/>
          <w14:textFill>
            <w14:solidFill>
              <w14:schemeClr w14:val="tx1"/>
            </w14:solidFill>
          </w14:textFill>
        </w:rPr>
        <w:t>项目建设符合国家产业政策和相关规划，项目的实施对当地社会环境、社会经济等都将产生积极影响。项目社会效益主要体现在对当地社会经济的正面影响，以及对市场和国家经济的贡献。本项目建成后的社会效益主要体现在以下几个方面：</w:t>
      </w:r>
    </w:p>
    <w:p w14:paraId="10994FD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（1）项目产品属于化工材料，项目的实施可带动了中国氧化锌粉产业的不断发展。</w:t>
      </w:r>
    </w:p>
    <w:p w14:paraId="6497B15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（2）项目实施后，上缴利税增加地方财政收入，有利于区域经济的发展，对当地经济建设的稳定快速发展起到一定作用，对促进地方文化、教育等公益项目的发展等产生积极影响。</w:t>
      </w:r>
    </w:p>
    <w:p w14:paraId="2A7BE54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项目实施后带动当地科学技术平衡发展，有利于新技术的发展和应用，从而推动当地科技发展进步，提高地区科技水平。因此，本项目对于促进地区经济发展和社会稳定等方面能够起到推动作用，对社会产生积极的影响。</w:t>
      </w:r>
    </w:p>
    <w:bookmarkEnd w:id="554"/>
    <w:bookmarkEnd w:id="555"/>
    <w:p w14:paraId="6E167F05">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56" w:name="_Toc144277011"/>
      <w:bookmarkStart w:id="557" w:name="_Toc164200900"/>
      <w:bookmarkStart w:id="558" w:name="_Toc102658244"/>
      <w:bookmarkStart w:id="559" w:name="_Toc51688839"/>
      <w:bookmarkStart w:id="560" w:name="_Toc18721"/>
      <w:bookmarkStart w:id="561" w:name="_Toc144236881"/>
      <w:bookmarkStart w:id="562" w:name="_Toc187011406"/>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2 经济效益分析</w:t>
      </w:r>
      <w:bookmarkEnd w:id="556"/>
      <w:bookmarkEnd w:id="557"/>
      <w:bookmarkEnd w:id="558"/>
      <w:bookmarkEnd w:id="559"/>
      <w:bookmarkEnd w:id="560"/>
      <w:bookmarkEnd w:id="561"/>
      <w:bookmarkEnd w:id="562"/>
    </w:p>
    <w:p w14:paraId="7013DA8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项目总投资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000万元，拟建项目建成投产后，投资回收期约</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年（含建设期），项目可取得良好的经济效益。</w:t>
      </w:r>
    </w:p>
    <w:p w14:paraId="44B43741">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63" w:name="_Toc187011407"/>
      <w:bookmarkStart w:id="564" w:name="_Toc144236882"/>
      <w:bookmarkStart w:id="565" w:name="_Toc144277012"/>
      <w:bookmarkStart w:id="566" w:name="_Toc9876"/>
      <w:bookmarkStart w:id="567" w:name="_Toc102658245"/>
      <w:bookmarkStart w:id="568" w:name="_Toc164200901"/>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3 环境效益分析</w:t>
      </w:r>
      <w:bookmarkEnd w:id="563"/>
      <w:bookmarkEnd w:id="564"/>
      <w:bookmarkEnd w:id="565"/>
      <w:bookmarkEnd w:id="566"/>
      <w:bookmarkEnd w:id="567"/>
      <w:bookmarkEnd w:id="568"/>
    </w:p>
    <w:p w14:paraId="50B87EF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本项目产生的污染物主要是废水、废气、噪声、固体废物，采取治理措施以后均可保证其达到国家相应的环境质量标准要求。</w:t>
      </w:r>
    </w:p>
    <w:p w14:paraId="50EBDF7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此外，由于项目的建设和运行而进一步开展的环境检测活动，带动了公众对环境保护的进一步认识，从而促进了当地环境保护工作的深入开展。</w:t>
      </w:r>
    </w:p>
    <w:p w14:paraId="03E7A26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采取有效的环境保护措施，废水、废气、固体废物中的污染物浓度和排放总量均能够得到大幅削减。这些污染物的削减为有力地保证了各种污染物的达标排放以及区域环境质量的改善，项目具有明显的环境效益。</w:t>
      </w:r>
    </w:p>
    <w:p w14:paraId="684D432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关于建设项目的环境经济损益分析，国内目前尚无统一标准。此外，本项目所排污染物作用于自然环境而造成的经济损失，其过程和机理是十分复杂的，其中有许多不确定因素。而且，许多因环境污染而造成的经济损失和由于污染防治而带来的环境收益，较难计量或是很难准确以货币形式来表达。为此，本报告在环境损益分析中，对于可计量部分给予定量表达，其它则采用类比分析方法予以估算或者是给予忽略。</w:t>
      </w:r>
    </w:p>
    <w:p w14:paraId="7715CF76">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69" w:name="_Toc164200902"/>
      <w:bookmarkStart w:id="570" w:name="_Toc144277013"/>
      <w:bookmarkStart w:id="571" w:name="_Toc32695"/>
      <w:bookmarkStart w:id="572" w:name="_Toc144236883"/>
      <w:bookmarkStart w:id="573" w:name="_Toc187011408"/>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3.1 水环境影响损益分析</w:t>
      </w:r>
      <w:bookmarkEnd w:id="569"/>
      <w:bookmarkEnd w:id="570"/>
      <w:bookmarkEnd w:id="571"/>
      <w:bookmarkEnd w:id="572"/>
      <w:bookmarkEnd w:id="573"/>
    </w:p>
    <w:p w14:paraId="1AC4C6B9">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运营期产生的废水包括生活废水、生产废水，其中生产废水包括废弃油脂加工工序产生的废水、地面拖洗废水、车辆清洗废水、设备管道清洗废水、喷淋塔循环废水。生产废水经密闭管道收集汇入隔油池+A/O预处理</w:t>
      </w:r>
      <w:r>
        <w:rPr>
          <w:rFonts w:hint="default" w:ascii="Times New Roman" w:hAnsi="Times New Roman" w:eastAsia="宋体" w:cs="Times New Roman"/>
          <w:color w:val="000000" w:themeColor="text1"/>
          <w:u w:val="none" w:color="auto"/>
          <w14:textFill>
            <w14:solidFill>
              <w14:schemeClr w14:val="tx1"/>
            </w14:solidFill>
          </w14:textFill>
        </w:rPr>
        <w:t>达到平江高新技术产业园污水处理厂</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纳污标准</w:t>
      </w:r>
      <w:r>
        <w:rPr>
          <w:rFonts w:hint="default" w:ascii="Times New Roman" w:hAnsi="Times New Roman" w:eastAsia="宋体" w:cs="Times New Roman"/>
          <w:color w:val="000000" w:themeColor="text1"/>
          <w:u w:val="none" w:color="auto"/>
          <w14:textFill>
            <w14:solidFill>
              <w14:schemeClr w14:val="tx1"/>
            </w14:solidFill>
          </w14:textFill>
        </w:rPr>
        <w:t>后，经园区污水管网排入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；生活污水经园区化粪池处理</w:t>
      </w:r>
      <w:r>
        <w:rPr>
          <w:rFonts w:hint="default" w:ascii="Times New Roman" w:hAnsi="Times New Roman" w:eastAsia="宋体" w:cs="Times New Roman"/>
          <w:color w:val="000000" w:themeColor="text1"/>
          <w:u w:val="none" w:color="auto"/>
          <w14:textFill>
            <w14:solidFill>
              <w14:schemeClr w14:val="tx1"/>
            </w14:solidFill>
          </w14:textFill>
        </w:rPr>
        <w:t>达到《污水综合排放标准》（GB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8978-1996）表4三级标准及平江高新技术产业园污水处理厂进水水质要求中的较严值后，经园区污水管网排入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p>
    <w:p w14:paraId="0A086D9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项目产生的各类废水均经过合理的处理措施处理后达标排放，不会对地表水体造成明显影响。</w:t>
      </w:r>
    </w:p>
    <w:p w14:paraId="00601CA9">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74" w:name="_Toc164200903"/>
      <w:bookmarkStart w:id="575" w:name="_Toc144236884"/>
      <w:bookmarkStart w:id="576" w:name="_Toc144277014"/>
      <w:bookmarkStart w:id="577" w:name="_Toc187011409"/>
      <w:bookmarkStart w:id="578" w:name="_Toc24779"/>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3.2 大气环境影响损益分析</w:t>
      </w:r>
      <w:bookmarkEnd w:id="574"/>
      <w:bookmarkEnd w:id="575"/>
      <w:bookmarkEnd w:id="576"/>
      <w:bookmarkEnd w:id="577"/>
      <w:bookmarkEnd w:id="578"/>
    </w:p>
    <w:p w14:paraId="02382FB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根据环境影响预测结果，废气对周围大气环境的影响可接受。故本项目的建设不会改变项目所在地的环境质量现状。</w:t>
      </w:r>
    </w:p>
    <w:p w14:paraId="408BAC1E">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79" w:name="_Toc187011410"/>
      <w:bookmarkStart w:id="580" w:name="_Toc144236885"/>
      <w:bookmarkStart w:id="581" w:name="_Toc30021"/>
      <w:bookmarkStart w:id="582" w:name="_Toc164200904"/>
      <w:bookmarkStart w:id="583" w:name="_Toc144277015"/>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3.3 声环境影响损益分析</w:t>
      </w:r>
      <w:bookmarkEnd w:id="579"/>
      <w:bookmarkEnd w:id="580"/>
      <w:bookmarkEnd w:id="581"/>
      <w:bookmarkEnd w:id="582"/>
      <w:bookmarkEnd w:id="583"/>
    </w:p>
    <w:p w14:paraId="4956CFE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营运期噪声经厂房隔音后将大为降低，着重控制厂界处的区域环境噪声强度，保护项目办公和周围区域声环境质量，再经厂界围墙的阻隔作用，所造成的环境影响不显著，故本项目造成的声环境损益较小，不会改变项目所在地的声环境功能区划。</w:t>
      </w:r>
    </w:p>
    <w:p w14:paraId="2273BD99">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84" w:name="_Toc164200905"/>
      <w:bookmarkStart w:id="585" w:name="_Toc187011411"/>
      <w:bookmarkStart w:id="586" w:name="_Toc144277016"/>
      <w:bookmarkStart w:id="587" w:name="_Toc144236886"/>
      <w:bookmarkStart w:id="588" w:name="_Toc22817"/>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3.4 固体废物环境影响损益分析</w:t>
      </w:r>
      <w:bookmarkEnd w:id="584"/>
      <w:bookmarkEnd w:id="585"/>
      <w:bookmarkEnd w:id="586"/>
      <w:bookmarkEnd w:id="587"/>
      <w:bookmarkEnd w:id="588"/>
    </w:p>
    <w:p w14:paraId="4D3D4BC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本项目产生的固体废物经过收集、处理处置后对项目附近的环境质量的影响较小。</w:t>
      </w:r>
    </w:p>
    <w:p w14:paraId="43911026">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89" w:name="_Toc102658246"/>
      <w:bookmarkStart w:id="590" w:name="_Toc164200906"/>
      <w:bookmarkStart w:id="591" w:name="_Toc12384"/>
      <w:bookmarkStart w:id="592" w:name="_Toc144277017"/>
      <w:bookmarkStart w:id="593" w:name="_Toc144236887"/>
      <w:bookmarkStart w:id="594" w:name="_Toc187011412"/>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4 环保投资</w:t>
      </w:r>
      <w:bookmarkEnd w:id="589"/>
      <w:bookmarkEnd w:id="590"/>
      <w:bookmarkEnd w:id="591"/>
      <w:bookmarkEnd w:id="592"/>
      <w:bookmarkEnd w:id="593"/>
      <w:bookmarkEnd w:id="594"/>
    </w:p>
    <w:p w14:paraId="2F25492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项目总投资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000万元，环保投资1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万元，占本项目总投资的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%。本项目完成后，要实施的环保措施及投资估算见下表。</w:t>
      </w:r>
    </w:p>
    <w:p w14:paraId="44739A8F">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4-1  环保投资估算</w:t>
      </w:r>
    </w:p>
    <w:tbl>
      <w:tblPr>
        <w:tblStyle w:val="3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634"/>
        <w:gridCol w:w="4574"/>
        <w:gridCol w:w="1474"/>
      </w:tblGrid>
      <w:tr w14:paraId="46BA6A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4" w:type="pct"/>
            <w:gridSpan w:val="2"/>
            <w:vAlign w:val="center"/>
          </w:tcPr>
          <w:p w14:paraId="21FD27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污染源</w:t>
            </w:r>
          </w:p>
        </w:tc>
        <w:tc>
          <w:tcPr>
            <w:tcW w:w="2681" w:type="pct"/>
            <w:vAlign w:val="center"/>
          </w:tcPr>
          <w:p w14:paraId="07DE8BB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治理措施</w:t>
            </w:r>
          </w:p>
        </w:tc>
        <w:tc>
          <w:tcPr>
            <w:tcW w:w="864" w:type="pct"/>
            <w:vAlign w:val="center"/>
          </w:tcPr>
          <w:p w14:paraId="7FA3B74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投资（万元）</w:t>
            </w:r>
          </w:p>
        </w:tc>
      </w:tr>
      <w:tr w14:paraId="168E4B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Align w:val="center"/>
          </w:tcPr>
          <w:p w14:paraId="78A2A54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废气</w:t>
            </w:r>
          </w:p>
        </w:tc>
        <w:tc>
          <w:tcPr>
            <w:tcW w:w="957" w:type="pct"/>
            <w:vAlign w:val="center"/>
          </w:tcPr>
          <w:p w14:paraId="12ABA4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生产车间有组织废气</w:t>
            </w:r>
          </w:p>
        </w:tc>
        <w:tc>
          <w:tcPr>
            <w:tcW w:w="2681" w:type="pct"/>
            <w:vAlign w:val="center"/>
          </w:tcPr>
          <w:p w14:paraId="5DDE51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喷淋</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+过滤棉+二级活性炭+15 m排气筒</w:t>
            </w:r>
          </w:p>
        </w:tc>
        <w:tc>
          <w:tcPr>
            <w:tcW w:w="864" w:type="pct"/>
            <w:vAlign w:val="center"/>
          </w:tcPr>
          <w:p w14:paraId="34DCD2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50</w:t>
            </w:r>
          </w:p>
        </w:tc>
      </w:tr>
      <w:tr w14:paraId="0716DF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Merge w:val="restart"/>
            <w:vAlign w:val="center"/>
          </w:tcPr>
          <w:p w14:paraId="306256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w:t>
            </w:r>
          </w:p>
        </w:tc>
        <w:tc>
          <w:tcPr>
            <w:tcW w:w="957" w:type="pct"/>
            <w:vAlign w:val="center"/>
          </w:tcPr>
          <w:p w14:paraId="47A519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生产废水</w:t>
            </w:r>
          </w:p>
        </w:tc>
        <w:tc>
          <w:tcPr>
            <w:tcW w:w="2681" w:type="pct"/>
            <w:vAlign w:val="center"/>
          </w:tcPr>
          <w:p w14:paraId="23C3886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隔油池+A/O污水预处理设施</w:t>
            </w:r>
          </w:p>
        </w:tc>
        <w:tc>
          <w:tcPr>
            <w:tcW w:w="864" w:type="pct"/>
            <w:vAlign w:val="center"/>
          </w:tcPr>
          <w:p w14:paraId="1F547B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30</w:t>
            </w:r>
          </w:p>
        </w:tc>
      </w:tr>
      <w:tr w14:paraId="7C5E89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Merge w:val="continue"/>
            <w:vAlign w:val="center"/>
          </w:tcPr>
          <w:p w14:paraId="137F49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57" w:type="pct"/>
            <w:vAlign w:val="center"/>
          </w:tcPr>
          <w:p w14:paraId="1545F0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w:t>
            </w:r>
          </w:p>
        </w:tc>
        <w:tc>
          <w:tcPr>
            <w:tcW w:w="2681" w:type="pct"/>
            <w:vAlign w:val="center"/>
          </w:tcPr>
          <w:p w14:paraId="3730376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依托园区化粪池</w:t>
            </w:r>
          </w:p>
        </w:tc>
        <w:tc>
          <w:tcPr>
            <w:tcW w:w="864" w:type="pct"/>
            <w:vAlign w:val="center"/>
          </w:tcPr>
          <w:p w14:paraId="4FC966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44DE10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4" w:type="pct"/>
            <w:gridSpan w:val="2"/>
            <w:vAlign w:val="center"/>
          </w:tcPr>
          <w:p w14:paraId="270A57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w:t>
            </w:r>
          </w:p>
        </w:tc>
        <w:tc>
          <w:tcPr>
            <w:tcW w:w="2681" w:type="pct"/>
            <w:vAlign w:val="center"/>
          </w:tcPr>
          <w:p w14:paraId="52D7DB5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选用低噪声设备，对高噪声设备进行减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振</w:t>
            </w:r>
            <w:r>
              <w:rPr>
                <w:rFonts w:hint="default" w:ascii="Times New Roman" w:hAnsi="Times New Roman" w:eastAsia="宋体" w:cs="Times New Roman"/>
                <w:color w:val="000000" w:themeColor="text1"/>
                <w:u w:val="none" w:color="auto"/>
                <w14:textFill>
                  <w14:solidFill>
                    <w14:schemeClr w14:val="tx1"/>
                  </w14:solidFill>
                </w14:textFill>
              </w:rPr>
              <w:t>、消声、隔声</w:t>
            </w:r>
          </w:p>
        </w:tc>
        <w:tc>
          <w:tcPr>
            <w:tcW w:w="864" w:type="pct"/>
            <w:vAlign w:val="center"/>
          </w:tcPr>
          <w:p w14:paraId="3E079B5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20</w:t>
            </w:r>
          </w:p>
        </w:tc>
      </w:tr>
      <w:tr w14:paraId="3F831B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Merge w:val="restart"/>
            <w:vAlign w:val="center"/>
          </w:tcPr>
          <w:p w14:paraId="163365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固废</w:t>
            </w:r>
          </w:p>
        </w:tc>
        <w:tc>
          <w:tcPr>
            <w:tcW w:w="957" w:type="pct"/>
            <w:vAlign w:val="center"/>
          </w:tcPr>
          <w:p w14:paraId="5D2B84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一般固废</w:t>
            </w:r>
          </w:p>
        </w:tc>
        <w:tc>
          <w:tcPr>
            <w:tcW w:w="2681" w:type="pct"/>
            <w:vAlign w:val="center"/>
          </w:tcPr>
          <w:p w14:paraId="4CBDCB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沉渣池</w:t>
            </w:r>
          </w:p>
        </w:tc>
        <w:tc>
          <w:tcPr>
            <w:tcW w:w="864" w:type="pct"/>
            <w:vAlign w:val="center"/>
          </w:tcPr>
          <w:p w14:paraId="2828C7B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r>
      <w:tr w14:paraId="64E5CC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Merge w:val="continue"/>
            <w:vAlign w:val="center"/>
          </w:tcPr>
          <w:p w14:paraId="6F044A9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57" w:type="pct"/>
            <w:vAlign w:val="center"/>
          </w:tcPr>
          <w:p w14:paraId="1D7B37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危险废物</w:t>
            </w:r>
          </w:p>
        </w:tc>
        <w:tc>
          <w:tcPr>
            <w:tcW w:w="2681" w:type="pct"/>
            <w:vAlign w:val="center"/>
          </w:tcPr>
          <w:p w14:paraId="119A052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危废暂存间</w:t>
            </w:r>
          </w:p>
        </w:tc>
        <w:tc>
          <w:tcPr>
            <w:tcW w:w="864" w:type="pct"/>
            <w:vAlign w:val="center"/>
          </w:tcPr>
          <w:p w14:paraId="03AD386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10</w:t>
            </w:r>
          </w:p>
        </w:tc>
      </w:tr>
      <w:tr w14:paraId="655879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4" w:type="pct"/>
            <w:gridSpan w:val="2"/>
            <w:vAlign w:val="center"/>
          </w:tcPr>
          <w:p w14:paraId="23D0B9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风险</w:t>
            </w:r>
          </w:p>
        </w:tc>
        <w:tc>
          <w:tcPr>
            <w:tcW w:w="2681" w:type="pct"/>
            <w:vAlign w:val="center"/>
          </w:tcPr>
          <w:p w14:paraId="196300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防渗、防泄漏，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设置围堰，建设事故应急池</w:t>
            </w:r>
          </w:p>
        </w:tc>
        <w:tc>
          <w:tcPr>
            <w:tcW w:w="864" w:type="pct"/>
            <w:vAlign w:val="center"/>
          </w:tcPr>
          <w:p w14:paraId="0607691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20</w:t>
            </w:r>
          </w:p>
        </w:tc>
      </w:tr>
      <w:tr w14:paraId="28633D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35" w:type="pct"/>
            <w:gridSpan w:val="3"/>
            <w:vAlign w:val="center"/>
          </w:tcPr>
          <w:p w14:paraId="33B5D4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合计</w:t>
            </w:r>
          </w:p>
        </w:tc>
        <w:tc>
          <w:tcPr>
            <w:tcW w:w="864" w:type="pct"/>
            <w:vAlign w:val="center"/>
          </w:tcPr>
          <w:p w14:paraId="61AF97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eastAsia="宋体" w:cs="Times New Roman"/>
                <w:color w:val="000000" w:themeColor="text1"/>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w:t>
            </w:r>
          </w:p>
        </w:tc>
      </w:tr>
    </w:tbl>
    <w:p w14:paraId="0242F27E">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595" w:name="_Toc102658247"/>
      <w:bookmarkStart w:id="596" w:name="_Toc144236888"/>
      <w:bookmarkStart w:id="597" w:name="_Toc164200907"/>
      <w:bookmarkStart w:id="598" w:name="_Toc144277018"/>
      <w:bookmarkStart w:id="599" w:name="_Toc187011413"/>
      <w:bookmarkStart w:id="600" w:name="_Toc11804"/>
      <w:r>
        <w:rPr>
          <w:rFonts w:hint="default" w:ascii="Times New Roman" w:hAnsi="Times New Roman" w:eastAsia="宋体" w:cs="Times New Roman"/>
          <w:color w:val="000000" w:themeColor="text1"/>
          <w:u w:val="none" w:color="auto"/>
          <w:lang w:eastAsia="zh-CN"/>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5 环境影响经济损益分析结论</w:t>
      </w:r>
      <w:bookmarkEnd w:id="595"/>
      <w:bookmarkEnd w:id="596"/>
      <w:bookmarkEnd w:id="597"/>
      <w:bookmarkEnd w:id="598"/>
      <w:bookmarkEnd w:id="599"/>
      <w:bookmarkEnd w:id="600"/>
    </w:p>
    <w:p w14:paraId="5D5D85E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bookmarkStart w:id="601" w:name="_Hlk101448574"/>
      <w:r>
        <w:rPr>
          <w:rFonts w:hint="default" w:ascii="Times New Roman" w:hAnsi="Times New Roman" w:eastAsia="宋体" w:cs="Times New Roman"/>
          <w:color w:val="000000" w:themeColor="text1"/>
          <w:u w:val="none" w:color="auto"/>
          <w14:textFill>
            <w14:solidFill>
              <w14:schemeClr w14:val="tx1"/>
            </w14:solidFill>
          </w14:textFill>
        </w:rPr>
        <w:t>综上所述，本项目的建设具有显著的经济效益和良好的社会效益。项目投入使用后虽然对周围的水、大气、声环境等造成一定的影响，但建设单位从源头控制污染物，并采取一系列环保措施后对环境的污染可得到有效控制。项目的建设对社会与环境的可持续发展具有积极的意义。从环境经济的角度来说，本项目的建设是可行的。</w:t>
      </w:r>
      <w:bookmarkEnd w:id="601"/>
    </w:p>
    <w:bookmarkEnd w:id="545"/>
    <w:bookmarkEnd w:id="546"/>
    <w:p w14:paraId="67E7606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FF0000"/>
          <w:u w:val="none" w:color="auto"/>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326A9D66">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602" w:name="_Toc188005970"/>
      <w:bookmarkStart w:id="603" w:name="_Toc144277045"/>
      <w:bookmarkStart w:id="604" w:name="_Toc22115865"/>
      <w:bookmarkStart w:id="605" w:name="_Toc164200936"/>
      <w:bookmarkStart w:id="606" w:name="_Toc102658259"/>
      <w:bookmarkStart w:id="607" w:name="_Toc191240128"/>
      <w:bookmarkStart w:id="608" w:name="_Toc18092"/>
      <w:bookmarkStart w:id="609" w:name="_Toc187011414"/>
      <w:bookmarkStart w:id="610" w:name="_Toc144236915"/>
      <w:r>
        <w:rPr>
          <w:rFonts w:hint="default" w:ascii="Times New Roman" w:hAnsi="Times New Roman" w:eastAsia="宋体" w:cs="Times New Roman"/>
          <w:color w:val="000000" w:themeColor="text1"/>
          <w:u w:val="none" w:color="auto"/>
          <w14:textFill>
            <w14:solidFill>
              <w14:schemeClr w14:val="tx1"/>
            </w14:solidFill>
          </w14:textFill>
        </w:rPr>
        <w:t>第1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1</w:t>
      </w:r>
      <w:r>
        <w:rPr>
          <w:rFonts w:hint="default" w:ascii="Times New Roman" w:hAnsi="Times New Roman" w:eastAsia="宋体" w:cs="Times New Roman"/>
          <w:color w:val="000000" w:themeColor="text1"/>
          <w:u w:val="none" w:color="auto"/>
          <w14:textFill>
            <w14:solidFill>
              <w14:schemeClr w14:val="tx1"/>
            </w14:solidFill>
          </w14:textFill>
        </w:rPr>
        <w:t>章 环境管理与监测制度</w:t>
      </w:r>
      <w:bookmarkEnd w:id="602"/>
      <w:bookmarkEnd w:id="603"/>
      <w:bookmarkEnd w:id="604"/>
      <w:bookmarkEnd w:id="605"/>
      <w:bookmarkEnd w:id="606"/>
      <w:bookmarkEnd w:id="607"/>
      <w:bookmarkEnd w:id="608"/>
      <w:bookmarkEnd w:id="609"/>
      <w:bookmarkEnd w:id="610"/>
    </w:p>
    <w:p w14:paraId="3F251232">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11" w:name="_Toc147459133"/>
      <w:bookmarkStart w:id="612" w:name="_Toc436602202"/>
      <w:bookmarkStart w:id="613" w:name="_Toc81409158"/>
      <w:bookmarkStart w:id="614" w:name="_Toc25302559"/>
      <w:bookmarkStart w:id="615" w:name="_Toc13088"/>
      <w:bookmarkStart w:id="616" w:name="_Toc30823"/>
      <w:bookmarkStart w:id="617" w:name="_Toc230258882"/>
      <w:bookmarkStart w:id="618" w:name="_Toc183772595"/>
      <w:bookmarkStart w:id="619" w:name="_Toc188005971"/>
      <w:bookmarkStart w:id="620" w:name="_Toc191240129"/>
      <w:bookmarkStart w:id="621" w:name="_Toc9744488"/>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1 环境管理</w:t>
      </w:r>
      <w:bookmarkEnd w:id="611"/>
      <w:bookmarkEnd w:id="612"/>
      <w:bookmarkEnd w:id="613"/>
      <w:bookmarkEnd w:id="614"/>
      <w:bookmarkEnd w:id="615"/>
      <w:bookmarkEnd w:id="616"/>
      <w:bookmarkEnd w:id="617"/>
      <w:bookmarkEnd w:id="618"/>
      <w:bookmarkEnd w:id="619"/>
      <w:bookmarkEnd w:id="620"/>
      <w:bookmarkEnd w:id="621"/>
    </w:p>
    <w:p w14:paraId="0C37CE3A">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22" w:name="_Toc18698"/>
      <w:bookmarkStart w:id="623" w:name="_Toc191240130"/>
      <w:bookmarkStart w:id="624" w:name="_Toc188005972"/>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1.1 环境管理机构</w:t>
      </w:r>
      <w:bookmarkEnd w:id="622"/>
      <w:bookmarkEnd w:id="623"/>
      <w:bookmarkEnd w:id="624"/>
    </w:p>
    <w:p w14:paraId="53EF342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本项目环境管理机构具体设置情况如下：</w:t>
      </w:r>
    </w:p>
    <w:p w14:paraId="1AB1898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（1）环境保护机构的设置</w:t>
      </w:r>
    </w:p>
    <w:p w14:paraId="27F5B81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该项目的建设规模和环境管理的任务，建设期项目筹建处应设一名环保专职或兼职人员，负责工程建设期的环境保护工作；工程建成后应在公司设专职环境监督人员1~2名，负责环境监督管理及各项环保设施的运行管理工作。</w:t>
      </w:r>
    </w:p>
    <w:p w14:paraId="18A41F1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（2）环境管理的职责</w:t>
      </w:r>
    </w:p>
    <w:p w14:paraId="6B49EC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①负责整个企业的环境保护管理工作。即贯彻执行国家和地方的环保政策、法规，对内宣传国家的环保法规和政策，并对有关操作人员进行技术培训和考核，以提高职工的环保意识和专业素质。</w:t>
      </w:r>
    </w:p>
    <w:p w14:paraId="0E07C19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②建立和健全企业各种环保管理规章制度，领导和协调环境监测计划的落实，确保监测工作正常运行。</w:t>
      </w:r>
    </w:p>
    <w:p w14:paraId="5A99B2D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③与政府环保部门密切配合，接受各级政府环境保护管理部门的检查和指导，协同当地环境保护管理部门解答和处理公众提出的意见和问题。</w:t>
      </w:r>
    </w:p>
    <w:p w14:paraId="556FA44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④监督全厂的环保设施运行情况，严格做到污染物达标排放；组织环保设施改造、环保科研等计划的编制和实施工作。</w:t>
      </w:r>
    </w:p>
    <w:p w14:paraId="36FED38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⑤负责整个厂区的绿化工作。</w:t>
      </w:r>
    </w:p>
    <w:p w14:paraId="690676D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⑥负责厂区循环水系统的正常运行和维护工作。</w:t>
      </w:r>
    </w:p>
    <w:p w14:paraId="38097C1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25" w:name="_Toc188005973"/>
      <w:bookmarkStart w:id="626" w:name="_Toc15469"/>
      <w:bookmarkStart w:id="627" w:name="_Toc191240131"/>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1.2 环境管理机构的职能和任务</w:t>
      </w:r>
      <w:bookmarkEnd w:id="625"/>
      <w:bookmarkEnd w:id="626"/>
      <w:bookmarkEnd w:id="627"/>
    </w:p>
    <w:p w14:paraId="5EEAF08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（1）贯彻执行《中华人民共和国环境保护法》及其相关法律、法规，按国家的环保政策、环境标准及环境监测要求，制定环境管理规章制度，并监督执行。</w:t>
      </w:r>
    </w:p>
    <w:p w14:paraId="761A20E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（2）监督各项环保措施的落实及环保设备的安装调试等工作，坚持</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三同时</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原则，保障环保设施的设计、施工、运行与主体工程同时进行。</w:t>
      </w:r>
    </w:p>
    <w:p w14:paraId="636DA1D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（3）全面了解本企业各污染源治理措施的工艺，负责污染防治设施的运行和维护，并建立运行和维护的管理台账，定期向公司申请污染防治设施维护检修费用。</w:t>
      </w:r>
    </w:p>
    <w:p w14:paraId="7FE6F0F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（4）配合企业的原料质检部门，确保采购的原料符合危废原料来源的相关要求。</w:t>
      </w:r>
    </w:p>
    <w:p w14:paraId="59B6826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（5）制定生产过程中各项污染的排放指标及环保设施的运行指标，确保生产过程中的废气排放满足相应规定的浓度限值。</w:t>
      </w:r>
    </w:p>
    <w:p w14:paraId="49B67C0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（6）定期统计厂区主要污染物的排放量。</w:t>
      </w:r>
    </w:p>
    <w:p w14:paraId="78C09F4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（7）定期检查企业环保设备的运行情况，领导和组织本企业的环境监测工作，并制定应急防范措施。一旦发生非正常污染应及时组织做好污染监测工作，并分析原因总结经验教训，杜绝污染事故的再次发生；</w:t>
      </w:r>
    </w:p>
    <w:p w14:paraId="10AB9AB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（8）组织企业的环保专业技术培训，搞好环境保护的宣传工作，提高全厂人员的环境保护意识，定期向社会公布企业环境信息。</w:t>
      </w:r>
    </w:p>
    <w:p w14:paraId="225A7D2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（9）根据《固定污染源排污许可分类管理名录（2019年版）》，本项目属于重点管理类，依法申领排污许可证，确保项目运营时按照排污许可证规定的污染物排放种类、浓度、总量等排污。</w:t>
      </w:r>
    </w:p>
    <w:p w14:paraId="047FF685">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28" w:name="_Toc191240132"/>
      <w:bookmarkStart w:id="629" w:name="_Toc188005974"/>
      <w:bookmarkStart w:id="630" w:name="_Toc11792"/>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1.3 环保管理制度</w:t>
      </w:r>
      <w:bookmarkEnd w:id="628"/>
      <w:bookmarkEnd w:id="629"/>
      <w:bookmarkEnd w:id="630"/>
    </w:p>
    <w:p w14:paraId="3C210C6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（1）报告制度</w:t>
      </w:r>
    </w:p>
    <w:p w14:paraId="5AE4CAB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国务院令第682号《国务院关于修改〈建设项目环境保护管理条例〉的决定》的规定，本工程竣工后，建设单位应当按照国环规环评〔2017〕4号《建设项目竣工环境保护验收暂行办法》和《建设项目竣工环境保护验收技术指南污染影响类》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w:t>
      </w:r>
    </w:p>
    <w:p w14:paraId="1640BFE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建成后应严格执行环境污染月报制度。即每月向当地环保部门报告污染治理设施运行情况、污染物排放情况以及污染事故、污染纠纷等情况。企业排污发生重大变化、污染治理设施改变或生产运行计划改变等都必须向当地环保部门申报，经审批同意后方可实施。</w:t>
      </w:r>
    </w:p>
    <w:p w14:paraId="4D0E74A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（2）污染处理设施的管理制度</w:t>
      </w:r>
    </w:p>
    <w:p w14:paraId="3E9D266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对污染治理设施和管理必须与生产经营活动一起纳入企业的日常管理中，要建立岗位责任制，制定操作规程，建立管理台帐。</w:t>
      </w:r>
    </w:p>
    <w:p w14:paraId="2DD7C03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（3）奖惩制度</w:t>
      </w:r>
    </w:p>
    <w:p w14:paraId="48F60D0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b/>
          <w:bCs/>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企业应设置环境保护奖惩制度，对爱护环保设施，节能降耗、改善环境者给予奖励；对不按环保要求管理，造成环保设施损坏、环境污染和资源、能源浪费者予以重罚。</w:t>
      </w:r>
    </w:p>
    <w:p w14:paraId="225E4924">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31" w:name="_Toc417132284"/>
      <w:bookmarkStart w:id="632" w:name="_Toc188005975"/>
      <w:bookmarkStart w:id="633" w:name="_Toc81409159"/>
      <w:bookmarkStart w:id="634" w:name="_Toc191240133"/>
      <w:bookmarkStart w:id="635" w:name="_Toc17713"/>
      <w:bookmarkStart w:id="636" w:name="_Toc395521060"/>
      <w:bookmarkStart w:id="637" w:name="_Toc436602204"/>
      <w:bookmarkStart w:id="638" w:name="_Toc368039134"/>
      <w:bookmarkStart w:id="639" w:name="_Toc29746"/>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 环境监测</w:t>
      </w:r>
      <w:bookmarkEnd w:id="631"/>
      <w:bookmarkEnd w:id="632"/>
      <w:bookmarkEnd w:id="633"/>
      <w:bookmarkEnd w:id="634"/>
      <w:bookmarkEnd w:id="635"/>
      <w:bookmarkEnd w:id="636"/>
      <w:bookmarkEnd w:id="637"/>
      <w:bookmarkEnd w:id="638"/>
      <w:bookmarkEnd w:id="639"/>
    </w:p>
    <w:p w14:paraId="1628B92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40" w:name="_Toc417132285"/>
      <w:bookmarkStart w:id="641" w:name="_Toc188005976"/>
      <w:bookmarkStart w:id="642" w:name="_Toc395521061"/>
      <w:bookmarkStart w:id="643" w:name="_Toc5472"/>
      <w:bookmarkStart w:id="644" w:name="_Toc191240134"/>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2.1 环境监测目的</w:t>
      </w:r>
      <w:bookmarkEnd w:id="640"/>
      <w:bookmarkEnd w:id="641"/>
      <w:bookmarkEnd w:id="642"/>
      <w:bookmarkEnd w:id="643"/>
      <w:bookmarkEnd w:id="644"/>
    </w:p>
    <w:p w14:paraId="3352F2A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环境监测（包括污染源监测）是企业环境保护的重要组成部分，也是企业的一项规范化制度。通过环境监测，进行数据整理分析，建立监测档案，可为污染源治理、掌握污染物排放变化规律提供依据，为上级环保部门进行区域环境规划、管理执法提供依据。同时，环境监测也是企业实现污染物总量控制，做到清洁生产的重要保证手段之一。其主要职责是对拟建项目污染源和厂区周围的环境质量进行监测，并对监测数据进行统计、分析，以便环境管理部门及时、准确地掌握本工程的排污状况及对环境的污染状况。</w:t>
      </w:r>
    </w:p>
    <w:p w14:paraId="10344F22">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45" w:name="_Toc188005977"/>
      <w:bookmarkStart w:id="646" w:name="_Toc191240135"/>
      <w:bookmarkStart w:id="647" w:name="_Toc417132286"/>
      <w:bookmarkStart w:id="648" w:name="_Toc395521062"/>
      <w:bookmarkStart w:id="649" w:name="_Toc18699"/>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2.2 环境监测机构</w:t>
      </w:r>
      <w:bookmarkEnd w:id="645"/>
      <w:bookmarkEnd w:id="646"/>
      <w:bookmarkEnd w:id="647"/>
      <w:bookmarkEnd w:id="648"/>
      <w:bookmarkEnd w:id="649"/>
    </w:p>
    <w:p w14:paraId="41CC89F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本项目营运期的环境监测工作委托有资质的第三方环境监测公司承担。</w:t>
      </w:r>
    </w:p>
    <w:p w14:paraId="5ED6A96B">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50" w:name="_Toc417132287"/>
      <w:bookmarkStart w:id="651" w:name="_Toc21146"/>
      <w:bookmarkStart w:id="652" w:name="_Toc395521063"/>
      <w:bookmarkStart w:id="653" w:name="_Toc188005978"/>
      <w:bookmarkStart w:id="654" w:name="_Toc191240136"/>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2.3 监测计划</w:t>
      </w:r>
      <w:bookmarkEnd w:id="650"/>
      <w:bookmarkEnd w:id="651"/>
      <w:bookmarkEnd w:id="652"/>
      <w:bookmarkEnd w:id="653"/>
      <w:bookmarkEnd w:id="654"/>
    </w:p>
    <w:p w14:paraId="466803F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本项目为根据《固定污染源排污许可分类管理名录（2019年版）》，本项目属于重点管理类。根据《排污单位自行监测技术指南 总则》（HJ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819-2017）</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《排污许可证申请与核发技术规范 工业噪声》（HJ 1301-2023）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参照《排污许可证申请与核发技术规范 环境卫生管理业》（HJ 1106-2020）等相关规定，</w:t>
      </w:r>
      <w:r>
        <w:rPr>
          <w:rFonts w:hint="default" w:ascii="Times New Roman" w:hAnsi="Times New Roman" w:eastAsia="宋体" w:cs="Times New Roman"/>
          <w:color w:val="000000" w:themeColor="text1"/>
          <w:u w:val="none" w:color="auto"/>
          <w14:textFill>
            <w14:solidFill>
              <w14:schemeClr w14:val="tx1"/>
            </w14:solidFill>
          </w14:textFill>
        </w:rPr>
        <w:t>本项目污染源监测计划如下表所示。</w:t>
      </w:r>
    </w:p>
    <w:p w14:paraId="1F6C7FD5">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2-1  污染源监测计划一览表</w:t>
      </w:r>
    </w:p>
    <w:tbl>
      <w:tblPr>
        <w:tblStyle w:val="3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681"/>
        <w:gridCol w:w="1406"/>
        <w:gridCol w:w="1642"/>
        <w:gridCol w:w="1100"/>
        <w:gridCol w:w="3536"/>
      </w:tblGrid>
      <w:tr w14:paraId="1BC0F9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blHeader/>
        </w:trPr>
        <w:tc>
          <w:tcPr>
            <w:tcW w:w="407" w:type="pct"/>
            <w:vAlign w:val="center"/>
          </w:tcPr>
          <w:p w14:paraId="2070E0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类别</w:t>
            </w:r>
          </w:p>
        </w:tc>
        <w:tc>
          <w:tcPr>
            <w:tcW w:w="840" w:type="pct"/>
            <w:vAlign w:val="center"/>
          </w:tcPr>
          <w:p w14:paraId="2555EB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监测点位</w:t>
            </w:r>
          </w:p>
        </w:tc>
        <w:tc>
          <w:tcPr>
            <w:tcW w:w="981" w:type="pct"/>
            <w:vAlign w:val="center"/>
          </w:tcPr>
          <w:p w14:paraId="6C45F6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监测指标</w:t>
            </w:r>
          </w:p>
        </w:tc>
        <w:tc>
          <w:tcPr>
            <w:tcW w:w="657" w:type="pct"/>
            <w:vAlign w:val="center"/>
          </w:tcPr>
          <w:p w14:paraId="530FFEF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监测频次</w:t>
            </w:r>
          </w:p>
        </w:tc>
        <w:tc>
          <w:tcPr>
            <w:tcW w:w="2113" w:type="pct"/>
            <w:vAlign w:val="center"/>
          </w:tcPr>
          <w:p w14:paraId="27B668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执行标准</w:t>
            </w:r>
          </w:p>
        </w:tc>
      </w:tr>
      <w:tr w14:paraId="43E8FB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restart"/>
            <w:vAlign w:val="center"/>
          </w:tcPr>
          <w:p w14:paraId="55394F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废气</w:t>
            </w:r>
          </w:p>
        </w:tc>
        <w:tc>
          <w:tcPr>
            <w:tcW w:w="840" w:type="pct"/>
            <w:vMerge w:val="restart"/>
            <w:vAlign w:val="center"/>
          </w:tcPr>
          <w:p w14:paraId="129B8B6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生产车间有组织排放口</w:t>
            </w:r>
            <w:r>
              <w:rPr>
                <w:rFonts w:hint="default" w:ascii="Times New Roman" w:hAnsi="Times New Roman" w:eastAsia="宋体" w:cs="Times New Roman"/>
                <w:color w:val="000000" w:themeColor="text1"/>
                <w:u w:val="none" w:color="auto"/>
                <w14:textFill>
                  <w14:solidFill>
                    <w14:schemeClr w14:val="tx1"/>
                  </w14:solidFill>
                </w14:textFill>
              </w:rPr>
              <w:t>DA001</w:t>
            </w:r>
          </w:p>
        </w:tc>
        <w:tc>
          <w:tcPr>
            <w:tcW w:w="981" w:type="pct"/>
            <w:vAlign w:val="center"/>
          </w:tcPr>
          <w:p w14:paraId="7440DAA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657" w:type="pct"/>
            <w:vMerge w:val="restart"/>
            <w:vAlign w:val="center"/>
          </w:tcPr>
          <w:p w14:paraId="7710C40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1次/半年</w:t>
            </w:r>
          </w:p>
        </w:tc>
        <w:tc>
          <w:tcPr>
            <w:tcW w:w="2113" w:type="pct"/>
            <w:vMerge w:val="restart"/>
            <w:vAlign w:val="center"/>
          </w:tcPr>
          <w:p w14:paraId="593E3E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w:t>
            </w:r>
            <w:r>
              <w:rPr>
                <w:rFonts w:hint="default" w:ascii="Times New Roman" w:hAnsi="Times New Roman" w:eastAsia="宋体" w:cs="Times New Roman"/>
                <w:color w:val="000000" w:themeColor="text1"/>
                <w:u w:val="none" w:color="auto"/>
                <w14:textFill>
                  <w14:solidFill>
                    <w14:schemeClr w14:val="tx1"/>
                  </w14:solidFill>
                </w14:textFill>
              </w:rPr>
              <w:t>排放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标准要求</w:t>
            </w:r>
          </w:p>
        </w:tc>
      </w:tr>
      <w:tr w14:paraId="3BBC02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5C0503B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476C4F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212E3C8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657" w:type="pct"/>
            <w:vMerge w:val="continue"/>
            <w:vAlign w:val="center"/>
          </w:tcPr>
          <w:p w14:paraId="05D46C9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4156D87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D44B1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36A5F55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17C1288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73F1AE9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657" w:type="pct"/>
            <w:vMerge w:val="continue"/>
            <w:vAlign w:val="center"/>
          </w:tcPr>
          <w:p w14:paraId="19C4054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100BBC5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2CC69D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3F4E74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3FC4FD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034253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657" w:type="pct"/>
            <w:vMerge w:val="continue"/>
            <w:vAlign w:val="center"/>
          </w:tcPr>
          <w:p w14:paraId="227D580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Align w:val="center"/>
          </w:tcPr>
          <w:p w14:paraId="3DA6383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r>
      <w:tr w14:paraId="73B867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29618E7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restart"/>
            <w:vAlign w:val="center"/>
          </w:tcPr>
          <w:p w14:paraId="1EA357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厂界</w:t>
            </w:r>
          </w:p>
        </w:tc>
        <w:tc>
          <w:tcPr>
            <w:tcW w:w="981" w:type="pct"/>
            <w:vAlign w:val="center"/>
          </w:tcPr>
          <w:p w14:paraId="7B5535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657" w:type="pct"/>
            <w:vMerge w:val="restart"/>
            <w:vAlign w:val="center"/>
          </w:tcPr>
          <w:p w14:paraId="0F022B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1次/</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季度</w:t>
            </w:r>
          </w:p>
        </w:tc>
        <w:tc>
          <w:tcPr>
            <w:tcW w:w="2113" w:type="pct"/>
            <w:vMerge w:val="restart"/>
            <w:vAlign w:val="center"/>
          </w:tcPr>
          <w:p w14:paraId="614D76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表1中</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二级新改扩建</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项目的要求</w:t>
            </w:r>
          </w:p>
        </w:tc>
      </w:tr>
      <w:tr w14:paraId="31FE58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2C8F90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4D3D93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6AA5C7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657" w:type="pct"/>
            <w:vMerge w:val="continue"/>
            <w:vAlign w:val="center"/>
          </w:tcPr>
          <w:p w14:paraId="5D5571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59958A51">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14:textFill>
                  <w14:solidFill>
                    <w14:schemeClr w14:val="tx1"/>
                  </w14:solidFill>
                </w14:textFill>
              </w:rPr>
            </w:pPr>
          </w:p>
        </w:tc>
      </w:tr>
      <w:tr w14:paraId="2609C9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38ACC5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733FA6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79AD3D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657" w:type="pct"/>
            <w:vMerge w:val="continue"/>
            <w:vAlign w:val="center"/>
          </w:tcPr>
          <w:p w14:paraId="5FA599F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3BE58956">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14:textFill>
                  <w14:solidFill>
                    <w14:schemeClr w14:val="tx1"/>
                  </w14:solidFill>
                </w14:textFill>
              </w:rPr>
            </w:pPr>
          </w:p>
        </w:tc>
      </w:tr>
      <w:tr w14:paraId="29155D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415351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69275CA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261A94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657" w:type="pct"/>
            <w:vMerge w:val="continue"/>
            <w:vAlign w:val="center"/>
          </w:tcPr>
          <w:p w14:paraId="64C04C9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Align w:val="center"/>
          </w:tcPr>
          <w:p w14:paraId="404819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r>
      <w:tr w14:paraId="00ECDB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0DDCAE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Align w:val="center"/>
          </w:tcPr>
          <w:p w14:paraId="45575B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生产车间外（厂区内）</w:t>
            </w:r>
          </w:p>
        </w:tc>
        <w:tc>
          <w:tcPr>
            <w:tcW w:w="981" w:type="pct"/>
            <w:shd w:val="clear" w:color="auto" w:fill="auto"/>
            <w:vAlign w:val="center"/>
          </w:tcPr>
          <w:p w14:paraId="085FCF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kern w:val="2"/>
                <w:sz w:val="21"/>
                <w:szCs w:val="22"/>
                <w:u w:val="none" w:color="auto"/>
                <w:lang w:val="en-US" w:eastAsia="zh-CN" w:bidi="ar-SA"/>
                <w14:textFill>
                  <w14:solidFill>
                    <w14:schemeClr w14:val="tx1"/>
                  </w14:solidFill>
                </w14:textFill>
              </w:rPr>
              <w:t>非甲烷总烃</w:t>
            </w:r>
          </w:p>
        </w:tc>
        <w:tc>
          <w:tcPr>
            <w:tcW w:w="657" w:type="pct"/>
            <w:shd w:val="clear" w:color="auto" w:fill="auto"/>
            <w:vAlign w:val="center"/>
          </w:tcPr>
          <w:p w14:paraId="73437F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1次/</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季度</w:t>
            </w:r>
          </w:p>
        </w:tc>
        <w:tc>
          <w:tcPr>
            <w:tcW w:w="2113" w:type="pct"/>
            <w:shd w:val="clear" w:color="auto" w:fill="auto"/>
            <w:vAlign w:val="center"/>
          </w:tcPr>
          <w:p w14:paraId="7E1004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"https://www.mee.gov.cn/ywgz/fgbz/bz/bzwb/dqhjbh/dqgdwrywrwpfbz/201906/W020190606587693632696.pdf"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挥发性有机物无组织排放控制标准</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37822</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2019）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eastAsia" w:eastAsia="宋体" w:cs="Times New Roman"/>
                <w:color w:val="000000" w:themeColor="text1"/>
                <w:u w:val="none" w:color="auto"/>
                <w:lang w:val="en-US" w:eastAsia="zh-CN"/>
                <w14:textFill>
                  <w14:solidFill>
                    <w14:schemeClr w14:val="tx1"/>
                  </w14:solidFill>
                </w14:textFill>
              </w:rPr>
              <w:t>表A.1排放限值</w:t>
            </w:r>
          </w:p>
        </w:tc>
      </w:tr>
      <w:tr w14:paraId="76FD31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Align w:val="center"/>
          </w:tcPr>
          <w:p w14:paraId="339D8C7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w:t>
            </w:r>
          </w:p>
        </w:tc>
        <w:tc>
          <w:tcPr>
            <w:tcW w:w="840" w:type="pct"/>
            <w:vAlign w:val="center"/>
          </w:tcPr>
          <w:p w14:paraId="3E216A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四周厂界外1m</w:t>
            </w:r>
          </w:p>
        </w:tc>
        <w:tc>
          <w:tcPr>
            <w:tcW w:w="981" w:type="pct"/>
            <w:vAlign w:val="center"/>
          </w:tcPr>
          <w:p w14:paraId="22FD75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等效连续A声级</w:t>
            </w:r>
          </w:p>
        </w:tc>
        <w:tc>
          <w:tcPr>
            <w:tcW w:w="657" w:type="pct"/>
            <w:vAlign w:val="center"/>
          </w:tcPr>
          <w:p w14:paraId="708CB5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1次/季度</w:t>
            </w:r>
          </w:p>
        </w:tc>
        <w:tc>
          <w:tcPr>
            <w:tcW w:w="2113" w:type="pct"/>
            <w:vAlign w:val="center"/>
          </w:tcPr>
          <w:p w14:paraId="1F93750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《工业企业厂界环境噪声排放标准》（GB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12348-2008）3类标准</w:t>
            </w:r>
          </w:p>
        </w:tc>
      </w:tr>
      <w:tr w14:paraId="09E068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restart"/>
            <w:vAlign w:val="center"/>
          </w:tcPr>
          <w:p w14:paraId="507E14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w:t>
            </w:r>
          </w:p>
        </w:tc>
        <w:tc>
          <w:tcPr>
            <w:tcW w:w="840" w:type="pct"/>
            <w:vMerge w:val="restart"/>
            <w:vAlign w:val="center"/>
          </w:tcPr>
          <w:p w14:paraId="7879C53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污水</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处理设施排放口</w:t>
            </w:r>
          </w:p>
        </w:tc>
        <w:tc>
          <w:tcPr>
            <w:tcW w:w="981" w:type="pct"/>
            <w:vAlign w:val="center"/>
          </w:tcPr>
          <w:p w14:paraId="228F01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pH值</w:t>
            </w:r>
          </w:p>
        </w:tc>
        <w:tc>
          <w:tcPr>
            <w:tcW w:w="657" w:type="pct"/>
            <w:vMerge w:val="restart"/>
            <w:vAlign w:val="center"/>
          </w:tcPr>
          <w:p w14:paraId="0F40A62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1次/季度</w:t>
            </w:r>
          </w:p>
        </w:tc>
        <w:tc>
          <w:tcPr>
            <w:tcW w:w="2113" w:type="pct"/>
            <w:vMerge w:val="restart"/>
            <w:vAlign w:val="center"/>
          </w:tcPr>
          <w:p w14:paraId="1E9BCF9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《污水综合排放标准》（GB 8978-1996）表4三级标准及平江高新技术产业园污水处理厂进水水质要求中的较严值</w:t>
            </w:r>
          </w:p>
        </w:tc>
      </w:tr>
      <w:tr w14:paraId="715868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6A4FEA0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16D230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p>
        </w:tc>
        <w:tc>
          <w:tcPr>
            <w:tcW w:w="981" w:type="pct"/>
            <w:vAlign w:val="center"/>
          </w:tcPr>
          <w:p w14:paraId="188E8D6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化学需氧量</w:t>
            </w:r>
          </w:p>
        </w:tc>
        <w:tc>
          <w:tcPr>
            <w:tcW w:w="657" w:type="pct"/>
            <w:vMerge w:val="continue"/>
            <w:vAlign w:val="center"/>
          </w:tcPr>
          <w:p w14:paraId="2FD29F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3E2D77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174BF4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1966D51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19797B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1E0BD73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五日生化需氧量</w:t>
            </w:r>
          </w:p>
        </w:tc>
        <w:tc>
          <w:tcPr>
            <w:tcW w:w="657" w:type="pct"/>
            <w:vMerge w:val="continue"/>
            <w:vAlign w:val="center"/>
          </w:tcPr>
          <w:p w14:paraId="0DECD3E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30D9AE19">
            <w:pPr>
              <w:pStyle w:val="68"/>
              <w:keepNext w:val="0"/>
              <w:keepLines w:val="0"/>
              <w:pageBreakBefore w:val="0"/>
              <w:widowControl w:val="0"/>
              <w:kinsoku/>
              <w:wordWrap/>
              <w:overflowPunct/>
              <w:topLinePunct w:val="0"/>
              <w:bidi w:val="0"/>
              <w:rPr>
                <w:rFonts w:hint="default" w:ascii="Times New Roman" w:hAnsi="Times New Roman" w:eastAsia="宋体" w:cs="Times New Roman"/>
                <w:snapToGrid w:val="0"/>
                <w:color w:val="000000" w:themeColor="text1"/>
                <w:kern w:val="0"/>
                <w:u w:val="none" w:color="auto"/>
                <w14:textFill>
                  <w14:solidFill>
                    <w14:schemeClr w14:val="tx1"/>
                  </w14:solidFill>
                </w14:textFill>
              </w:rPr>
            </w:pPr>
          </w:p>
        </w:tc>
      </w:tr>
      <w:tr w14:paraId="4CA05D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25A417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09A09E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0FCCB09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悬浮物</w:t>
            </w:r>
          </w:p>
        </w:tc>
        <w:tc>
          <w:tcPr>
            <w:tcW w:w="657" w:type="pct"/>
            <w:vMerge w:val="continue"/>
            <w:vAlign w:val="center"/>
          </w:tcPr>
          <w:p w14:paraId="224991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401D3CAF">
            <w:pPr>
              <w:pStyle w:val="68"/>
              <w:keepNext w:val="0"/>
              <w:keepLines w:val="0"/>
              <w:pageBreakBefore w:val="0"/>
              <w:widowControl w:val="0"/>
              <w:kinsoku/>
              <w:wordWrap/>
              <w:overflowPunct/>
              <w:topLinePunct w:val="0"/>
              <w:bidi w:val="0"/>
              <w:rPr>
                <w:rFonts w:hint="default" w:ascii="Times New Roman" w:hAnsi="Times New Roman" w:eastAsia="宋体" w:cs="Times New Roman"/>
                <w:snapToGrid w:val="0"/>
                <w:color w:val="000000" w:themeColor="text1"/>
                <w:kern w:val="0"/>
                <w:u w:val="none" w:color="auto"/>
                <w14:textFill>
                  <w14:solidFill>
                    <w14:schemeClr w14:val="tx1"/>
                  </w14:solidFill>
                </w14:textFill>
              </w:rPr>
            </w:pPr>
          </w:p>
        </w:tc>
      </w:tr>
      <w:tr w14:paraId="2D697F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2FCD673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13E0FFD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45960E2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氨氮</w:t>
            </w:r>
          </w:p>
        </w:tc>
        <w:tc>
          <w:tcPr>
            <w:tcW w:w="657" w:type="pct"/>
            <w:vMerge w:val="continue"/>
            <w:vAlign w:val="center"/>
          </w:tcPr>
          <w:p w14:paraId="72FB423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7BA2A0A8">
            <w:pPr>
              <w:pStyle w:val="68"/>
              <w:keepNext w:val="0"/>
              <w:keepLines w:val="0"/>
              <w:pageBreakBefore w:val="0"/>
              <w:widowControl w:val="0"/>
              <w:kinsoku/>
              <w:wordWrap/>
              <w:overflowPunct/>
              <w:topLinePunct w:val="0"/>
              <w:bidi w:val="0"/>
              <w:rPr>
                <w:rFonts w:hint="default" w:ascii="Times New Roman" w:hAnsi="Times New Roman" w:eastAsia="宋体" w:cs="Times New Roman"/>
                <w:snapToGrid w:val="0"/>
                <w:color w:val="000000" w:themeColor="text1"/>
                <w:kern w:val="0"/>
                <w:u w:val="none" w:color="auto"/>
                <w14:textFill>
                  <w14:solidFill>
                    <w14:schemeClr w14:val="tx1"/>
                  </w14:solidFill>
                </w14:textFill>
              </w:rPr>
            </w:pPr>
          </w:p>
        </w:tc>
      </w:tr>
      <w:tr w14:paraId="545E00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407" w:type="pct"/>
            <w:vMerge w:val="continue"/>
            <w:vAlign w:val="center"/>
          </w:tcPr>
          <w:p w14:paraId="6774D6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40" w:type="pct"/>
            <w:vMerge w:val="continue"/>
            <w:vAlign w:val="center"/>
          </w:tcPr>
          <w:p w14:paraId="2EB5893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81" w:type="pct"/>
            <w:vAlign w:val="center"/>
          </w:tcPr>
          <w:p w14:paraId="0680E4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w:t>
            </w:r>
          </w:p>
        </w:tc>
        <w:tc>
          <w:tcPr>
            <w:tcW w:w="657" w:type="pct"/>
            <w:vMerge w:val="continue"/>
            <w:vAlign w:val="center"/>
          </w:tcPr>
          <w:p w14:paraId="1F2B149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2113" w:type="pct"/>
            <w:vMerge w:val="continue"/>
            <w:vAlign w:val="center"/>
          </w:tcPr>
          <w:p w14:paraId="353485C0">
            <w:pPr>
              <w:pStyle w:val="68"/>
              <w:keepNext w:val="0"/>
              <w:keepLines w:val="0"/>
              <w:pageBreakBefore w:val="0"/>
              <w:widowControl w:val="0"/>
              <w:kinsoku/>
              <w:wordWrap/>
              <w:overflowPunct/>
              <w:topLinePunct w:val="0"/>
              <w:bidi w:val="0"/>
              <w:rPr>
                <w:rFonts w:hint="default" w:ascii="Times New Roman" w:hAnsi="Times New Roman" w:eastAsia="宋体" w:cs="Times New Roman"/>
                <w:snapToGrid w:val="0"/>
                <w:color w:val="000000" w:themeColor="text1"/>
                <w:kern w:val="0"/>
                <w:u w:val="none" w:color="auto"/>
                <w14:textFill>
                  <w14:solidFill>
                    <w14:schemeClr w14:val="tx1"/>
                  </w14:solidFill>
                </w14:textFill>
              </w:rPr>
            </w:pPr>
          </w:p>
        </w:tc>
      </w:tr>
    </w:tbl>
    <w:p w14:paraId="6F1F3F2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55" w:name="_Toc204350838"/>
      <w:bookmarkStart w:id="656" w:name="_Toc18855"/>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2.4 信息公开</w:t>
      </w:r>
      <w:bookmarkEnd w:id="655"/>
      <w:bookmarkEnd w:id="656"/>
    </w:p>
    <w:p w14:paraId="1CC5CF6C">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2.4.1 排污许可信息公开</w:t>
      </w:r>
    </w:p>
    <w:p w14:paraId="6BB3349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依据《排污许可管理条例》（自2021年3月1日施行）、《排污单位自行监测技术指南 总则》（HJ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819-2017）</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《排污许可证申请与核发技术规范 工业噪声》（HJ 1301-2023）</w:t>
      </w:r>
      <w:r>
        <w:rPr>
          <w:rFonts w:hint="default" w:ascii="Times New Roman" w:hAnsi="Times New Roman" w:eastAsia="宋体" w:cs="Times New Roman"/>
          <w:color w:val="000000" w:themeColor="text1"/>
          <w:u w:val="none" w:color="auto"/>
          <w14:textFill>
            <w14:solidFill>
              <w14:schemeClr w14:val="tx1"/>
            </w14:solidFill>
          </w14:textFill>
        </w:rPr>
        <w:t>相关规定，建设单位应在发生实际排污行为之前申请排污许可证，并进行信息公开，具体公开内容包括：</w:t>
      </w:r>
    </w:p>
    <w:p w14:paraId="54F5038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①基础信息，包括单位名称、组织机构代码、法定代表人、生产地址、联系方式，以及生产经营和管理服务的主要内容、产品及规模；</w:t>
      </w:r>
    </w:p>
    <w:p w14:paraId="569461E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②排污信息，包括主要污染物及特征污染物的名称、排放方式、排放口数量和分布情况、排放浓度和总量、超标情况，以及执行的污染物排放标准、核定的排放总量；</w:t>
      </w:r>
    </w:p>
    <w:p w14:paraId="157BAB7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③防治污染设施的建设和运行情况；</w:t>
      </w:r>
    </w:p>
    <w:p w14:paraId="446CB21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④建设项目环境影响评价及其他环境保护行政许可情况；</w:t>
      </w:r>
    </w:p>
    <w:p w14:paraId="18F9045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⑤突发环境事件应急预案；</w:t>
      </w:r>
    </w:p>
    <w:p w14:paraId="2428F56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⑥其他应当公开的环境信息。</w:t>
      </w:r>
    </w:p>
    <w:p w14:paraId="525AF177">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2.42 建设项目竣工环境保护验收信息公开</w:t>
      </w:r>
    </w:p>
    <w:p w14:paraId="05EE50E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依据《建设项目竣工环境保护验收暂行办法》（国环规环评〔2017〕4号），建设单位应在环境保护设施验收期间，向社会公开下列信息：</w:t>
      </w:r>
    </w:p>
    <w:p w14:paraId="22A26C4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①建设项目配套建设的环境保护设施竣工后，公开竣工日期；</w:t>
      </w:r>
    </w:p>
    <w:p w14:paraId="4C1FFE9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②对建设项目配套建设的环境保护设施进行调试前，公开调试的起止日期；</w:t>
      </w:r>
    </w:p>
    <w:p w14:paraId="0277905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③验收报告编制完成后5个工作日内，公开验收报告，公示的期限不得少于20个工作日。</w:t>
      </w:r>
    </w:p>
    <w:p w14:paraId="3FE877F9">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2.4.3 自行监测信息公开</w:t>
      </w:r>
    </w:p>
    <w:p w14:paraId="544F71A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依据《企业事业单位环境信息公开办法》（环境保护部令第31号）、《国家重点监控企业自行监测及信息公开办法（试行）》（环发〔2013〕81号）、《排污单位自行监测技术指南总则》（HJ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819-2017）的规定，公开排污单位自行监测年度报告，具体包括：</w:t>
      </w:r>
    </w:p>
    <w:p w14:paraId="06C847F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①监测方案的调整变化情况及变更原因；</w:t>
      </w:r>
    </w:p>
    <w:p w14:paraId="4C7CE9C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②企业及各主要生产设施（至少涵盖废气主要污染源相关生产设施）全年运行天数，</w:t>
      </w:r>
    </w:p>
    <w:p w14:paraId="6F2243F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各监测点、各监测指标全年监测次数、超标情况、浓度分布情况；</w:t>
      </w:r>
    </w:p>
    <w:p w14:paraId="109693E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③按要求开展的周边环境质量影响状况监测结果；</w:t>
      </w:r>
    </w:p>
    <w:p w14:paraId="7BB3F24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④自行监测开展的其他情况说明；</w:t>
      </w:r>
    </w:p>
    <w:p w14:paraId="4162A24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⑤排污单位实现达标排放所采取的主要措施。</w:t>
      </w:r>
    </w:p>
    <w:p w14:paraId="7FF93E6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57" w:name="_Toc25855"/>
      <w:bookmarkStart w:id="658" w:name="_Toc204350839"/>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2.5 监测数据的管理</w:t>
      </w:r>
      <w:bookmarkEnd w:id="657"/>
      <w:bookmarkEnd w:id="658"/>
    </w:p>
    <w:p w14:paraId="17DC253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对于上述监测结果应该按照项目有关规定及时建立档案，并抄送有关环保主管部门，对于常规监测部分应该进行公开，特别是对本项目所在区域的居民及环境影响范围内的敏感点进行公开，满足法律中关于知情权的要求。此外，如果发现了污染和破坏问题要及时进行处理、调查并上报有关部门。的环境影响，应切实做好环境保护管理与监督，以及环境监测计划工作。</w:t>
      </w:r>
    </w:p>
    <w:p w14:paraId="738BF475">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59" w:name="_Toc7787"/>
      <w:bookmarkStart w:id="660" w:name="_Toc204350840"/>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3 排污口规范化管理</w:t>
      </w:r>
      <w:bookmarkEnd w:id="659"/>
      <w:bookmarkEnd w:id="660"/>
    </w:p>
    <w:p w14:paraId="5B2E3206">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61" w:name="_Toc204350841"/>
      <w:bookmarkStart w:id="662" w:name="_Toc26875"/>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3.1 排污口规范化管理</w:t>
      </w:r>
      <w:bookmarkEnd w:id="661"/>
      <w:bookmarkEnd w:id="662"/>
    </w:p>
    <w:p w14:paraId="1642046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污口是企业污染物进入环境、污染环境的通道，强化排污口的管理是实施污染物总量控制的基础工作，也是区域环境管理逐步实现污染物排放科学化、定量化的重要手段。本工程排污口应实行规范化设置与管理，具体管理原则如下：</w:t>
      </w:r>
    </w:p>
    <w:p w14:paraId="7DAF65F6">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（1）排污口必须规范化设置；</w:t>
      </w:r>
    </w:p>
    <w:p w14:paraId="4CE7955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（2）列入总量控制的污染物排放口以及行业特征污染物排放口，应列为管理重点；</w:t>
      </w:r>
    </w:p>
    <w:p w14:paraId="6B57FD2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（3）排污口应便于采样与计量监测，便于日常监督检查，应有观测、取样、维修通道；</w:t>
      </w:r>
    </w:p>
    <w:p w14:paraId="2997618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（4）如实向环保管理部门申报排污口数量、位置及所排放的主要污染物种类、数量、浓度、排放去向等情况。</w:t>
      </w:r>
    </w:p>
    <w:p w14:paraId="2F85B098">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63" w:name="_Toc6468"/>
      <w:bookmarkStart w:id="664" w:name="_Toc204350842"/>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3.2 排污口立标管理</w:t>
      </w:r>
      <w:bookmarkEnd w:id="663"/>
      <w:bookmarkEnd w:id="664"/>
    </w:p>
    <w:p w14:paraId="36D4794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按《环境保护图形标志</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排放口（源）》（GB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15562.1-1995）、《环境保护图形标志</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固体废物贮存（处置）场》（GB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15562.2-1995）修改单、《危险废物识别标志设置技术规范》（HJ</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1276-2022）规定的图形，在各气、水、声排污口（源）挂牌标识，做到各排污口（源）的环保标志明显，便于企业管理和公众监督。此外，应注意以下几点：</w:t>
      </w:r>
    </w:p>
    <w:p w14:paraId="103E871F">
      <w:pPr>
        <w:keepNext w:val="0"/>
        <w:keepLines w:val="0"/>
        <w:pageBreakBefore w:val="0"/>
        <w:widowControl w:val="0"/>
        <w:numPr>
          <w:ilvl w:val="0"/>
          <w:numId w:val="2"/>
        </w:numPr>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排污口的环保图形标志牌应设置在靠近采样点的醒目处，标志牌设置高度为其上边缘距离地面约2米；排污口和固体废物堆置场以设置方形标志牌为主，亦可根据情况设置立面或平面固定式标志牌；</w:t>
      </w:r>
    </w:p>
    <w:p w14:paraId="49D26550">
      <w:pPr>
        <w:keepNext w:val="0"/>
        <w:keepLines w:val="0"/>
        <w:pageBreakBefore w:val="0"/>
        <w:widowControl w:val="0"/>
        <w:numPr>
          <w:ilvl w:val="0"/>
          <w:numId w:val="2"/>
        </w:numPr>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废水排放口和固体废物堆场，应设置提示性环境保护图形标志牌。并在以后的运行过程中按照以上原则对排污口进行规范化管理。</w:t>
      </w:r>
    </w:p>
    <w:p w14:paraId="2785789E">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65" w:name="_Toc204350843"/>
      <w:bookmarkStart w:id="666" w:name="_Toc15150"/>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3.3 排污口建档管理</w:t>
      </w:r>
      <w:bookmarkEnd w:id="665"/>
      <w:bookmarkEnd w:id="666"/>
    </w:p>
    <w:p w14:paraId="467114F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公司在以后的生产过程中应做到：</w:t>
      </w:r>
    </w:p>
    <w:p w14:paraId="7B3E6A8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（1）使用国家环保总局统一印制的《中华人民共和国规范化排污口标志登记证》，并按要求填写有关内容；</w:t>
      </w:r>
    </w:p>
    <w:p w14:paraId="248A71C0">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（2）根据排污口管理内容要求，项目建成投产后，应将主要污染物种类、数量、浓度、排放去向、立标情况及设施运行情况记录于档案。</w:t>
      </w:r>
    </w:p>
    <w:p w14:paraId="6E3A9403">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67" w:name="_Toc204350844"/>
      <w:bookmarkStart w:id="668" w:name="_Toc21776"/>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4 排污许可管理</w:t>
      </w:r>
      <w:bookmarkEnd w:id="667"/>
      <w:bookmarkEnd w:id="668"/>
    </w:p>
    <w:p w14:paraId="584D18F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建设项目应根据《排污许可管理办法》（2024年7月1日实施），对照《固定污染源排污许可分类管理名录》（2019年版），应当在启动生产设施或者在实际排污之前申请排污许可证。</w:t>
      </w:r>
    </w:p>
    <w:p w14:paraId="6EDC8FC8">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69" w:name="_Toc204350845"/>
      <w:bookmarkStart w:id="670" w:name="_Toc184"/>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5 污染物排放清单</w:t>
      </w:r>
      <w:bookmarkEnd w:id="669"/>
      <w:bookmarkEnd w:id="670"/>
    </w:p>
    <w:p w14:paraId="1E84D9B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根据项目工程特点，本项目污染物排放清单见下表所示。</w:t>
      </w:r>
    </w:p>
    <w:p w14:paraId="69A187F7">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71" w:name="_Toc26947"/>
      <w:bookmarkStart w:id="672" w:name="_Toc204350846"/>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6 环保设施</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三同时</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竣工验收</w:t>
      </w:r>
      <w:bookmarkEnd w:id="671"/>
      <w:bookmarkEnd w:id="672"/>
    </w:p>
    <w:p w14:paraId="74E9EEE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的环保设施应以生产设施同时设计、同时施工、同时竣工投入使用。根据《国务院关于修改〈建设项目环境保护管理条例〉的决定》（国务院令第682号）和《建设项目竣工环境保护验收暂行办法》（国环规环评</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2017</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4号）的规定和要求，本建设项目竣工后，建设单位应当按照《建设项目竣工环境保护验收暂行办法》（国环规环评</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2017</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4号）和《建设项目竣工环境保护验收技术指南污染影响类》，同时参考《建设项目竣工环境保护验收技术规范危险废物处置》（征求意见稿），自行组织对配套建设的环境保护设施进行验收，编制验收报告。并公开相关信息，接受社会监督，确保建设项目需要配套建设的环境保护设施与主体工程同时投产或者使用。根据项目的特点，竣工环境保护验收一览表</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如</w:t>
      </w:r>
      <w:r>
        <w:rPr>
          <w:rFonts w:hint="default" w:ascii="Times New Roman" w:hAnsi="Times New Roman" w:eastAsia="宋体" w:cs="Times New Roman"/>
          <w:color w:val="000000" w:themeColor="text1"/>
          <w:u w:val="none" w:color="auto"/>
          <w14:textFill>
            <w14:solidFill>
              <w14:schemeClr w14:val="tx1"/>
            </w14:solidFill>
          </w14:textFill>
        </w:rPr>
        <w:t>下表所示。</w:t>
      </w:r>
    </w:p>
    <w:p w14:paraId="4D804FB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26" w:charSpace="0"/>
        </w:sectPr>
      </w:pPr>
    </w:p>
    <w:p w14:paraId="4E7F1A4A">
      <w:pPr>
        <w:pStyle w:val="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表</w:t>
      </w:r>
      <w:r>
        <w:rPr>
          <w:rFonts w:hint="default" w:ascii="Times New Roman" w:hAnsi="Times New Roman" w:eastAsia="宋体" w:cs="Times New Roman"/>
          <w:color w:val="000000" w:themeColor="text1"/>
          <w:u w:val="none" w:color="auto"/>
          <w:lang w:eastAsia="zh-CN"/>
          <w14:textFill>
            <w14:solidFill>
              <w14:schemeClr w14:val="tx1"/>
            </w14:solidFill>
          </w14:textFill>
        </w:rPr>
        <w:t>11.</w:t>
      </w:r>
      <w:r>
        <w:rPr>
          <w:rFonts w:hint="default" w:ascii="Times New Roman" w:hAnsi="Times New Roman" w:eastAsia="宋体" w:cs="Times New Roman"/>
          <w:color w:val="000000" w:themeColor="text1"/>
          <w:u w:val="none" w:color="auto"/>
          <w14:textFill>
            <w14:solidFill>
              <w14:schemeClr w14:val="tx1"/>
            </w14:solidFill>
          </w14:textFill>
        </w:rPr>
        <w:t>5-1  环保设施</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三同时</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验收一览</w:t>
      </w:r>
      <w:r>
        <w:rPr>
          <w:rFonts w:hint="default" w:ascii="Times New Roman" w:hAnsi="Times New Roman" w:eastAsia="宋体" w:cs="Times New Roman"/>
          <w:color w:val="000000" w:themeColor="text1"/>
          <w:szCs w:val="24"/>
          <w:u w:val="none" w:color="auto"/>
          <w14:textFill>
            <w14:solidFill>
              <w14:schemeClr w14:val="tx1"/>
            </w14:solidFill>
          </w14:textFill>
        </w:rPr>
        <w:t>表</w:t>
      </w:r>
    </w:p>
    <w:tbl>
      <w:tblPr>
        <w:tblStyle w:val="37"/>
        <w:tblW w:w="5000" w:type="pct"/>
        <w:tblInd w:w="-1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0"/>
        <w:gridCol w:w="2328"/>
        <w:gridCol w:w="1095"/>
        <w:gridCol w:w="62"/>
        <w:gridCol w:w="2643"/>
        <w:gridCol w:w="2771"/>
        <w:gridCol w:w="4095"/>
      </w:tblGrid>
      <w:tr w14:paraId="5598A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237" w:type="pct"/>
            <w:gridSpan w:val="2"/>
            <w:vAlign w:val="center"/>
          </w:tcPr>
          <w:p w14:paraId="5CCBD82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验收类别</w:t>
            </w:r>
          </w:p>
        </w:tc>
        <w:tc>
          <w:tcPr>
            <w:tcW w:w="1340" w:type="pct"/>
            <w:gridSpan w:val="3"/>
            <w:vAlign w:val="center"/>
          </w:tcPr>
          <w:p w14:paraId="133003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污染物名称</w:t>
            </w:r>
          </w:p>
        </w:tc>
        <w:tc>
          <w:tcPr>
            <w:tcW w:w="977" w:type="pct"/>
            <w:vAlign w:val="center"/>
          </w:tcPr>
          <w:p w14:paraId="3402E2D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治理方式</w:t>
            </w:r>
          </w:p>
        </w:tc>
        <w:tc>
          <w:tcPr>
            <w:tcW w:w="1444" w:type="pct"/>
            <w:vAlign w:val="center"/>
          </w:tcPr>
          <w:p w14:paraId="31DBBAC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执行的排放标准</w:t>
            </w:r>
          </w:p>
        </w:tc>
      </w:tr>
      <w:tr w14:paraId="69FBD6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restart"/>
            <w:vAlign w:val="center"/>
          </w:tcPr>
          <w:p w14:paraId="28CDE0C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废气</w:t>
            </w:r>
          </w:p>
        </w:tc>
        <w:tc>
          <w:tcPr>
            <w:tcW w:w="821" w:type="pct"/>
            <w:vMerge w:val="restart"/>
            <w:vAlign w:val="center"/>
          </w:tcPr>
          <w:p w14:paraId="7D348B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生产车间有组织废气</w:t>
            </w:r>
          </w:p>
        </w:tc>
        <w:tc>
          <w:tcPr>
            <w:tcW w:w="386" w:type="pct"/>
            <w:vMerge w:val="restart"/>
            <w:vAlign w:val="center"/>
          </w:tcPr>
          <w:p w14:paraId="63E063B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有组织</w:t>
            </w:r>
          </w:p>
        </w:tc>
        <w:tc>
          <w:tcPr>
            <w:tcW w:w="954" w:type="pct"/>
            <w:gridSpan w:val="2"/>
            <w:vAlign w:val="center"/>
          </w:tcPr>
          <w:p w14:paraId="325D34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977" w:type="pct"/>
            <w:vMerge w:val="restart"/>
            <w:vAlign w:val="center"/>
          </w:tcPr>
          <w:p w14:paraId="60D132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喷淋+</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过滤棉+二级活性炭+15 </w:t>
            </w:r>
            <w:r>
              <w:rPr>
                <w:rFonts w:hint="default" w:ascii="Times New Roman" w:hAnsi="Times New Roman" w:eastAsia="宋体" w:cs="Times New Roman"/>
                <w:color w:val="000000" w:themeColor="text1"/>
                <w:u w:val="none" w:color="auto"/>
                <w14:textFill>
                  <w14:solidFill>
                    <w14:schemeClr w14:val="tx1"/>
                  </w14:solidFill>
                </w14:textFill>
              </w:rPr>
              <w:t>m排气筒</w:t>
            </w:r>
          </w:p>
        </w:tc>
        <w:tc>
          <w:tcPr>
            <w:tcW w:w="1444" w:type="pct"/>
            <w:vMerge w:val="restart"/>
            <w:vAlign w:val="center"/>
          </w:tcPr>
          <w:p w14:paraId="47D8FA0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w:t>
            </w:r>
            <w:r>
              <w:rPr>
                <w:rFonts w:hint="default" w:ascii="Times New Roman" w:hAnsi="Times New Roman" w:eastAsia="宋体" w:cs="Times New Roman"/>
                <w:color w:val="000000" w:themeColor="text1"/>
                <w:u w:val="none" w:color="auto"/>
                <w14:textFill>
                  <w14:solidFill>
                    <w14:schemeClr w14:val="tx1"/>
                  </w14:solidFill>
                </w14:textFill>
              </w:rPr>
              <w:t>排放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标准要求</w:t>
            </w:r>
          </w:p>
        </w:tc>
      </w:tr>
      <w:tr w14:paraId="679DC5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6" w:type="pct"/>
            <w:vMerge w:val="continue"/>
            <w:vAlign w:val="center"/>
          </w:tcPr>
          <w:p w14:paraId="7D571F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126351C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86" w:type="pct"/>
            <w:vMerge w:val="continue"/>
            <w:vAlign w:val="center"/>
          </w:tcPr>
          <w:p w14:paraId="0745E1A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54" w:type="pct"/>
            <w:gridSpan w:val="2"/>
            <w:vAlign w:val="center"/>
          </w:tcPr>
          <w:p w14:paraId="1EEE24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977" w:type="pct"/>
            <w:vMerge w:val="continue"/>
            <w:vAlign w:val="center"/>
          </w:tcPr>
          <w:p w14:paraId="0B65C8E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1D79E04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C4EF8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2AB48A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6B41CE0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86" w:type="pct"/>
            <w:vMerge w:val="continue"/>
            <w:vAlign w:val="center"/>
          </w:tcPr>
          <w:p w14:paraId="568ADEE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54" w:type="pct"/>
            <w:gridSpan w:val="2"/>
            <w:vAlign w:val="center"/>
          </w:tcPr>
          <w:p w14:paraId="7F8D79E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977" w:type="pct"/>
            <w:vMerge w:val="continue"/>
            <w:vAlign w:val="center"/>
          </w:tcPr>
          <w:p w14:paraId="028977F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66C987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161A49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642C8B7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1BEF8E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86" w:type="pct"/>
            <w:vMerge w:val="continue"/>
            <w:vAlign w:val="center"/>
          </w:tcPr>
          <w:p w14:paraId="502F34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54" w:type="pct"/>
            <w:gridSpan w:val="2"/>
            <w:vAlign w:val="center"/>
          </w:tcPr>
          <w:p w14:paraId="3DF5B4B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977" w:type="pct"/>
            <w:vMerge w:val="continue"/>
            <w:vAlign w:val="center"/>
          </w:tcPr>
          <w:p w14:paraId="5D7987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Align w:val="center"/>
          </w:tcPr>
          <w:p w14:paraId="1A2B9C5D">
            <w:pPr>
              <w:pStyle w:val="68"/>
              <w:keepNext w:val="0"/>
              <w:keepLines w:val="0"/>
              <w:pageBreakBefore w:val="0"/>
              <w:widowControl w:val="0"/>
              <w:kinsoku/>
              <w:wordWrap/>
              <w:overflowPunct/>
              <w:topLinePunct w:val="0"/>
              <w:bidi w:val="0"/>
              <w:rPr>
                <w:rFonts w:hint="default" w:ascii="Times New Roman" w:hAnsi="Times New Roman" w:eastAsia="宋体" w:cs="Times New Roman"/>
                <w:snapToGrid w:val="0"/>
                <w:color w:val="000000" w:themeColor="text1"/>
                <w:kern w:val="0"/>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r>
      <w:tr w14:paraId="169B43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18FC7E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restart"/>
            <w:vAlign w:val="center"/>
          </w:tcPr>
          <w:p w14:paraId="2990805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厂界无组织废气</w:t>
            </w:r>
          </w:p>
        </w:tc>
        <w:tc>
          <w:tcPr>
            <w:tcW w:w="386" w:type="pct"/>
            <w:vMerge w:val="restart"/>
            <w:vAlign w:val="center"/>
          </w:tcPr>
          <w:p w14:paraId="2798EA5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无组织</w:t>
            </w:r>
          </w:p>
        </w:tc>
        <w:tc>
          <w:tcPr>
            <w:tcW w:w="954" w:type="pct"/>
            <w:gridSpan w:val="2"/>
            <w:vAlign w:val="center"/>
          </w:tcPr>
          <w:p w14:paraId="3061F5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氨气</w:t>
            </w:r>
          </w:p>
        </w:tc>
        <w:tc>
          <w:tcPr>
            <w:tcW w:w="977" w:type="pct"/>
            <w:vMerge w:val="restart"/>
            <w:vAlign w:val="center"/>
          </w:tcPr>
          <w:p w14:paraId="296229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密闭车间阻隔</w:t>
            </w:r>
          </w:p>
        </w:tc>
        <w:tc>
          <w:tcPr>
            <w:tcW w:w="1444" w:type="pct"/>
            <w:vMerge w:val="restart"/>
            <w:vAlign w:val="center"/>
          </w:tcPr>
          <w:p w14:paraId="615861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表1中</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二级新改扩建</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项目的要求</w:t>
            </w:r>
          </w:p>
        </w:tc>
      </w:tr>
      <w:tr w14:paraId="79909A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5D6E4B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6B431DA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86" w:type="pct"/>
            <w:vMerge w:val="continue"/>
            <w:vAlign w:val="center"/>
          </w:tcPr>
          <w:p w14:paraId="08D54BE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54" w:type="pct"/>
            <w:gridSpan w:val="2"/>
            <w:vAlign w:val="center"/>
          </w:tcPr>
          <w:p w14:paraId="79CE04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硫化氢</w:t>
            </w:r>
          </w:p>
        </w:tc>
        <w:tc>
          <w:tcPr>
            <w:tcW w:w="977" w:type="pct"/>
            <w:vMerge w:val="continue"/>
            <w:vAlign w:val="center"/>
          </w:tcPr>
          <w:p w14:paraId="342C1B3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415F216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68714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737091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6F02C31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86" w:type="pct"/>
            <w:vMerge w:val="continue"/>
            <w:vAlign w:val="center"/>
          </w:tcPr>
          <w:p w14:paraId="66F2046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54" w:type="pct"/>
            <w:gridSpan w:val="2"/>
            <w:vAlign w:val="center"/>
          </w:tcPr>
          <w:p w14:paraId="69C33C9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臭气浓度</w:t>
            </w:r>
          </w:p>
        </w:tc>
        <w:tc>
          <w:tcPr>
            <w:tcW w:w="977" w:type="pct"/>
            <w:vMerge w:val="continue"/>
            <w:vAlign w:val="center"/>
          </w:tcPr>
          <w:p w14:paraId="6513CB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04E544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37EED6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0EDBAD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1F6ADD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386" w:type="pct"/>
            <w:vMerge w:val="continue"/>
            <w:vAlign w:val="center"/>
          </w:tcPr>
          <w:p w14:paraId="0A4BA28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54" w:type="pct"/>
            <w:gridSpan w:val="2"/>
            <w:vAlign w:val="center"/>
          </w:tcPr>
          <w:p w14:paraId="4261F9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977" w:type="pct"/>
            <w:vMerge w:val="continue"/>
            <w:vAlign w:val="center"/>
          </w:tcPr>
          <w:p w14:paraId="6906F8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Align w:val="center"/>
          </w:tcPr>
          <w:p w14:paraId="1D3AD02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r>
      <w:tr w14:paraId="106D8D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033AD0B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Align w:val="center"/>
          </w:tcPr>
          <w:p w14:paraId="71A024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生产车间外（厂区内）</w:t>
            </w:r>
          </w:p>
        </w:tc>
        <w:tc>
          <w:tcPr>
            <w:tcW w:w="386" w:type="pct"/>
            <w:vAlign w:val="center"/>
          </w:tcPr>
          <w:p w14:paraId="7E4E943A">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无组织</w:t>
            </w:r>
          </w:p>
        </w:tc>
        <w:tc>
          <w:tcPr>
            <w:tcW w:w="954" w:type="pct"/>
            <w:gridSpan w:val="2"/>
            <w:vAlign w:val="center"/>
          </w:tcPr>
          <w:p w14:paraId="4C6D010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p>
        </w:tc>
        <w:tc>
          <w:tcPr>
            <w:tcW w:w="977" w:type="pct"/>
            <w:vAlign w:val="center"/>
          </w:tcPr>
          <w:p w14:paraId="1D1DD2C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密闭车间阻隔</w:t>
            </w:r>
          </w:p>
        </w:tc>
        <w:tc>
          <w:tcPr>
            <w:tcW w:w="1444" w:type="pct"/>
            <w:vAlign w:val="center"/>
          </w:tcPr>
          <w:p w14:paraId="3816CB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"https://www.mee.gov.cn/ywgz/fgbz/bz/bzwb/dqhjbh/dqgdwrywrwpfbz/201906/W020190606587693632696.pdf"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挥发性有机物无组织排放控制标准</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37822</w:t>
            </w:r>
            <w:r>
              <w:rPr>
                <w:rFonts w:hint="eastAsia"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2019）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eastAsia" w:eastAsia="宋体" w:cs="Times New Roman"/>
                <w:color w:val="000000" w:themeColor="text1"/>
                <w:u w:val="none" w:color="auto"/>
                <w:lang w:val="en-US" w:eastAsia="zh-CN"/>
                <w14:textFill>
                  <w14:solidFill>
                    <w14:schemeClr w14:val="tx1"/>
                  </w14:solidFill>
                </w14:textFill>
              </w:rPr>
              <w:t>表A.1排放限值</w:t>
            </w:r>
          </w:p>
        </w:tc>
      </w:tr>
      <w:tr w14:paraId="204D47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restart"/>
            <w:vAlign w:val="center"/>
          </w:tcPr>
          <w:p w14:paraId="59B2C2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restart"/>
            <w:vAlign w:val="center"/>
          </w:tcPr>
          <w:p w14:paraId="377BBBE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污水处理设施排放口</w:t>
            </w:r>
          </w:p>
        </w:tc>
        <w:tc>
          <w:tcPr>
            <w:tcW w:w="1340" w:type="pct"/>
            <w:gridSpan w:val="3"/>
            <w:vAlign w:val="center"/>
          </w:tcPr>
          <w:p w14:paraId="20E399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pH值</w:t>
            </w:r>
          </w:p>
        </w:tc>
        <w:tc>
          <w:tcPr>
            <w:tcW w:w="977" w:type="pct"/>
            <w:vMerge w:val="restart"/>
            <w:vAlign w:val="center"/>
          </w:tcPr>
          <w:p w14:paraId="4CBF075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隔油池+A/O预处理设施</w:t>
            </w:r>
          </w:p>
        </w:tc>
        <w:tc>
          <w:tcPr>
            <w:tcW w:w="1444" w:type="pct"/>
            <w:vMerge w:val="restart"/>
            <w:vAlign w:val="center"/>
          </w:tcPr>
          <w:p w14:paraId="2EE8493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平江高新技术产业园污水处理厂</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纳污标准</w:t>
            </w:r>
          </w:p>
        </w:tc>
      </w:tr>
      <w:tr w14:paraId="4614F4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4FB9096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5A1AA3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vAlign w:val="center"/>
          </w:tcPr>
          <w:p w14:paraId="205F5EF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化学需氧量</w:t>
            </w:r>
          </w:p>
        </w:tc>
        <w:tc>
          <w:tcPr>
            <w:tcW w:w="977" w:type="pct"/>
            <w:vMerge w:val="continue"/>
            <w:vAlign w:val="center"/>
          </w:tcPr>
          <w:p w14:paraId="25448B7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62BBEBF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25B97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2DF539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08AA2C6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vAlign w:val="center"/>
          </w:tcPr>
          <w:p w14:paraId="0376348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五日生化需氧量</w:t>
            </w:r>
          </w:p>
        </w:tc>
        <w:tc>
          <w:tcPr>
            <w:tcW w:w="977" w:type="pct"/>
            <w:vMerge w:val="continue"/>
            <w:vAlign w:val="center"/>
          </w:tcPr>
          <w:p w14:paraId="45BA6A1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76DC093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83E4A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3EE1D6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7B8057B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vAlign w:val="center"/>
          </w:tcPr>
          <w:p w14:paraId="3EF33A8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悬浮物</w:t>
            </w:r>
          </w:p>
        </w:tc>
        <w:tc>
          <w:tcPr>
            <w:tcW w:w="977" w:type="pct"/>
            <w:vMerge w:val="continue"/>
            <w:vAlign w:val="center"/>
          </w:tcPr>
          <w:p w14:paraId="63A53B6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44773F7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05DFE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22823C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1DA202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vAlign w:val="center"/>
          </w:tcPr>
          <w:p w14:paraId="671B6C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氨氮</w:t>
            </w:r>
          </w:p>
        </w:tc>
        <w:tc>
          <w:tcPr>
            <w:tcW w:w="977" w:type="pct"/>
            <w:vMerge w:val="continue"/>
            <w:vAlign w:val="center"/>
          </w:tcPr>
          <w:p w14:paraId="18F381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043838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0E57BD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3D3BCC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78DF17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vAlign w:val="center"/>
          </w:tcPr>
          <w:p w14:paraId="21A21A4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w:t>
            </w:r>
          </w:p>
        </w:tc>
        <w:tc>
          <w:tcPr>
            <w:tcW w:w="977" w:type="pct"/>
            <w:vMerge w:val="continue"/>
            <w:vAlign w:val="center"/>
          </w:tcPr>
          <w:p w14:paraId="09F6837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1086618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03204C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2E8909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restart"/>
            <w:vAlign w:val="center"/>
          </w:tcPr>
          <w:p w14:paraId="5A3974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化粪池出水口</w:t>
            </w:r>
          </w:p>
        </w:tc>
        <w:tc>
          <w:tcPr>
            <w:tcW w:w="1340" w:type="pct"/>
            <w:gridSpan w:val="3"/>
            <w:shd w:val="clear" w:color="auto" w:fill="auto"/>
            <w:vAlign w:val="center"/>
          </w:tcPr>
          <w:p w14:paraId="6940D18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化学需氧量</w:t>
            </w:r>
          </w:p>
        </w:tc>
        <w:tc>
          <w:tcPr>
            <w:tcW w:w="977" w:type="pct"/>
            <w:vMerge w:val="restart"/>
            <w:vAlign w:val="center"/>
          </w:tcPr>
          <w:p w14:paraId="49E6891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化粪池</w:t>
            </w:r>
          </w:p>
        </w:tc>
        <w:tc>
          <w:tcPr>
            <w:tcW w:w="1444" w:type="pct"/>
            <w:vMerge w:val="restart"/>
            <w:vAlign w:val="center"/>
          </w:tcPr>
          <w:p w14:paraId="73E3BEE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szCs w:val="24"/>
                <w:u w:val="none" w:color="auto"/>
                <w14:textFill>
                  <w14:solidFill>
                    <w14:schemeClr w14:val="tx1"/>
                  </w14:solidFill>
                </w14:textFill>
              </w:rPr>
              <w:t>《污水综合排放标准》（GB</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Cs w:val="24"/>
                <w:u w:val="none" w:color="auto"/>
                <w14:textFill>
                  <w14:solidFill>
                    <w14:schemeClr w14:val="tx1"/>
                  </w14:solidFill>
                </w14:textFill>
              </w:rPr>
              <w:t>8978-1996）表4三级标准及平江高新技术产业园污水处理厂进水水质要求中的较严值</w:t>
            </w:r>
          </w:p>
        </w:tc>
      </w:tr>
      <w:tr w14:paraId="60A070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093167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4766ADD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shd w:val="clear" w:color="auto" w:fill="auto"/>
            <w:vAlign w:val="center"/>
          </w:tcPr>
          <w:p w14:paraId="4928B1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五日生化需氧量</w:t>
            </w:r>
          </w:p>
        </w:tc>
        <w:tc>
          <w:tcPr>
            <w:tcW w:w="977" w:type="pct"/>
            <w:vMerge w:val="continue"/>
            <w:vAlign w:val="center"/>
          </w:tcPr>
          <w:p w14:paraId="051C2D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62DA028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EFE39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060BAE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0939766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shd w:val="clear" w:color="auto" w:fill="auto"/>
            <w:vAlign w:val="center"/>
          </w:tcPr>
          <w:p w14:paraId="7C7EEB9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悬浮物</w:t>
            </w:r>
          </w:p>
        </w:tc>
        <w:tc>
          <w:tcPr>
            <w:tcW w:w="977" w:type="pct"/>
            <w:vMerge w:val="continue"/>
            <w:vAlign w:val="center"/>
          </w:tcPr>
          <w:p w14:paraId="7AE0746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6BA90A5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C3E72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09F81AD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0E2A4DE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shd w:val="clear" w:color="auto" w:fill="auto"/>
            <w:vAlign w:val="center"/>
          </w:tcPr>
          <w:p w14:paraId="07FC29D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氨氮</w:t>
            </w:r>
          </w:p>
        </w:tc>
        <w:tc>
          <w:tcPr>
            <w:tcW w:w="977" w:type="pct"/>
            <w:vMerge w:val="continue"/>
            <w:vAlign w:val="center"/>
          </w:tcPr>
          <w:p w14:paraId="229EFD2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794AF8F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7414E4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12C03B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73C5820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340" w:type="pct"/>
            <w:gridSpan w:val="3"/>
            <w:shd w:val="clear" w:color="auto" w:fill="auto"/>
            <w:vAlign w:val="center"/>
          </w:tcPr>
          <w:p w14:paraId="7B19F9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2"/>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动植物油</w:t>
            </w:r>
          </w:p>
        </w:tc>
        <w:tc>
          <w:tcPr>
            <w:tcW w:w="977" w:type="pct"/>
            <w:vMerge w:val="continue"/>
            <w:vAlign w:val="center"/>
          </w:tcPr>
          <w:p w14:paraId="710097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05F71CB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704E0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Align w:val="center"/>
          </w:tcPr>
          <w:p w14:paraId="607CDB0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w:t>
            </w:r>
          </w:p>
        </w:tc>
        <w:tc>
          <w:tcPr>
            <w:tcW w:w="821" w:type="pct"/>
            <w:vAlign w:val="center"/>
          </w:tcPr>
          <w:p w14:paraId="30EC5A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生产车间</w:t>
            </w:r>
          </w:p>
        </w:tc>
        <w:tc>
          <w:tcPr>
            <w:tcW w:w="1340" w:type="pct"/>
            <w:gridSpan w:val="3"/>
            <w:vAlign w:val="center"/>
          </w:tcPr>
          <w:p w14:paraId="766A760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噪声</w:t>
            </w:r>
          </w:p>
        </w:tc>
        <w:tc>
          <w:tcPr>
            <w:tcW w:w="977" w:type="pct"/>
            <w:vAlign w:val="center"/>
          </w:tcPr>
          <w:p w14:paraId="6D3E71C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隔声、减震措施</w:t>
            </w:r>
          </w:p>
        </w:tc>
        <w:tc>
          <w:tcPr>
            <w:tcW w:w="1444" w:type="pct"/>
            <w:vAlign w:val="center"/>
          </w:tcPr>
          <w:p w14:paraId="6809B22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《工业企业厂界环境噪声排放标准》（GB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12348-2008）3类标准</w:t>
            </w:r>
          </w:p>
        </w:tc>
      </w:tr>
      <w:tr w14:paraId="2B96CD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restart"/>
            <w:vAlign w:val="center"/>
          </w:tcPr>
          <w:p w14:paraId="7121C5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固体废物</w:t>
            </w:r>
          </w:p>
        </w:tc>
        <w:tc>
          <w:tcPr>
            <w:tcW w:w="821" w:type="pct"/>
            <w:vAlign w:val="center"/>
          </w:tcPr>
          <w:p w14:paraId="37B1293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生活垃圾</w:t>
            </w:r>
          </w:p>
        </w:tc>
        <w:tc>
          <w:tcPr>
            <w:tcW w:w="1340" w:type="pct"/>
            <w:gridSpan w:val="3"/>
            <w:vAlign w:val="center"/>
          </w:tcPr>
          <w:p w14:paraId="22882DE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生活垃圾</w:t>
            </w:r>
          </w:p>
        </w:tc>
        <w:tc>
          <w:tcPr>
            <w:tcW w:w="977" w:type="pct"/>
            <w:vAlign w:val="center"/>
          </w:tcPr>
          <w:p w14:paraId="652A6A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经收集后交由当地环卫部门统一清运</w:t>
            </w:r>
          </w:p>
        </w:tc>
        <w:tc>
          <w:tcPr>
            <w:tcW w:w="1444" w:type="pct"/>
            <w:vAlign w:val="center"/>
          </w:tcPr>
          <w:p w14:paraId="3952767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p>
        </w:tc>
      </w:tr>
      <w:tr w14:paraId="1350F0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535E478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restart"/>
            <w:vAlign w:val="center"/>
          </w:tcPr>
          <w:p w14:paraId="62EA2D4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生产车间</w:t>
            </w:r>
          </w:p>
        </w:tc>
        <w:tc>
          <w:tcPr>
            <w:tcW w:w="408" w:type="pct"/>
            <w:gridSpan w:val="2"/>
            <w:vMerge w:val="restart"/>
            <w:vAlign w:val="center"/>
          </w:tcPr>
          <w:p w14:paraId="4CD6E71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一般固废</w:t>
            </w:r>
          </w:p>
        </w:tc>
        <w:tc>
          <w:tcPr>
            <w:tcW w:w="932" w:type="pct"/>
            <w:vAlign w:val="center"/>
          </w:tcPr>
          <w:p w14:paraId="6B6C13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废弃油脂加工生产产生的废渣</w:t>
            </w:r>
          </w:p>
        </w:tc>
        <w:tc>
          <w:tcPr>
            <w:tcW w:w="977" w:type="pct"/>
            <w:vAlign w:val="center"/>
          </w:tcPr>
          <w:p w14:paraId="2C4747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交由有关单位进行综合利用或处置</w:t>
            </w:r>
          </w:p>
        </w:tc>
        <w:tc>
          <w:tcPr>
            <w:tcW w:w="1444" w:type="pct"/>
            <w:vMerge w:val="restart"/>
            <w:vAlign w:val="center"/>
          </w:tcPr>
          <w:p w14:paraId="61D7151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《一般工业固体废物贮存和填埋污染控制标准》（GB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18599-2020）</w:t>
            </w:r>
          </w:p>
        </w:tc>
      </w:tr>
      <w:tr w14:paraId="4B42B9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231E438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432D74E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8" w:type="pct"/>
            <w:gridSpan w:val="2"/>
            <w:vMerge w:val="continue"/>
            <w:vAlign w:val="center"/>
          </w:tcPr>
          <w:p w14:paraId="4FF030D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32" w:type="pct"/>
            <w:vAlign w:val="center"/>
          </w:tcPr>
          <w:p w14:paraId="6A536DD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污水处理设施隔油池产生浮渣</w:t>
            </w:r>
          </w:p>
        </w:tc>
        <w:tc>
          <w:tcPr>
            <w:tcW w:w="977" w:type="pct"/>
            <w:vAlign w:val="center"/>
          </w:tcPr>
          <w:p w14:paraId="5E8BAAD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收集后回用</w:t>
            </w:r>
          </w:p>
        </w:tc>
        <w:tc>
          <w:tcPr>
            <w:tcW w:w="1444" w:type="pct"/>
            <w:vMerge w:val="continue"/>
            <w:vAlign w:val="center"/>
          </w:tcPr>
          <w:p w14:paraId="2DD2059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1BA5C7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74D87E0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0FF0BA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8" w:type="pct"/>
            <w:gridSpan w:val="2"/>
            <w:vMerge w:val="continue"/>
            <w:vAlign w:val="center"/>
          </w:tcPr>
          <w:p w14:paraId="76FE13B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32" w:type="pct"/>
            <w:vAlign w:val="center"/>
          </w:tcPr>
          <w:p w14:paraId="752CFBB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成品油检验产生的废油</w:t>
            </w:r>
          </w:p>
        </w:tc>
        <w:tc>
          <w:tcPr>
            <w:tcW w:w="977" w:type="pct"/>
            <w:vAlign w:val="center"/>
          </w:tcPr>
          <w:p w14:paraId="0A9FAA4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作为产品外售</w:t>
            </w:r>
          </w:p>
        </w:tc>
        <w:tc>
          <w:tcPr>
            <w:tcW w:w="1444" w:type="pct"/>
            <w:vMerge w:val="continue"/>
            <w:vAlign w:val="center"/>
          </w:tcPr>
          <w:p w14:paraId="5DDB8AA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5E5EA2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7B8522F6">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restart"/>
            <w:vAlign w:val="center"/>
          </w:tcPr>
          <w:p w14:paraId="3D9B3A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生产车间及治理设施</w:t>
            </w:r>
          </w:p>
        </w:tc>
        <w:tc>
          <w:tcPr>
            <w:tcW w:w="408" w:type="pct"/>
            <w:gridSpan w:val="2"/>
            <w:vMerge w:val="restart"/>
            <w:vAlign w:val="center"/>
          </w:tcPr>
          <w:p w14:paraId="071FC8D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w:t>
            </w:r>
          </w:p>
        </w:tc>
        <w:tc>
          <w:tcPr>
            <w:tcW w:w="932" w:type="pct"/>
            <w:vAlign w:val="center"/>
          </w:tcPr>
          <w:p w14:paraId="6967D9F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废气处理设施产生的废过滤棉</w:t>
            </w:r>
          </w:p>
        </w:tc>
        <w:tc>
          <w:tcPr>
            <w:tcW w:w="977" w:type="pct"/>
            <w:vMerge w:val="restart"/>
            <w:vAlign w:val="center"/>
          </w:tcPr>
          <w:p w14:paraId="50226D2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暂存于危废暂存间，定期交有资质单位处置。</w:t>
            </w:r>
          </w:p>
        </w:tc>
        <w:tc>
          <w:tcPr>
            <w:tcW w:w="1444" w:type="pct"/>
            <w:vMerge w:val="restart"/>
            <w:vAlign w:val="center"/>
          </w:tcPr>
          <w:p w14:paraId="54F1E15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《危险废物贮存污染控制标准》（GB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18597-2023）</w:t>
            </w:r>
          </w:p>
        </w:tc>
      </w:tr>
      <w:tr w14:paraId="401F62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6F944334">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25E3191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8" w:type="pct"/>
            <w:gridSpan w:val="2"/>
            <w:vMerge w:val="continue"/>
            <w:vAlign w:val="center"/>
          </w:tcPr>
          <w:p w14:paraId="1446D3F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32" w:type="pct"/>
            <w:vAlign w:val="center"/>
          </w:tcPr>
          <w:p w14:paraId="7C3F46B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废气处理设施产生的废活性炭</w:t>
            </w:r>
          </w:p>
        </w:tc>
        <w:tc>
          <w:tcPr>
            <w:tcW w:w="977" w:type="pct"/>
            <w:vMerge w:val="continue"/>
            <w:vAlign w:val="center"/>
          </w:tcPr>
          <w:p w14:paraId="228877A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461F76D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DEC95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0F24421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7D078A0C">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8" w:type="pct"/>
            <w:gridSpan w:val="2"/>
            <w:vMerge w:val="continue"/>
            <w:vAlign w:val="center"/>
          </w:tcPr>
          <w:p w14:paraId="2547E29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32" w:type="pct"/>
            <w:vAlign w:val="center"/>
          </w:tcPr>
          <w:p w14:paraId="51CBF0C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废润滑油</w:t>
            </w:r>
          </w:p>
        </w:tc>
        <w:tc>
          <w:tcPr>
            <w:tcW w:w="977" w:type="pct"/>
            <w:vMerge w:val="continue"/>
            <w:vAlign w:val="center"/>
          </w:tcPr>
          <w:p w14:paraId="17DFDD4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30BC96A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4C93A6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6" w:type="pct"/>
            <w:vMerge w:val="continue"/>
            <w:vAlign w:val="center"/>
          </w:tcPr>
          <w:p w14:paraId="083053F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821" w:type="pct"/>
            <w:vMerge w:val="continue"/>
            <w:vAlign w:val="center"/>
          </w:tcPr>
          <w:p w14:paraId="411256B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408" w:type="pct"/>
            <w:gridSpan w:val="2"/>
            <w:vMerge w:val="continue"/>
            <w:vAlign w:val="center"/>
          </w:tcPr>
          <w:p w14:paraId="779498F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932" w:type="pct"/>
            <w:vAlign w:val="center"/>
          </w:tcPr>
          <w:p w14:paraId="1ABD45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废劳保用品</w:t>
            </w:r>
          </w:p>
        </w:tc>
        <w:tc>
          <w:tcPr>
            <w:tcW w:w="977" w:type="pct"/>
            <w:vMerge w:val="continue"/>
            <w:vAlign w:val="center"/>
          </w:tcPr>
          <w:p w14:paraId="6A26C0C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c>
          <w:tcPr>
            <w:tcW w:w="1444" w:type="pct"/>
            <w:vMerge w:val="continue"/>
            <w:vAlign w:val="center"/>
          </w:tcPr>
          <w:p w14:paraId="56491411">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p>
        </w:tc>
      </w:tr>
      <w:tr w14:paraId="1411E9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37" w:type="pct"/>
            <w:gridSpan w:val="2"/>
            <w:vMerge w:val="restart"/>
            <w:vAlign w:val="center"/>
          </w:tcPr>
          <w:p w14:paraId="780FD6F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环境风险防范措施</w:t>
            </w:r>
          </w:p>
        </w:tc>
        <w:tc>
          <w:tcPr>
            <w:tcW w:w="1340" w:type="pct"/>
            <w:gridSpan w:val="3"/>
            <w:vAlign w:val="center"/>
          </w:tcPr>
          <w:p w14:paraId="4FEB53E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储罐区围堰</w:t>
            </w:r>
          </w:p>
        </w:tc>
        <w:tc>
          <w:tcPr>
            <w:tcW w:w="977" w:type="pct"/>
            <w:vAlign w:val="center"/>
          </w:tcPr>
          <w:p w14:paraId="3EAC68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落实围堰内防渗、防腐措施</w:t>
            </w:r>
          </w:p>
        </w:tc>
        <w:tc>
          <w:tcPr>
            <w:tcW w:w="1444" w:type="pct"/>
            <w:vAlign w:val="center"/>
          </w:tcPr>
          <w:p w14:paraId="559D14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r w14:paraId="58C340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37" w:type="pct"/>
            <w:gridSpan w:val="2"/>
            <w:vMerge w:val="continue"/>
            <w:vAlign w:val="center"/>
          </w:tcPr>
          <w:p w14:paraId="57D235A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1340" w:type="pct"/>
            <w:gridSpan w:val="3"/>
            <w:vAlign w:val="center"/>
          </w:tcPr>
          <w:p w14:paraId="4A1F4E1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应急事故池</w:t>
            </w:r>
          </w:p>
        </w:tc>
        <w:tc>
          <w:tcPr>
            <w:tcW w:w="977" w:type="pct"/>
            <w:vAlign w:val="center"/>
          </w:tcPr>
          <w:p w14:paraId="0CBEAED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落实</w:t>
            </w:r>
            <w:r>
              <w:rPr>
                <w:rFonts w:hint="eastAsia" w:eastAsia="宋体" w:cs="Times New Roman"/>
                <w:color w:val="000000" w:themeColor="text1"/>
                <w:u w:val="none" w:color="auto"/>
                <w:lang w:val="en-US" w:eastAsia="zh-CN"/>
                <w14:textFill>
                  <w14:solidFill>
                    <w14:schemeClr w14:val="tx1"/>
                  </w14:solidFill>
                </w14:textFill>
              </w:rPr>
              <w:t>应急事故池</w:t>
            </w:r>
            <w:r>
              <w:rPr>
                <w:rFonts w:hint="default" w:ascii="Times New Roman" w:hAnsi="Times New Roman" w:eastAsia="宋体" w:cs="Times New Roman"/>
                <w:color w:val="000000" w:themeColor="text1"/>
                <w:u w:val="none" w:color="auto"/>
                <w14:textFill>
                  <w14:solidFill>
                    <w14:schemeClr w14:val="tx1"/>
                  </w14:solidFill>
                </w14:textFill>
              </w:rPr>
              <w:t>内防渗、防腐措施</w:t>
            </w:r>
          </w:p>
        </w:tc>
        <w:tc>
          <w:tcPr>
            <w:tcW w:w="1444" w:type="pct"/>
            <w:vAlign w:val="center"/>
          </w:tcPr>
          <w:p w14:paraId="595C3AC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r>
      <w:tr w14:paraId="4E877D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37" w:type="pct"/>
            <w:gridSpan w:val="2"/>
            <w:vMerge w:val="continue"/>
            <w:vAlign w:val="center"/>
          </w:tcPr>
          <w:p w14:paraId="103E8737">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tc>
        <w:tc>
          <w:tcPr>
            <w:tcW w:w="1340" w:type="pct"/>
            <w:gridSpan w:val="3"/>
            <w:vAlign w:val="center"/>
          </w:tcPr>
          <w:p w14:paraId="4263D27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分区防渗</w:t>
            </w:r>
          </w:p>
        </w:tc>
        <w:tc>
          <w:tcPr>
            <w:tcW w:w="977" w:type="pct"/>
            <w:vAlign w:val="center"/>
          </w:tcPr>
          <w:p w14:paraId="72286CF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落实厂区分区防渗措施</w:t>
            </w:r>
          </w:p>
        </w:tc>
        <w:tc>
          <w:tcPr>
            <w:tcW w:w="1444" w:type="pct"/>
            <w:vAlign w:val="center"/>
          </w:tcPr>
          <w:p w14:paraId="458B94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tc>
      </w:tr>
    </w:tbl>
    <w:p w14:paraId="4E80DD66">
      <w:pPr>
        <w:keepNext w:val="0"/>
        <w:keepLines w:val="0"/>
        <w:pageBreakBefore w:val="0"/>
        <w:widowControl w:val="0"/>
        <w:kinsoku/>
        <w:wordWrap/>
        <w:overflowPunct/>
        <w:topLinePunct w:val="0"/>
        <w:bidi w:val="0"/>
        <w:spacing w:line="360" w:lineRule="auto"/>
        <w:rPr>
          <w:rFonts w:hint="default" w:ascii="Times New Roman" w:hAnsi="Times New Roman" w:eastAsia="宋体" w:cs="Times New Roman"/>
          <w:color w:val="FF0000"/>
          <w:u w:val="none" w:color="auto"/>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linePitch="326" w:charSpace="0"/>
        </w:sectPr>
      </w:pPr>
    </w:p>
    <w:p w14:paraId="23F69036">
      <w:pPr>
        <w:pStyle w:val="4"/>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673" w:name="_Toc9929"/>
      <w:bookmarkStart w:id="674" w:name="_Toc144277057"/>
      <w:bookmarkStart w:id="675" w:name="_Toc187011428"/>
      <w:bookmarkStart w:id="676" w:name="_Toc144236927"/>
      <w:bookmarkStart w:id="677" w:name="_Toc199517655"/>
      <w:bookmarkStart w:id="678" w:name="_Toc188005988"/>
      <w:bookmarkStart w:id="679" w:name="_Toc164200948"/>
      <w:bookmarkStart w:id="680" w:name="_Toc191240146"/>
      <w:r>
        <w:rPr>
          <w:rFonts w:hint="default" w:ascii="Times New Roman" w:hAnsi="Times New Roman" w:eastAsia="宋体" w:cs="Times New Roman"/>
          <w:color w:val="000000" w:themeColor="text1"/>
          <w:u w:val="none" w:color="auto"/>
          <w14:textFill>
            <w14:solidFill>
              <w14:schemeClr w14:val="tx1"/>
            </w14:solidFill>
          </w14:textFill>
        </w:rPr>
        <w:t>第1</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章 结论与建议</w:t>
      </w:r>
      <w:bookmarkEnd w:id="673"/>
    </w:p>
    <w:p w14:paraId="45072BE0">
      <w:pPr>
        <w:pStyle w:val="5"/>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81" w:name="_Toc7087"/>
      <w:bookmarkStart w:id="682" w:name="_Toc204350848"/>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 结论</w:t>
      </w:r>
      <w:bookmarkEnd w:id="681"/>
      <w:bookmarkEnd w:id="682"/>
    </w:p>
    <w:p w14:paraId="3F2B1C6C">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83" w:name="_Toc204350849"/>
      <w:bookmarkStart w:id="684" w:name="_Toc15301"/>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1.1 项目概况</w:t>
      </w:r>
      <w:bookmarkEnd w:id="683"/>
      <w:bookmarkEnd w:id="684"/>
    </w:p>
    <w:p w14:paraId="751CC2C5">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废弃油脂是指在食品加工生产过程中产生的废油。食品产业是平江县的主导产业之一，其在生产过程中会产生较多废弃油脂，隔油池会产生较多的浮渣，根据生产情况会产生煎炸废油。本项目以</w:t>
      </w:r>
      <w:r>
        <w:rPr>
          <w:rFonts w:hint="default" w:ascii="Times New Roman" w:hAnsi="Times New Roman" w:eastAsia="宋体" w:cs="Times New Roman"/>
          <w:color w:val="000000" w:themeColor="text1"/>
          <w:u w:val="none" w:color="auto"/>
          <w14:textFill>
            <w14:solidFill>
              <w14:schemeClr w14:val="tx1"/>
            </w14:solidFill>
          </w14:textFill>
        </w:rPr>
        <w:t>平江高新技术产业园区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内熟食加工企业、方便食品制造企业生产过程产生的废弃油脂为原料，</w:t>
      </w:r>
      <w:r>
        <w:rPr>
          <w:rFonts w:hint="default" w:ascii="Times New Roman" w:hAnsi="Times New Roman" w:eastAsia="宋体" w:cs="Times New Roman"/>
          <w:color w:val="000000" w:themeColor="text1"/>
          <w:u w:val="none" w:color="auto"/>
          <w14:textFill>
            <w14:solidFill>
              <w14:schemeClr w14:val="tx1"/>
            </w14:solidFill>
          </w14:textFill>
        </w:rPr>
        <w:t>通过对</w:t>
      </w:r>
      <w:r>
        <w:rPr>
          <w:rFonts w:hint="default" w:ascii="Times New Roman" w:hAnsi="Times New Roman" w:eastAsia="宋体" w:cs="Times New Roman"/>
          <w:color w:val="000000" w:themeColor="text1"/>
          <w:u w:val="none" w:color="auto"/>
          <w:lang w:eastAsia="zh-CN"/>
          <w14:textFill>
            <w14:solidFill>
              <w14:schemeClr w14:val="tx1"/>
            </w14:solidFill>
          </w14:textFill>
        </w:rPr>
        <w:t>食品</w:t>
      </w:r>
      <w:r>
        <w:rPr>
          <w:rFonts w:hint="default" w:ascii="Times New Roman" w:hAnsi="Times New Roman" w:eastAsia="宋体" w:cs="Times New Roman"/>
          <w:color w:val="000000" w:themeColor="text1"/>
          <w:u w:val="none" w:color="auto"/>
          <w14:textFill>
            <w14:solidFill>
              <w14:schemeClr w14:val="tx1"/>
            </w14:solidFill>
          </w14:textFill>
        </w:rPr>
        <w:t>厂</w:t>
      </w:r>
      <w:r>
        <w:rPr>
          <w:rFonts w:hint="default" w:ascii="Times New Roman" w:hAnsi="Times New Roman" w:eastAsia="宋体" w:cs="Times New Roman"/>
          <w:color w:val="000000" w:themeColor="text1"/>
          <w:u w:val="none" w:color="auto"/>
          <w:lang w:eastAsia="zh-CN"/>
          <w14:textFill>
            <w14:solidFill>
              <w14:schemeClr w14:val="tx1"/>
            </w14:solidFill>
          </w14:textFill>
        </w:rPr>
        <w:t>隔油池</w:t>
      </w:r>
      <w:r>
        <w:rPr>
          <w:rFonts w:hint="default" w:ascii="Times New Roman" w:hAnsi="Times New Roman" w:eastAsia="宋体" w:cs="Times New Roman"/>
          <w:color w:val="000000" w:themeColor="text1"/>
          <w:u w:val="none" w:color="auto"/>
          <w14:textFill>
            <w14:solidFill>
              <w14:schemeClr w14:val="tx1"/>
            </w14:solidFill>
          </w14:textFill>
        </w:rPr>
        <w:t>产生的</w:t>
      </w:r>
      <w:r>
        <w:rPr>
          <w:rFonts w:hint="default" w:ascii="Times New Roman" w:hAnsi="Times New Roman" w:eastAsia="宋体" w:cs="Times New Roman"/>
          <w:color w:val="000000" w:themeColor="text1"/>
          <w:u w:val="none" w:color="auto"/>
          <w:lang w:eastAsia="zh-CN"/>
          <w14:textFill>
            <w14:solidFill>
              <w14:schemeClr w14:val="tx1"/>
            </w14:solidFill>
          </w14:textFill>
        </w:rPr>
        <w:t>浮渣、</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煎炸废油</w:t>
      </w:r>
      <w:r>
        <w:rPr>
          <w:rFonts w:hint="default" w:ascii="Times New Roman" w:hAnsi="Times New Roman" w:eastAsia="宋体" w:cs="Times New Roman"/>
          <w:color w:val="000000" w:themeColor="text1"/>
          <w:u w:val="none" w:color="auto"/>
          <w14:textFill>
            <w14:solidFill>
              <w14:schemeClr w14:val="tx1"/>
            </w14:solidFill>
          </w14:textFill>
        </w:rPr>
        <w:t>进行</w:t>
      </w:r>
      <w:r>
        <w:rPr>
          <w:rFonts w:hint="default" w:ascii="Times New Roman" w:hAnsi="Times New Roman" w:eastAsia="宋体" w:cs="Times New Roman"/>
          <w:color w:val="000000" w:themeColor="text1"/>
          <w:u w:val="none" w:color="auto"/>
          <w:lang w:eastAsia="zh-CN"/>
          <w14:textFill>
            <w14:solidFill>
              <w14:schemeClr w14:val="tx1"/>
            </w14:solidFill>
          </w14:textFill>
        </w:rPr>
        <w:t>过滤、</w:t>
      </w:r>
      <w:r>
        <w:rPr>
          <w:rFonts w:hint="default" w:ascii="Times New Roman" w:hAnsi="Times New Roman" w:eastAsia="宋体" w:cs="Times New Roman"/>
          <w:color w:val="000000" w:themeColor="text1"/>
          <w:u w:val="none" w:color="auto"/>
          <w14:textFill>
            <w14:solidFill>
              <w14:schemeClr w14:val="tx1"/>
            </w14:solidFill>
          </w14:textFill>
        </w:rPr>
        <w:t>加热、离心处理得到</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工业级混合油</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工业级混合油</w:t>
      </w:r>
      <w:r>
        <w:rPr>
          <w:rFonts w:hint="default" w:ascii="Times New Roman" w:hAnsi="Times New Roman" w:eastAsia="宋体" w:cs="Times New Roman"/>
          <w:color w:val="000000" w:themeColor="text1"/>
          <w:u w:val="none" w:color="auto"/>
          <w14:textFill>
            <w14:solidFill>
              <w14:schemeClr w14:val="tx1"/>
            </w14:solidFill>
          </w14:textFill>
        </w:rPr>
        <w:t>作为本项目产品外售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，用于生产生物柴油等下游产品。</w:t>
      </w:r>
    </w:p>
    <w:p w14:paraId="5AE12463">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项目建成后，生产车间有组织废气经收集汇入喷淋塔+过滤棉+二级活性炭处理后通过15 m高的排气筒（DA001）排放。有组织排放的氨、硫化氢、臭气浓度</w:t>
      </w:r>
      <w:r>
        <w:rPr>
          <w:rFonts w:hint="default" w:ascii="Times New Roman" w:hAnsi="Times New Roman" w:eastAsia="宋体" w:cs="Times New Roman"/>
          <w:color w:val="000000" w:themeColor="text1"/>
          <w:u w:val="none" w:color="auto"/>
          <w14:textFill>
            <w14:solidFill>
              <w14:schemeClr w14:val="tx1"/>
            </w14:solidFill>
          </w14:textFill>
        </w:rPr>
        <w:t>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w:t>
      </w:r>
      <w:r>
        <w:rPr>
          <w:rFonts w:hint="default" w:ascii="Times New Roman" w:hAnsi="Times New Roman" w:eastAsia="宋体" w:cs="Times New Roman"/>
          <w:color w:val="000000" w:themeColor="text1"/>
          <w:u w:val="none" w:color="auto"/>
          <w14:textFill>
            <w14:solidFill>
              <w14:schemeClr w14:val="tx1"/>
            </w14:solidFill>
          </w14:textFill>
        </w:rPr>
        <w:t>排放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标准要求</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r>
        <w:rPr>
          <w:rFonts w:hint="default" w:ascii="Times New Roman" w:hAnsi="Times New Roman" w:eastAsia="宋体" w:cs="Times New Roman"/>
          <w:color w:val="000000" w:themeColor="text1"/>
          <w:u w:val="none" w:color="auto"/>
          <w14:textFill>
            <w14:solidFill>
              <w14:schemeClr w14:val="tx1"/>
            </w14:solidFill>
          </w14:textFill>
        </w:rPr>
        <w:t>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无组织排放氨、硫化氢、臭气浓度</w:t>
      </w:r>
      <w:r>
        <w:rPr>
          <w:rFonts w:hint="default" w:ascii="Times New Roman" w:hAnsi="Times New Roman" w:eastAsia="宋体" w:cs="Times New Roman"/>
          <w:color w:val="000000" w:themeColor="text1"/>
          <w:u w:val="none" w:color="auto"/>
          <w14:textFill>
            <w14:solidFill>
              <w14:schemeClr w14:val="tx1"/>
            </w14:solidFill>
          </w14:textFill>
        </w:rPr>
        <w:t>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表1中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二级新改扩建</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项目的要求</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非甲烷总烃</w:t>
      </w:r>
      <w:r>
        <w:rPr>
          <w:rFonts w:hint="default" w:ascii="Times New Roman" w:hAnsi="Times New Roman" w:eastAsia="宋体" w:cs="Times New Roman"/>
          <w:color w:val="000000" w:themeColor="text1"/>
          <w:u w:val="none" w:color="auto"/>
          <w14:textFill>
            <w14:solidFill>
              <w14:schemeClr w14:val="tx1"/>
            </w14:solidFill>
          </w14:textFill>
        </w:rPr>
        <w:t>执行</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r>
        <w:rPr>
          <w:rFonts w:hint="default" w:ascii="Times New Roman" w:hAnsi="Times New Roman" w:eastAsia="宋体" w:cs="Times New Roman"/>
          <w:color w:val="000000" w:themeColor="text1"/>
          <w:u w:val="none" w:color="auto"/>
          <w14:textFill>
            <w14:solidFill>
              <w14:schemeClr w14:val="tx1"/>
            </w14:solidFill>
          </w14:textFill>
        </w:rPr>
        <w:t>。</w:t>
      </w:r>
    </w:p>
    <w:p w14:paraId="24E0D44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项目生产废水经密闭管道收集汇入隔油池+A/O预处理</w:t>
      </w:r>
      <w:r>
        <w:rPr>
          <w:rFonts w:hint="default" w:ascii="Times New Roman" w:hAnsi="Times New Roman" w:eastAsia="宋体" w:cs="Times New Roman"/>
          <w:color w:val="000000" w:themeColor="text1"/>
          <w:u w:val="none" w:color="auto"/>
          <w14:textFill>
            <w14:solidFill>
              <w14:schemeClr w14:val="tx1"/>
            </w14:solidFill>
          </w14:textFill>
        </w:rPr>
        <w:t>达到</w:t>
      </w:r>
      <w:r>
        <w:rPr>
          <w:rFonts w:hint="default" w:ascii="Times New Roman" w:hAnsi="Times New Roman" w:eastAsia="宋体" w:cs="Times New Roman"/>
          <w:color w:val="000000" w:themeColor="text1"/>
          <w:szCs w:val="24"/>
          <w:u w:val="none" w:color="auto"/>
          <w14:textFill>
            <w14:solidFill>
              <w14:schemeClr w14:val="tx1"/>
            </w14:solidFill>
          </w14:textFill>
        </w:rPr>
        <w:t>《污水综合排放标准》（GB</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Cs w:val="24"/>
          <w:u w:val="none" w:color="auto"/>
          <w14:textFill>
            <w14:solidFill>
              <w14:schemeClr w14:val="tx1"/>
            </w14:solidFill>
          </w14:textFill>
        </w:rPr>
        <w:t>8978-1996）表4三级标准及平江高新技术产业园污水处理厂进水水质要求中的较严值</w:t>
      </w:r>
      <w:r>
        <w:rPr>
          <w:rFonts w:hint="default" w:ascii="Times New Roman" w:hAnsi="Times New Roman" w:eastAsia="宋体" w:cs="Times New Roman"/>
          <w:color w:val="000000" w:themeColor="text1"/>
          <w:u w:val="none" w:color="auto"/>
          <w14:textFill>
            <w14:solidFill>
              <w14:schemeClr w14:val="tx1"/>
            </w14:solidFill>
          </w14:textFill>
        </w:rPr>
        <w:t>后</w:t>
      </w:r>
      <w:r>
        <w:rPr>
          <w:rFonts w:hint="default" w:ascii="Times New Roman" w:hAnsi="Times New Roman" w:eastAsia="宋体" w:cs="Times New Roman"/>
          <w:color w:val="000000" w:themeColor="text1"/>
          <w:szCs w:val="24"/>
          <w:u w:val="none" w:color="auto"/>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；生活污水经园区化粪池处理</w:t>
      </w:r>
      <w:r>
        <w:rPr>
          <w:rFonts w:hint="default" w:ascii="Times New Roman" w:hAnsi="Times New Roman" w:eastAsia="宋体" w:cs="Times New Roman"/>
          <w:color w:val="000000" w:themeColor="text1"/>
          <w:u w:val="none" w:color="auto"/>
          <w14:textFill>
            <w14:solidFill>
              <w14:schemeClr w14:val="tx1"/>
            </w14:solidFill>
          </w14:textFill>
        </w:rPr>
        <w:t>达到</w:t>
      </w:r>
      <w:r>
        <w:rPr>
          <w:rFonts w:hint="default" w:ascii="Times New Roman" w:hAnsi="Times New Roman" w:eastAsia="宋体" w:cs="Times New Roman"/>
          <w:color w:val="000000" w:themeColor="text1"/>
          <w:szCs w:val="24"/>
          <w:u w:val="none" w:color="auto"/>
          <w14:textFill>
            <w14:solidFill>
              <w14:schemeClr w14:val="tx1"/>
            </w14:solidFill>
          </w14:textFill>
        </w:rPr>
        <w:t>《污水综合排放标准》（GB</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Cs w:val="24"/>
          <w:u w:val="none" w:color="auto"/>
          <w14:textFill>
            <w14:solidFill>
              <w14:schemeClr w14:val="tx1"/>
            </w14:solidFill>
          </w14:textFill>
        </w:rPr>
        <w:t>8978-1996）表4三级标准及平江高新技术产业园污水处理厂进水水质要求中的较严值</w:t>
      </w:r>
      <w:r>
        <w:rPr>
          <w:rFonts w:hint="default" w:ascii="Times New Roman" w:hAnsi="Times New Roman" w:eastAsia="宋体" w:cs="Times New Roman"/>
          <w:color w:val="000000" w:themeColor="text1"/>
          <w:u w:val="none" w:color="auto"/>
          <w14:textFill>
            <w14:solidFill>
              <w14:schemeClr w14:val="tx1"/>
            </w14:solidFill>
          </w14:textFill>
        </w:rPr>
        <w:t>后</w:t>
      </w:r>
      <w:r>
        <w:rPr>
          <w:rFonts w:hint="default" w:ascii="Times New Roman" w:hAnsi="Times New Roman" w:eastAsia="宋体" w:cs="Times New Roman"/>
          <w:color w:val="000000" w:themeColor="text1"/>
          <w:szCs w:val="24"/>
          <w:u w:val="none" w:color="auto"/>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经园区污水管网排入</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r>
        <w:rPr>
          <w:rFonts w:hint="default" w:ascii="Times New Roman" w:hAnsi="Times New Roman" w:eastAsia="宋体" w:cs="Times New Roman"/>
          <w:color w:val="000000" w:themeColor="text1"/>
          <w:u w:val="none" w:color="auto"/>
          <w14:textFill>
            <w14:solidFill>
              <w14:schemeClr w14:val="tx1"/>
            </w14:solidFill>
          </w14:textFill>
        </w:rPr>
        <w:t>集中处理。</w:t>
      </w:r>
    </w:p>
    <w:p w14:paraId="5D49547C">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本项目采取切实可行的噪声防治措施。通过选用低噪声设备、基础减振、厂房隔声等措施减轻对周围声环境的影响。厂界噪声排放执行《工业企业厂界环境噪声排放标准》（GB 12348-2008）3类标准。</w:t>
      </w:r>
    </w:p>
    <w:p w14:paraId="0E180A8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本项目根据国家和地方有关规定，按照</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减量化、资源化、无害化</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则，对固体废物进行分类收集、暂存、处理和处置，并建立固体废物产生、储存、处置等环节管理台账，建设规范的暂存场所，落实危险废物转移联单制度。项目固体废物执行《一般工业固体废物贮存和填埋污染控制标准》（GB 18599-2020）和《危险废物贮存污染控制标准》（GB 18597-2023）等相关要求，做到及时清运、合规处理，防止产生二次污染。生活垃圾交由环卫部门统一收集处理。</w:t>
      </w:r>
    </w:p>
    <w:p w14:paraId="4F07B9E3">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85" w:name="_Toc204350850"/>
      <w:bookmarkStart w:id="686" w:name="_Toc2460"/>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1.2 产业政策符合性分析</w:t>
      </w:r>
      <w:bookmarkEnd w:id="685"/>
      <w:bookmarkEnd w:id="686"/>
    </w:p>
    <w:p w14:paraId="3209C03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拟建项目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属于</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C4220 非金属废料和碎屑加工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利用废物（油）炼油加工</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行业，为废弃油脂综合利用项目。</w:t>
      </w:r>
      <w:r>
        <w:rPr>
          <w:rFonts w:hint="default" w:ascii="Times New Roman" w:hAnsi="Times New Roman" w:eastAsia="宋体" w:cs="Times New Roman"/>
          <w:color w:val="000000" w:themeColor="text1"/>
          <w:u w:val="none" w:color="auto"/>
          <w14:textFill>
            <w14:solidFill>
              <w14:schemeClr w14:val="tx1"/>
            </w14:solidFill>
          </w14:textFill>
        </w:rPr>
        <w:t>符合《产业结构调整指导目录（20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24</w:t>
      </w:r>
      <w:r>
        <w:rPr>
          <w:rFonts w:hint="default" w:ascii="Times New Roman" w:hAnsi="Times New Roman" w:eastAsia="宋体" w:cs="Times New Roman"/>
          <w:color w:val="000000" w:themeColor="text1"/>
          <w:u w:val="none" w:color="auto"/>
          <w14:textFill>
            <w14:solidFill>
              <w14:schemeClr w14:val="tx1"/>
            </w14:solidFill>
          </w14:textFill>
        </w:rPr>
        <w:t>本）》鼓励类中第四十</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w:t>
      </w:r>
      <w:r>
        <w:rPr>
          <w:rFonts w:hint="default" w:ascii="Times New Roman" w:hAnsi="Times New Roman" w:eastAsia="宋体" w:cs="Times New Roman"/>
          <w:color w:val="000000" w:themeColor="text1"/>
          <w:u w:val="none" w:color="auto"/>
          <w14:textFill>
            <w14:solidFill>
              <w14:schemeClr w14:val="tx1"/>
            </w14:solidFill>
          </w14:textFill>
        </w:rPr>
        <w:t>条</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环境保护与资源节约综合利用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中的第</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8条</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废弃物循环利用：废弃油脂等城市典型废弃物循环利用、技术设备开发及应用</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的要求，属于鼓励类项目</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项目建设符合国家当前产业政策。同时</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本项目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原辅料、产品，以及生产工艺不属于</w:t>
      </w:r>
      <w:r>
        <w:rPr>
          <w:rFonts w:hint="default" w:ascii="Times New Roman" w:hAnsi="Times New Roman" w:eastAsia="宋体" w:cs="Times New Roman"/>
          <w:color w:val="000000" w:themeColor="text1"/>
          <w:u w:val="none" w:color="auto"/>
          <w14:textFill>
            <w14:solidFill>
              <w14:schemeClr w14:val="tx1"/>
            </w14:solidFill>
          </w14:textFill>
        </w:rPr>
        <w:t>《市场准入负面清单（2025年版）》</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中明令禁止的类别，符合</w:t>
      </w:r>
      <w:r>
        <w:rPr>
          <w:rFonts w:hint="default" w:ascii="Times New Roman" w:hAnsi="Times New Roman" w:eastAsia="宋体" w:cs="Times New Roman"/>
          <w:color w:val="000000" w:themeColor="text1"/>
          <w:u w:val="none" w:color="auto"/>
          <w14:textFill>
            <w14:solidFill>
              <w14:schemeClr w14:val="tx1"/>
            </w14:solidFill>
          </w14:textFill>
        </w:rPr>
        <w:t>《市场准入负面清单（2025年版）》相关要求。</w:t>
      </w:r>
    </w:p>
    <w:p w14:paraId="76731134">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综上所述，本项目符合相关国家产业政策。</w:t>
      </w:r>
    </w:p>
    <w:p w14:paraId="28EDB65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87" w:name="_Toc204350851"/>
      <w:bookmarkStart w:id="688" w:name="_Toc22143"/>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1.3 区域环境质量现状</w:t>
      </w:r>
      <w:bookmarkEnd w:id="687"/>
      <w:bookmarkEnd w:id="688"/>
    </w:p>
    <w:p w14:paraId="42788630">
      <w:pPr>
        <w:keepNext w:val="0"/>
        <w:keepLines w:val="0"/>
        <w:pageBreakBefore w:val="0"/>
        <w:widowControl w:val="0"/>
        <w:kinsoku/>
        <w:wordWrap/>
        <w:overflowPunct/>
        <w:topLinePunct w:val="0"/>
        <w:autoSpaceDE w:val="0"/>
        <w:autoSpaceDN w:val="0"/>
        <w:bidi w:val="0"/>
        <w:spacing w:line="360" w:lineRule="auto"/>
        <w:ind w:firstLine="480" w:firstLineChars="200"/>
        <w:rPr>
          <w:rFonts w:hint="default" w:ascii="Times New Roman" w:hAnsi="Times New Roman" w:eastAsia="宋体" w:cs="Times New Roman"/>
          <w:color w:val="000000" w:themeColor="text1"/>
          <w:kern w:val="0"/>
          <w:u w:val="none" w:color="auto"/>
          <w14:textFill>
            <w14:solidFill>
              <w14:schemeClr w14:val="tx1"/>
            </w14:solidFill>
          </w14:textFill>
        </w:rPr>
      </w:pPr>
      <w:r>
        <w:rPr>
          <w:rFonts w:hint="default" w:ascii="Times New Roman" w:hAnsi="Times New Roman" w:eastAsia="宋体" w:cs="Times New Roman"/>
          <w:color w:val="000000" w:themeColor="text1"/>
          <w:kern w:val="0"/>
          <w:u w:val="none" w:color="auto"/>
          <w14:textFill>
            <w14:solidFill>
              <w14:schemeClr w14:val="tx1"/>
            </w14:solidFill>
          </w14:textFill>
        </w:rPr>
        <w:t>（1）环境空气</w:t>
      </w:r>
    </w:p>
    <w:p w14:paraId="4DC6CB68">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kern w:val="0"/>
          <w:u w:val="none" w:color="auto"/>
          <w14:textFill>
            <w14:solidFill>
              <w14:schemeClr w14:val="tx1"/>
            </w14:solidFill>
          </w14:textFill>
        </w:rPr>
        <w:t>根据《环境影响评价技术导则大气环境》（HJ</w:t>
      </w:r>
      <w:r>
        <w:rPr>
          <w:rFonts w:hint="default" w:ascii="Times New Roman" w:hAnsi="Times New Roman" w:eastAsia="宋体" w:cs="Times New Roman"/>
          <w:color w:val="000000" w:themeColor="text1"/>
          <w:kern w:val="0"/>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kern w:val="0"/>
          <w:u w:val="none" w:color="auto"/>
          <w14:textFill>
            <w14:solidFill>
              <w14:schemeClr w14:val="tx1"/>
            </w14:solidFill>
          </w14:textFill>
        </w:rPr>
        <w:t>2.2-2018）第6.4.1.1条</w:t>
      </w:r>
      <w:r>
        <w:rPr>
          <w:rFonts w:hint="eastAsia" w:ascii="Times New Roman" w:hAnsi="Times New Roman" w:eastAsia="宋体" w:cs="Times New Roman"/>
          <w:color w:val="000000" w:themeColor="text1"/>
          <w:kern w:val="0"/>
          <w:u w:val="none" w:color="auto"/>
          <w:lang w:eastAsia="zh-CN"/>
          <w14:textFill>
            <w14:solidFill>
              <w14:schemeClr w14:val="tx1"/>
            </w14:solidFill>
          </w14:textFill>
        </w:rPr>
        <w:t>“</w:t>
      </w:r>
      <w:r>
        <w:rPr>
          <w:rFonts w:hint="default" w:ascii="Times New Roman" w:hAnsi="Times New Roman" w:eastAsia="宋体" w:cs="Times New Roman"/>
          <w:color w:val="000000" w:themeColor="text1"/>
          <w:kern w:val="0"/>
          <w:u w:val="none" w:color="auto"/>
          <w14:textFill>
            <w14:solidFill>
              <w14:schemeClr w14:val="tx1"/>
            </w14:solidFill>
          </w14:textFill>
        </w:rPr>
        <w:t>城市环境空气质量达标情况评价指标为SO</w:t>
      </w:r>
      <w:r>
        <w:rPr>
          <w:rFonts w:hint="default" w:ascii="Times New Roman" w:hAnsi="Times New Roman" w:eastAsia="宋体" w:cs="Times New Roman"/>
          <w:color w:val="000000" w:themeColor="text1"/>
          <w:kern w:val="0"/>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kern w:val="0"/>
          <w:u w:val="none" w:color="auto"/>
          <w14:textFill>
            <w14:solidFill>
              <w14:schemeClr w14:val="tx1"/>
            </w14:solidFill>
          </w14:textFill>
        </w:rPr>
        <w:t>、NO</w:t>
      </w:r>
      <w:r>
        <w:rPr>
          <w:rFonts w:hint="default" w:ascii="Times New Roman" w:hAnsi="Times New Roman" w:eastAsia="宋体" w:cs="Times New Roman"/>
          <w:color w:val="000000" w:themeColor="text1"/>
          <w:kern w:val="0"/>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kern w:val="0"/>
          <w:u w:val="none" w:color="auto"/>
          <w14:textFill>
            <w14:solidFill>
              <w14:schemeClr w14:val="tx1"/>
            </w14:solidFill>
          </w14:textFill>
        </w:rPr>
        <w:t>、PM</w:t>
      </w:r>
      <w:r>
        <w:rPr>
          <w:rFonts w:hint="default" w:ascii="Times New Roman" w:hAnsi="Times New Roman" w:eastAsia="宋体" w:cs="Times New Roman"/>
          <w:color w:val="000000" w:themeColor="text1"/>
          <w:kern w:val="0"/>
          <w:u w:val="none" w:color="auto"/>
          <w:vertAlign w:val="subscript"/>
          <w14:textFill>
            <w14:solidFill>
              <w14:schemeClr w14:val="tx1"/>
            </w14:solidFill>
          </w14:textFill>
        </w:rPr>
        <w:t>10</w:t>
      </w:r>
      <w:r>
        <w:rPr>
          <w:rFonts w:hint="default" w:ascii="Times New Roman" w:hAnsi="Times New Roman" w:eastAsia="宋体" w:cs="Times New Roman"/>
          <w:color w:val="000000" w:themeColor="text1"/>
          <w:kern w:val="0"/>
          <w:u w:val="none" w:color="auto"/>
          <w14:textFill>
            <w14:solidFill>
              <w14:schemeClr w14:val="tx1"/>
            </w14:solidFill>
          </w14:textFill>
        </w:rPr>
        <w:t>、PM</w:t>
      </w:r>
      <w:r>
        <w:rPr>
          <w:rFonts w:hint="default" w:ascii="Times New Roman" w:hAnsi="Times New Roman" w:eastAsia="宋体" w:cs="Times New Roman"/>
          <w:color w:val="000000" w:themeColor="text1"/>
          <w:kern w:val="0"/>
          <w:u w:val="none" w:color="auto"/>
          <w:vertAlign w:val="subscript"/>
          <w14:textFill>
            <w14:solidFill>
              <w14:schemeClr w14:val="tx1"/>
            </w14:solidFill>
          </w14:textFill>
        </w:rPr>
        <w:t>2.5</w:t>
      </w:r>
      <w:r>
        <w:rPr>
          <w:rFonts w:hint="default" w:ascii="Times New Roman" w:hAnsi="Times New Roman" w:eastAsia="宋体" w:cs="Times New Roman"/>
          <w:color w:val="000000" w:themeColor="text1"/>
          <w:kern w:val="0"/>
          <w:u w:val="none" w:color="auto"/>
          <w14:textFill>
            <w14:solidFill>
              <w14:schemeClr w14:val="tx1"/>
            </w14:solidFill>
          </w14:textFill>
        </w:rPr>
        <w:t>、CO和O</w:t>
      </w:r>
      <w:r>
        <w:rPr>
          <w:rFonts w:hint="default" w:ascii="Times New Roman" w:hAnsi="Times New Roman" w:eastAsia="宋体" w:cs="Times New Roman"/>
          <w:color w:val="000000" w:themeColor="text1"/>
          <w:kern w:val="0"/>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kern w:val="0"/>
          <w:u w:val="none" w:color="auto"/>
          <w14:textFill>
            <w14:solidFill>
              <w14:schemeClr w14:val="tx1"/>
            </w14:solidFill>
          </w14:textFill>
        </w:rPr>
        <w:t>，六项污染物全部达标即为城市环境空气质量达标</w:t>
      </w:r>
      <w:r>
        <w:rPr>
          <w:rFonts w:hint="eastAsia" w:ascii="Times New Roman" w:hAnsi="Times New Roman" w:eastAsia="宋体" w:cs="Times New Roman"/>
          <w:color w:val="000000" w:themeColor="text1"/>
          <w:kern w:val="0"/>
          <w:u w:val="none" w:color="auto"/>
          <w:lang w:eastAsia="zh-CN"/>
          <w14:textFill>
            <w14:solidFill>
              <w14:schemeClr w14:val="tx1"/>
            </w14:solidFill>
          </w14:textFill>
        </w:rPr>
        <w:t>”</w:t>
      </w:r>
      <w:r>
        <w:rPr>
          <w:rFonts w:hint="default" w:ascii="Times New Roman" w:hAnsi="Times New Roman" w:eastAsia="宋体" w:cs="Times New Roman"/>
          <w:color w:val="000000" w:themeColor="text1"/>
          <w:kern w:val="0"/>
          <w:u w:val="none" w:color="auto"/>
          <w14:textFill>
            <w14:solidFill>
              <w14:schemeClr w14:val="tx1"/>
            </w14:solidFill>
          </w14:textFill>
        </w:rPr>
        <w:t>。本项目所在岳阳市平江县</w:t>
      </w:r>
      <w:r>
        <w:rPr>
          <w:rFonts w:hint="default" w:ascii="Times New Roman" w:hAnsi="Times New Roman" w:eastAsia="宋体" w:cs="Times New Roman"/>
          <w:color w:val="000000" w:themeColor="text1"/>
          <w:u w:val="none" w:color="auto"/>
          <w14:textFill>
            <w14:solidFill>
              <w14:schemeClr w14:val="tx1"/>
            </w14:solidFill>
          </w14:textFill>
        </w:rPr>
        <w:t>2024年区域环境空气质量数据PM</w:t>
      </w:r>
      <w:r>
        <w:rPr>
          <w:rFonts w:hint="default" w:ascii="Times New Roman" w:hAnsi="Times New Roman" w:eastAsia="宋体" w:cs="Times New Roman"/>
          <w:color w:val="000000" w:themeColor="text1"/>
          <w:u w:val="none" w:color="auto"/>
          <w:vertAlign w:val="subscript"/>
          <w14:textFill>
            <w14:solidFill>
              <w14:schemeClr w14:val="tx1"/>
            </w14:solidFill>
          </w14:textFill>
        </w:rPr>
        <w:t>2.5</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PM</w:t>
      </w:r>
      <w:r>
        <w:rPr>
          <w:rFonts w:hint="default" w:ascii="Times New Roman" w:hAnsi="Times New Roman" w:eastAsia="宋体" w:cs="Times New Roman"/>
          <w:color w:val="000000" w:themeColor="text1"/>
          <w:u w:val="none" w:color="auto"/>
          <w:vertAlign w:val="subscript"/>
          <w14:textFill>
            <w14:solidFill>
              <w14:schemeClr w14:val="tx1"/>
            </w14:solidFill>
          </w14:textFill>
        </w:rPr>
        <w:t>10</w:t>
      </w:r>
      <w:r>
        <w:rPr>
          <w:rFonts w:hint="default" w:ascii="Times New Roman" w:hAnsi="Times New Roman" w:eastAsia="宋体" w:cs="Times New Roman"/>
          <w:color w:val="000000" w:themeColor="text1"/>
          <w:u w:val="none" w:color="auto"/>
          <w14:textFill>
            <w14:solidFill>
              <w14:schemeClr w14:val="tx1"/>
            </w14:solidFill>
          </w14:textFill>
        </w:rPr>
        <w:t>、O</w:t>
      </w:r>
      <w:r>
        <w:rPr>
          <w:rFonts w:hint="default" w:ascii="Times New Roman" w:hAnsi="Times New Roman" w:eastAsia="宋体" w:cs="Times New Roman"/>
          <w:color w:val="000000" w:themeColor="text1"/>
          <w:u w:val="none" w:color="auto"/>
          <w:vertAlign w:val="subscript"/>
          <w14:textFill>
            <w14:solidFill>
              <w14:schemeClr w14:val="tx1"/>
            </w14:solidFill>
          </w14:textFill>
        </w:rPr>
        <w:t>3</w:t>
      </w:r>
      <w:r>
        <w:rPr>
          <w:rFonts w:hint="default" w:ascii="Times New Roman" w:hAnsi="Times New Roman" w:eastAsia="宋体" w:cs="Times New Roman"/>
          <w:color w:val="000000" w:themeColor="text1"/>
          <w:u w:val="none" w:color="auto"/>
          <w14:textFill>
            <w14:solidFill>
              <w14:schemeClr w14:val="tx1"/>
            </w14:solidFill>
          </w14:textFill>
        </w:rPr>
        <w:t>、NO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、SO</w:t>
      </w:r>
      <w:r>
        <w:rPr>
          <w:rFonts w:hint="default" w:ascii="Times New Roman" w:hAnsi="Times New Roman" w:eastAsia="宋体" w:cs="Times New Roman"/>
          <w:color w:val="000000" w:themeColor="text1"/>
          <w:u w:val="none" w:color="auto"/>
          <w:vertAlign w:val="subscript"/>
          <w14:textFill>
            <w14:solidFill>
              <w14:schemeClr w14:val="tx1"/>
            </w14:solidFill>
          </w14:textFill>
        </w:rPr>
        <w:t>2</w:t>
      </w:r>
      <w:r>
        <w:rPr>
          <w:rFonts w:hint="default" w:ascii="Times New Roman" w:hAnsi="Times New Roman" w:eastAsia="宋体" w:cs="Times New Roman"/>
          <w:color w:val="000000" w:themeColor="text1"/>
          <w:u w:val="none" w:color="auto"/>
          <w14:textFill>
            <w14:solidFill>
              <w14:schemeClr w14:val="tx1"/>
            </w14:solidFill>
          </w14:textFill>
        </w:rPr>
        <w:t>、CO年均值均能满足《环境空气质量标准》（GB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3095-2012）二级标准要求</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故本项目所在行政区判定为达标区域。</w:t>
      </w:r>
    </w:p>
    <w:p w14:paraId="471858D2">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eastAsia" w:ascii="Times New Roman" w:hAnsi="Times New Roman" w:eastAsia="宋体" w:cs="Times New Roman"/>
          <w:color w:val="000000" w:themeColor="text1"/>
          <w:u w:val="none" w:color="auto"/>
          <w:lang w:val="en-US" w:eastAsia="zh-CN"/>
          <w14:textFill>
            <w14:solidFill>
              <w14:schemeClr w14:val="tx1"/>
            </w14:solidFill>
          </w14:textFill>
        </w:rPr>
        <w:t>平江县</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年度环境空气中PM</w:t>
      </w:r>
      <w:r>
        <w:rPr>
          <w:rFonts w:hint="default" w:ascii="Times New Roman" w:hAnsi="Times New Roman" w:eastAsia="宋体" w:cs="Times New Roman"/>
          <w:color w:val="000000" w:themeColor="text1"/>
          <w:u w:val="none" w:color="auto"/>
          <w:vertAlign w:val="subscript"/>
          <w:lang w:val="en-US" w:eastAsia="zh-CN"/>
          <w14:textFill>
            <w14:solidFill>
              <w14:schemeClr w14:val="tx1"/>
            </w14:solidFill>
          </w14:textFill>
        </w:rPr>
        <w:t>2.5</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年平均浓度超过《环境空气质量标准》（GB 3095-2026）</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过渡期二级标准及过渡期后</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二级标准要求。本项目</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生产过程不涉及粉尘排放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仅原料收运过程产生极少量粉尘，对</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区域大气环境</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影响很小</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p>
    <w:p w14:paraId="107F6B3E">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kern w:val="0"/>
          <w:u w:val="none" w:color="auto"/>
          <w14:textFill>
            <w14:solidFill>
              <w14:schemeClr w14:val="tx1"/>
            </w14:solidFill>
          </w14:textFill>
        </w:rPr>
        <w:t>根据对项目周边进行的监测数据可知，</w:t>
      </w:r>
      <w:r>
        <w:rPr>
          <w:rFonts w:hint="default" w:ascii="Times New Roman" w:hAnsi="Times New Roman" w:eastAsia="宋体" w:cs="Times New Roman"/>
          <w:color w:val="000000" w:themeColor="text1"/>
          <w:kern w:val="0"/>
          <w:u w:val="none" w:color="auto"/>
          <w:lang w:val="en-US" w:eastAsia="zh-CN"/>
          <w14:textFill>
            <w14:solidFill>
              <w14:schemeClr w14:val="tx1"/>
            </w14:solidFill>
          </w14:textFill>
        </w:rPr>
        <w:t>硫化氢、氨气</w:t>
      </w:r>
      <w:r>
        <w:rPr>
          <w:rFonts w:hint="default" w:ascii="Times New Roman" w:hAnsi="Times New Roman" w:eastAsia="宋体" w:cs="Times New Roman"/>
          <w:color w:val="000000" w:themeColor="text1"/>
          <w:kern w:val="0"/>
          <w:u w:val="none" w:color="auto"/>
          <w14:textFill>
            <w14:solidFill>
              <w14:schemeClr w14:val="tx1"/>
            </w14:solidFill>
          </w14:textFill>
        </w:rPr>
        <w:t>符合《环境影响评价技术导则 大气环境》（HJ</w:t>
      </w:r>
      <w:r>
        <w:rPr>
          <w:rFonts w:hint="default" w:ascii="Times New Roman" w:hAnsi="Times New Roman" w:eastAsia="宋体" w:cs="Times New Roman"/>
          <w:color w:val="000000" w:themeColor="text1"/>
          <w:kern w:val="0"/>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kern w:val="0"/>
          <w:u w:val="none" w:color="auto"/>
          <w14:textFill>
            <w14:solidFill>
              <w14:schemeClr w14:val="tx1"/>
            </w14:solidFill>
          </w14:textFill>
        </w:rPr>
        <w:t>2.2-2018）</w:t>
      </w:r>
      <w:r>
        <w:rPr>
          <w:rFonts w:hint="default" w:ascii="Times New Roman" w:hAnsi="Times New Roman" w:eastAsia="宋体" w:cs="Times New Roman"/>
          <w:color w:val="000000" w:themeColor="text1"/>
          <w:kern w:val="0"/>
          <w:u w:val="none" w:color="auto"/>
          <w:lang w:val="en-US" w:eastAsia="zh-CN"/>
          <w14:textFill>
            <w14:solidFill>
              <w14:schemeClr w14:val="tx1"/>
            </w14:solidFill>
          </w14:textFill>
        </w:rPr>
        <w:t>表D.1标准限值</w:t>
      </w:r>
      <w:r>
        <w:rPr>
          <w:rFonts w:hint="default" w:ascii="Times New Roman" w:hAnsi="Times New Roman" w:eastAsia="宋体" w:cs="Times New Roman"/>
          <w:color w:val="000000" w:themeColor="text1"/>
          <w:kern w:val="0"/>
          <w:u w:val="none" w:color="auto"/>
          <w14:textFill>
            <w14:solidFill>
              <w14:schemeClr w14:val="tx1"/>
            </w14:solidFill>
          </w14:textFill>
        </w:rPr>
        <w:t>；非甲烷总烃参照符合《大气污染物综合排放标准详解》中关于非甲烷总烃环境质量标准</w:t>
      </w:r>
      <w:r>
        <w:rPr>
          <w:rFonts w:hint="default" w:ascii="Times New Roman" w:hAnsi="Times New Roman" w:eastAsia="宋体" w:cs="Times New Roman"/>
          <w:color w:val="000000" w:themeColor="text1"/>
          <w:kern w:val="0"/>
          <w:u w:val="none" w:color="auto"/>
          <w:lang w:eastAsia="zh-CN"/>
          <w14:textFill>
            <w14:solidFill>
              <w14:schemeClr w14:val="tx1"/>
            </w14:solidFill>
          </w14:textFill>
        </w:rPr>
        <w:t>。</w:t>
      </w:r>
    </w:p>
    <w:p w14:paraId="0341F548">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（2）地表水环境</w:t>
      </w:r>
    </w:p>
    <w:p w14:paraId="146B70C6">
      <w:pPr>
        <w:keepNext w:val="0"/>
        <w:keepLines w:val="0"/>
        <w:pageBreakBefore w:val="0"/>
        <w:widowControl w:val="0"/>
        <w:kinsoku/>
        <w:wordWrap/>
        <w:overflowPunct/>
        <w:topLinePunct w:val="0"/>
        <w:bidi w:val="0"/>
        <w:spacing w:line="360" w:lineRule="auto"/>
        <w:ind w:firstLine="482"/>
        <w:rPr>
          <w:rFonts w:hint="default" w:ascii="Times New Roman" w:hAnsi="Times New Roman" w:eastAsia="宋体" w:cs="Times New Roman"/>
          <w:b/>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项目引用凌公桥河、汨罗江各监测断面的监测因子均符合《地表水环境质量标准》（GB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3838-2002）Ⅲ类水质标准。</w:t>
      </w:r>
    </w:p>
    <w:p w14:paraId="78D21673">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（3）地下水环境</w:t>
      </w:r>
    </w:p>
    <w:p w14:paraId="2EB4254D">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引用项目周边</w:t>
      </w:r>
      <w:r>
        <w:rPr>
          <w:rFonts w:hint="default" w:ascii="Times New Roman" w:hAnsi="Times New Roman" w:eastAsia="宋体" w:cs="Times New Roman"/>
          <w:color w:val="000000" w:themeColor="text1"/>
          <w:u w:val="none" w:color="auto"/>
          <w14:textFill>
            <w14:solidFill>
              <w14:schemeClr w14:val="tx1"/>
            </w14:solidFill>
          </w14:textFill>
        </w:rPr>
        <w:t>各监测点</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及现状监测点</w:t>
      </w:r>
      <w:r>
        <w:rPr>
          <w:rFonts w:hint="default" w:ascii="Times New Roman" w:hAnsi="Times New Roman" w:eastAsia="宋体" w:cs="Times New Roman"/>
          <w:color w:val="000000" w:themeColor="text1"/>
          <w:u w:val="none" w:color="auto"/>
          <w14:textFill>
            <w14:solidFill>
              <w14:schemeClr w14:val="tx1"/>
            </w14:solidFill>
          </w14:textFill>
        </w:rPr>
        <w:t>的各监测因子均能够满足《地下水质量标准》（GB/T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14848-2017）中的Ⅲ类标准，说明项目所在区域的地下水目前水质状况良好。</w:t>
      </w:r>
    </w:p>
    <w:p w14:paraId="5007C7A0">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（4）声环境</w:t>
      </w:r>
    </w:p>
    <w:p w14:paraId="558217FF">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项目厂界昼夜噪声级均满足《声环境质量标准》（GB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3096-2008）中的3类标准，西</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北</w:t>
      </w:r>
      <w:r>
        <w:rPr>
          <w:rFonts w:hint="default" w:ascii="Times New Roman" w:hAnsi="Times New Roman" w:eastAsia="宋体" w:cs="Times New Roman"/>
          <w:color w:val="000000" w:themeColor="text1"/>
          <w:u w:val="none" w:color="auto"/>
          <w14:textFill>
            <w14:solidFill>
              <w14:schemeClr w14:val="tx1"/>
            </w14:solidFill>
          </w14:textFill>
        </w:rPr>
        <w:t>侧</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最近</w:t>
      </w:r>
      <w:r>
        <w:rPr>
          <w:rFonts w:hint="default" w:ascii="Times New Roman" w:hAnsi="Times New Roman" w:eastAsia="宋体" w:cs="Times New Roman"/>
          <w:color w:val="000000" w:themeColor="text1"/>
          <w:u w:val="none" w:color="auto"/>
          <w14:textFill>
            <w14:solidFill>
              <w14:schemeClr w14:val="tx1"/>
            </w14:solidFill>
          </w14:textFill>
        </w:rPr>
        <w:t>居民点满足《声环境质量标准》的2类标准，项目所在区域声环境质量良好。</w:t>
      </w:r>
    </w:p>
    <w:p w14:paraId="7ADF676D">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（5）土壤</w:t>
      </w:r>
    </w:p>
    <w:p w14:paraId="678FBFF9">
      <w:pPr>
        <w:keepNext w:val="0"/>
        <w:keepLines w:val="0"/>
        <w:pageBreakBefore w:val="0"/>
        <w:widowControl w:val="0"/>
        <w:tabs>
          <w:tab w:val="left" w:pos="3119"/>
        </w:tabs>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土壤监测数据结果见下表所示，项目建设用地土壤满足《土壤环境质量建设用地土壤污染风险管控标准（试行）》（GB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36600-2018）第二类用地筛选值。</w:t>
      </w:r>
    </w:p>
    <w:p w14:paraId="10C4AB92">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（6）生态</w:t>
      </w:r>
    </w:p>
    <w:p w14:paraId="63F6BA08">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本项目位于工业园内，项目周边生态环境质量现状一般。</w:t>
      </w:r>
    </w:p>
    <w:p w14:paraId="0B4BB561">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89" w:name="_Toc19090"/>
      <w:bookmarkStart w:id="690" w:name="_Toc204350852"/>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1.4 环境影响评价结论</w:t>
      </w:r>
      <w:bookmarkEnd w:id="689"/>
      <w:bookmarkEnd w:id="690"/>
    </w:p>
    <w:p w14:paraId="7279F000">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1.4.1 大气环境</w:t>
      </w:r>
    </w:p>
    <w:p w14:paraId="1309C15B">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本项目</w:t>
      </w:r>
      <w:r>
        <w:rPr>
          <w:rFonts w:hint="default" w:ascii="Times New Roman" w:hAnsi="Times New Roman" w:eastAsia="宋体" w:cs="Times New Roman"/>
          <w:color w:val="000000" w:themeColor="text1"/>
          <w:u w:val="none" w:color="auto"/>
          <w14:textFill>
            <w14:solidFill>
              <w14:schemeClr w14:val="tx1"/>
            </w14:solidFill>
          </w14:textFill>
        </w:rPr>
        <w:t>大气环境影响评价工作等级为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二</w:t>
      </w:r>
      <w:r>
        <w:rPr>
          <w:rFonts w:hint="default" w:ascii="Times New Roman" w:hAnsi="Times New Roman" w:eastAsia="宋体" w:cs="Times New Roman"/>
          <w:color w:val="000000" w:themeColor="text1"/>
          <w:u w:val="none" w:color="auto"/>
          <w14:textFill>
            <w14:solidFill>
              <w14:schemeClr w14:val="tx1"/>
            </w14:solidFill>
          </w14:textFill>
        </w:rPr>
        <w:t>级</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，根据</w:t>
      </w:r>
      <w:r>
        <w:rPr>
          <w:rFonts w:hint="default" w:ascii="Times New Roman" w:hAnsi="Times New Roman" w:eastAsia="宋体" w:cs="Times New Roman"/>
          <w:bCs/>
          <w:color w:val="000000" w:themeColor="text1"/>
          <w:kern w:val="0"/>
          <w:szCs w:val="24"/>
          <w:u w:val="none" w:color="auto"/>
          <w14:textFill>
            <w14:solidFill>
              <w14:schemeClr w14:val="tx1"/>
            </w14:solidFill>
          </w14:textFill>
        </w:rPr>
        <w:t>《环境影响评价技术导则</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kern w:val="0"/>
          <w:szCs w:val="24"/>
          <w:u w:val="none" w:color="auto"/>
          <w14:textFill>
            <w14:solidFill>
              <w14:schemeClr w14:val="tx1"/>
            </w14:solidFill>
          </w14:textFill>
        </w:rPr>
        <w:t>大气环境》（HJ</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kern w:val="0"/>
          <w:szCs w:val="24"/>
          <w:u w:val="none" w:color="auto"/>
          <w14:textFill>
            <w14:solidFill>
              <w14:schemeClr w14:val="tx1"/>
            </w14:solidFill>
          </w14:textFill>
        </w:rPr>
        <w:t>2.2-2018）</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的</w:t>
      </w:r>
      <w:r>
        <w:rPr>
          <w:rFonts w:hint="default" w:ascii="Times New Roman" w:hAnsi="Times New Roman" w:eastAsia="宋体" w:cs="Times New Roman"/>
          <w:bCs/>
          <w:color w:val="000000" w:themeColor="text1"/>
          <w:kern w:val="0"/>
          <w:szCs w:val="24"/>
          <w:u w:val="none" w:color="auto"/>
          <w14:textFill>
            <w14:solidFill>
              <w14:schemeClr w14:val="tx1"/>
            </w14:solidFill>
          </w14:textFill>
        </w:rPr>
        <w:t>要求，</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二级评价项目不进行进一步预测与评价，只对污染物排放量进行核算。经过污染物排放量核算，项目运营期严格执行本评价提出的污染防治措施后，有组织排放的氨、硫化氢、臭气浓度满足《恶臭污染物排放标准》（GB 14554-93）表2排放标准要求；非甲烷总烃满足《</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fldChar w:fldCharType="end"/>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》（GB 16297-1996）表2标准限值要求。无组织排放氨、硫化氢、臭气浓度满足《恶臭污染物排放标准》（GB 14554-93）表1中</w:t>
      </w:r>
      <w:r>
        <w:rPr>
          <w:rFonts w:hint="eastAsia" w:ascii="Times New Roman" w:hAnsi="Times New Roman" w:eastAsia="宋体" w:cs="Times New Roman"/>
          <w:bCs/>
          <w:color w:val="000000" w:themeColor="text1"/>
          <w:kern w:val="0"/>
          <w:szCs w:val="24"/>
          <w:u w:val="none" w:color="auto"/>
          <w:lang w:val="en-US" w:eastAsia="zh-CN"/>
          <w14:textFill>
            <w14:solidFill>
              <w14:schemeClr w14:val="tx1"/>
            </w14:solidFill>
          </w14:textFill>
        </w:rPr>
        <w:t>“</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二级新改扩建</w:t>
      </w:r>
      <w:r>
        <w:rPr>
          <w:rFonts w:hint="eastAsia" w:ascii="Times New Roman" w:hAnsi="Times New Roman" w:eastAsia="宋体" w:cs="Times New Roman"/>
          <w:bCs/>
          <w:color w:val="000000" w:themeColor="text1"/>
          <w:kern w:val="0"/>
          <w:szCs w:val="24"/>
          <w:u w:val="none" w:color="auto"/>
          <w:lang w:val="en-US" w:eastAsia="zh-CN"/>
          <w14:textFill>
            <w14:solidFill>
              <w14:schemeClr w14:val="tx1"/>
            </w14:solidFill>
          </w14:textFill>
        </w:rPr>
        <w:t>”</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项目的要求；非甲烷总烃满足《</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fldChar w:fldCharType="separate"/>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fldChar w:fldCharType="end"/>
      </w:r>
      <w:r>
        <w:rPr>
          <w:rFonts w:hint="default" w:ascii="Times New Roman" w:hAnsi="Times New Roman" w:eastAsia="宋体" w:cs="Times New Roman"/>
          <w:bCs/>
          <w:color w:val="000000" w:themeColor="text1"/>
          <w:kern w:val="0"/>
          <w:szCs w:val="24"/>
          <w:u w:val="none" w:color="auto"/>
          <w:lang w:val="en-US" w:eastAsia="zh-CN"/>
          <w14:textFill>
            <w14:solidFill>
              <w14:schemeClr w14:val="tx1"/>
            </w14:solidFill>
          </w14:textFill>
        </w:rPr>
        <w:t>》（GB 16297-1996）表2标准限值要求。</w:t>
      </w:r>
    </w:p>
    <w:p w14:paraId="26BFFA3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因此，本项目大气环境影响可以接受。</w:t>
      </w:r>
    </w:p>
    <w:p w14:paraId="2DEF1C66">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1.4.2 水环境</w:t>
      </w:r>
    </w:p>
    <w:p w14:paraId="492137A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项目运营期产生的</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废水主要包括生活废水、生产废水，其中生产废水包括废弃油脂加工工序产生的废水、地面拖洗废水、车辆清洗废水、设备管道清洗废水、喷淋塔循环废水。</w:t>
      </w:r>
    </w:p>
    <w:p w14:paraId="3C7CBC1D">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（1）生产废水经密闭管道收集汇入隔油池+A/O预处理后通过园区污水管网排入园平江高新区污水处理厂深度处理。</w:t>
      </w:r>
    </w:p>
    <w:p w14:paraId="692EE349">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（2）生活污水经园区化粪池处理后通过园区污水管网排入园平江高新区污水处理厂深度处理。</w:t>
      </w:r>
    </w:p>
    <w:p w14:paraId="7B9F0E43">
      <w:pPr>
        <w:keepNext w:val="0"/>
        <w:keepLines w:val="0"/>
        <w:pageBreakBefore w:val="0"/>
        <w:widowControl w:val="0"/>
        <w:kinsoku/>
        <w:wordWrap/>
        <w:overflowPunct/>
        <w:topLinePunct w:val="0"/>
        <w:bidi w:val="0"/>
        <w:spacing w:line="360" w:lineRule="auto"/>
        <w:ind w:firstLine="48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综上，项目废水对周围环境影响较小。</w:t>
      </w:r>
    </w:p>
    <w:p w14:paraId="1FF32604">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1.4.3 声环境影响分析</w:t>
      </w:r>
    </w:p>
    <w:p w14:paraId="4E061CBA">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本项目运营期间，厂区边界各边界噪声值均能达到《工业企业厂界环境噪声排放标准》（GB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12348-2008）中3类标准要求，敏感点噪声能够满足《声环境质量标准》（GB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3096-2008）2类标准要求。</w:t>
      </w:r>
    </w:p>
    <w:p w14:paraId="5B88EB07">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满足本项目的正常生产不会对外界环境造成明显影响。</w:t>
      </w:r>
    </w:p>
    <w:p w14:paraId="2EAD551E">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1.4.4 固体废物环境影响分析</w:t>
      </w:r>
    </w:p>
    <w:p w14:paraId="4AA7371D">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szCs w:val="21"/>
          <w:u w:val="none" w:color="auto"/>
          <w14:textFill>
            <w14:solidFill>
              <w14:schemeClr w14:val="tx1"/>
            </w14:solidFill>
          </w14:textFill>
        </w:rPr>
        <w:t>本项目运营期产生的</w:t>
      </w:r>
      <w:r>
        <w:rPr>
          <w:rFonts w:hint="default" w:ascii="Times New Roman" w:hAnsi="Times New Roman" w:eastAsia="宋体" w:cs="Times New Roman"/>
          <w:color w:val="000000" w:themeColor="text1"/>
          <w:u w:val="none" w:color="auto"/>
          <w14:textFill>
            <w14:solidFill>
              <w14:schemeClr w14:val="tx1"/>
            </w14:solidFill>
          </w14:textFill>
        </w:rPr>
        <w:t>本项目一般固废主要是</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废弃油脂加工产生的废渣、污水处理设施隔油池产生的浮渣、成品油检验产生的废油、以及员工生活产生的</w:t>
      </w:r>
      <w:r>
        <w:rPr>
          <w:rFonts w:hint="default" w:ascii="Times New Roman" w:hAnsi="Times New Roman" w:eastAsia="宋体" w:cs="Times New Roman"/>
          <w:color w:val="000000" w:themeColor="text1"/>
          <w:u w:val="none" w:color="auto"/>
          <w14:textFill>
            <w14:solidFill>
              <w14:schemeClr w14:val="tx1"/>
            </w14:solidFill>
          </w14:textFill>
        </w:rPr>
        <w:t>生活垃圾，交由有关单位进行综合利用，对周边环境影响小；本项目危险废物主要为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废气处理设施产生的废过滤棉、废活性炭、设备检修产生的废润滑油、</w:t>
      </w:r>
      <w:r>
        <w:rPr>
          <w:rFonts w:hint="default" w:ascii="Times New Roman" w:hAnsi="Times New Roman" w:eastAsia="宋体" w:cs="Times New Roman"/>
          <w:color w:val="000000" w:themeColor="text1"/>
          <w:u w:val="none" w:color="auto"/>
          <w14:textFill>
            <w14:solidFill>
              <w14:schemeClr w14:val="tx1"/>
            </w14:solidFill>
          </w14:textFill>
        </w:rPr>
        <w:t>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劳保用品</w:t>
      </w:r>
      <w:r>
        <w:rPr>
          <w:rFonts w:hint="default" w:ascii="Times New Roman" w:hAnsi="Times New Roman" w:eastAsia="宋体" w:cs="Times New Roman"/>
          <w:color w:val="000000" w:themeColor="text1"/>
          <w:u w:val="none" w:color="auto"/>
          <w14:textFill>
            <w14:solidFill>
              <w14:schemeClr w14:val="tx1"/>
            </w14:solidFill>
          </w14:textFill>
        </w:rPr>
        <w:t>，危险废物送有资质单位处置，本项目危险废物均得到有效处置，对周边环境影响小。</w:t>
      </w:r>
    </w:p>
    <w:p w14:paraId="0BFA3DDD">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综上，项目产生的固体废物均得到合理处置，不外排，对周围环境影响很小。</w:t>
      </w:r>
    </w:p>
    <w:p w14:paraId="1A23F119">
      <w:pPr>
        <w:pStyle w:val="7"/>
        <w:keepNext w:val="0"/>
        <w:keepLines w:val="0"/>
        <w:pageBreakBefore w:val="0"/>
        <w:widowControl w:val="0"/>
        <w:kinsoku/>
        <w:wordWrap/>
        <w:overflowPunct/>
        <w:topLinePunct w:val="0"/>
        <w:bidi w:val="0"/>
        <w:ind w:firstLine="482"/>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1.4.5 地下水环境影响分析与评价</w:t>
      </w:r>
    </w:p>
    <w:p w14:paraId="6FE50D31">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建设单位将加强管理、提高环保意识并严格执行相关管理要求等。通过采取上述有效措施后，本项目的运行对周围地下水环境产生影响较小。</w:t>
      </w:r>
    </w:p>
    <w:p w14:paraId="41380B16">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91" w:name="_Toc204350853"/>
      <w:bookmarkStart w:id="692" w:name="_Toc9302"/>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w:t>
      </w:r>
      <w:r>
        <w:rPr>
          <w:rFonts w:hint="default" w:ascii="Times New Roman" w:hAnsi="Times New Roman" w:eastAsia="宋体" w:cs="Times New Roman"/>
          <w:color w:val="000000" w:themeColor="text1"/>
          <w:u w:val="none" w:color="auto"/>
          <w14:textFill>
            <w14:solidFill>
              <w14:schemeClr w14:val="tx1"/>
            </w14:solidFill>
          </w14:textFill>
        </w:rPr>
        <w:t xml:space="preserve"> 风险分析结论</w:t>
      </w:r>
      <w:bookmarkEnd w:id="691"/>
      <w:bookmarkEnd w:id="692"/>
    </w:p>
    <w:p w14:paraId="1E0E0F4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在严格落实本报告提出的各项事故防范和应急措施，加强管理，可最大限度地减少可能发生的环境风险。一旦发生事故，也可将影响范围控制在较小程度之内，减轻对环境的影响，环境风险在可控范围内。建议企业按照《湖南省突发环境事件应急预案管理办法（修订版）》（湘环发〔2024〕49号）、《关于进一步加强突发环境事件应急预案管理工作的通知》（湘环函〔2017〕107号）等相关规定，制定厂区的专项环境应急预案和现场处置预案，进一步完善厂区风险事故应急预案体系。在采取有效的预防措施和应急措施后，本项目的环境风险水平是可以接受的。</w:t>
      </w:r>
    </w:p>
    <w:p w14:paraId="1C6BF64D">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93" w:name="_Toc25219"/>
      <w:bookmarkStart w:id="694" w:name="_Toc204350854"/>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 xml:space="preserve"> 总量控制</w:t>
      </w:r>
      <w:bookmarkEnd w:id="693"/>
      <w:bookmarkEnd w:id="694"/>
    </w:p>
    <w:p w14:paraId="74D49899">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项目建成后，化学需氧量排放量为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318</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t/a，氨氮排放量为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69</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w:t>
      </w:r>
      <w:r>
        <w:rPr>
          <w:rFonts w:hint="default" w:ascii="Times New Roman" w:hAnsi="Times New Roman" w:eastAsia="宋体" w:cs="Times New Roman"/>
          <w:color w:val="000000" w:themeColor="text1"/>
          <w:u w:val="none" w:color="auto"/>
          <w14:textFill>
            <w14:solidFill>
              <w14:schemeClr w14:val="tx1"/>
            </w14:solidFill>
          </w14:textFill>
        </w:rPr>
        <w:t>t/a，</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挥发性有机物</w:t>
      </w:r>
      <w:r>
        <w:rPr>
          <w:rFonts w:hint="default" w:ascii="Times New Roman" w:hAnsi="Times New Roman" w:eastAsia="宋体" w:cs="Times New Roman"/>
          <w:color w:val="000000" w:themeColor="text1"/>
          <w:u w:val="none" w:color="auto"/>
          <w14:textFill>
            <w14:solidFill>
              <w14:schemeClr w14:val="tx1"/>
            </w14:solidFill>
          </w14:textFill>
        </w:rPr>
        <w:t>排放量为</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50176</w:t>
      </w:r>
      <w:r>
        <w:rPr>
          <w:rFonts w:hint="default" w:ascii="Times New Roman" w:hAnsi="Times New Roman" w:eastAsia="宋体" w:cs="Times New Roman"/>
          <w:color w:val="000000" w:themeColor="text1"/>
          <w:u w:val="none" w:color="auto"/>
          <w14:textFill>
            <w14:solidFill>
              <w14:schemeClr w14:val="tx1"/>
            </w14:solidFill>
          </w14:textFill>
        </w:rPr>
        <w:t xml:space="preserve"> </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t</w:t>
      </w:r>
      <w:r>
        <w:rPr>
          <w:rFonts w:hint="default" w:ascii="Times New Roman" w:hAnsi="Times New Roman" w:eastAsia="宋体" w:cs="Times New Roman"/>
          <w:color w:val="000000" w:themeColor="text1"/>
          <w:u w:val="none" w:color="auto"/>
          <w14:textFill>
            <w14:solidFill>
              <w14:schemeClr w14:val="tx1"/>
            </w14:solidFill>
          </w14:textFill>
        </w:rPr>
        <w:t>/a</w:t>
      </w: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需</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通过</w:t>
      </w:r>
      <w:r>
        <w:rPr>
          <w:rFonts w:hint="default" w:ascii="Times New Roman" w:hAnsi="Times New Roman" w:eastAsia="宋体" w:cs="Times New Roman"/>
          <w:color w:val="000000" w:themeColor="text1"/>
          <w:u w:val="none" w:color="auto"/>
          <w14:textFill>
            <w14:solidFill>
              <w14:schemeClr w14:val="tx1"/>
            </w14:solidFill>
          </w14:textFill>
        </w:rPr>
        <w:t>排污权交易购买总量指标。</w:t>
      </w:r>
    </w:p>
    <w:p w14:paraId="1AEF215E">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95" w:name="_Toc204350855"/>
      <w:bookmarkStart w:id="696" w:name="_Toc15678"/>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7</w:t>
      </w:r>
      <w:r>
        <w:rPr>
          <w:rFonts w:hint="default" w:ascii="Times New Roman" w:hAnsi="Times New Roman" w:eastAsia="宋体" w:cs="Times New Roman"/>
          <w:color w:val="000000" w:themeColor="text1"/>
          <w:u w:val="none" w:color="auto"/>
          <w14:textFill>
            <w14:solidFill>
              <w14:schemeClr w14:val="tx1"/>
            </w14:solidFill>
          </w14:textFill>
        </w:rPr>
        <w:t xml:space="preserve"> 公众参与情况</w:t>
      </w:r>
      <w:bookmarkEnd w:id="695"/>
      <w:bookmarkEnd w:id="696"/>
    </w:p>
    <w:p w14:paraId="62DFC952">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FF0000"/>
          <w:u w:val="none" w:color="auto"/>
        </w:rPr>
      </w:pPr>
      <w:r>
        <w:rPr>
          <w:rFonts w:hint="default" w:ascii="Times New Roman" w:hAnsi="Times New Roman" w:eastAsia="宋体" w:cs="Times New Roman"/>
          <w:color w:val="000000" w:themeColor="text1"/>
          <w:u w:val="none" w:color="auto"/>
          <w14:textFill>
            <w14:solidFill>
              <w14:schemeClr w14:val="tx1"/>
            </w14:solidFill>
          </w14:textFill>
        </w:rPr>
        <w:t>建设方按照《环境影响评价公众参与办法》的相关要求，在环境影响报告书编制阶段开展了公众参与工作，本项目于202</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u w:val="none" w:color="auto"/>
          <w14:textFill>
            <w14:solidFill>
              <w14:schemeClr w14:val="tx1"/>
            </w14:solidFill>
          </w14:textFill>
        </w:rPr>
        <w:t>年1月</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27</w:t>
      </w:r>
      <w:r>
        <w:rPr>
          <w:rFonts w:hint="default" w:ascii="Times New Roman" w:hAnsi="Times New Roman" w:eastAsia="宋体" w:cs="Times New Roman"/>
          <w:color w:val="000000" w:themeColor="text1"/>
          <w:u w:val="none" w:color="auto"/>
          <w14:textFill>
            <w14:solidFill>
              <w14:schemeClr w14:val="tx1"/>
            </w14:solidFill>
          </w14:textFill>
        </w:rPr>
        <w:t>日</w:t>
      </w:r>
      <w:r>
        <w:rPr>
          <w:rFonts w:hint="default" w:ascii="Times New Roman" w:hAnsi="Times New Roman" w:eastAsia="宋体" w:cs="Times New Roman"/>
          <w:color w:val="000000" w:themeColor="text1"/>
          <w:szCs w:val="24"/>
          <w:u w:val="none" w:color="auto"/>
          <w14:textFill>
            <w14:solidFill>
              <w14:schemeClr w14:val="tx1"/>
            </w14:solidFill>
          </w14:textFill>
        </w:rPr>
        <w:t>，建设单位在全国建设项目环境信息公示平台进行了第一次网络公示；202</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Cs w:val="24"/>
          <w:u w:val="none" w:color="auto"/>
          <w14:textFill>
            <w14:solidFill>
              <w14:schemeClr w14:val="tx1"/>
            </w14:solidFill>
          </w14:textFill>
        </w:rPr>
        <w:t>年</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Cs w:val="24"/>
          <w:u w:val="none" w:color="auto"/>
          <w14:textFill>
            <w14:solidFill>
              <w14:schemeClr w14:val="tx1"/>
            </w14:solidFill>
          </w14:textFill>
        </w:rPr>
        <w:t>月</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szCs w:val="24"/>
          <w:u w:val="none" w:color="auto"/>
          <w14:textFill>
            <w14:solidFill>
              <w14:schemeClr w14:val="tx1"/>
            </w14:solidFill>
          </w14:textFill>
        </w:rPr>
        <w:t>日，建设单位在全国建设项目环境信息公示平台进行项目第二次环评信息公示，同时在项目所在地周边敏感点以张贴公告的形式进行了项目第二次环评信息公示</w:t>
      </w:r>
      <w:r>
        <w:rPr>
          <w:rFonts w:hint="eastAsia" w:ascii="Times New Roman" w:hAnsi="Times New Roman" w:eastAsia="宋体" w:cs="Times New Roman"/>
          <w:color w:val="000000" w:themeColor="text1"/>
          <w:szCs w:val="24"/>
          <w:u w:val="none" w:color="auto"/>
          <w:lang w:eastAsia="zh-CN"/>
          <w14:textFill>
            <w14:solidFill>
              <w14:schemeClr w14:val="tx1"/>
            </w14:solidFill>
          </w14:textFill>
        </w:rPr>
        <w:t>，</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同时</w:t>
      </w:r>
      <w:r>
        <w:rPr>
          <w:rFonts w:hint="default" w:ascii="Times New Roman" w:hAnsi="Times New Roman" w:eastAsia="宋体" w:cs="Times New Roman"/>
          <w:color w:val="000000" w:themeColor="text1"/>
          <w:szCs w:val="24"/>
          <w:u w:val="none" w:color="auto"/>
          <w14:textFill>
            <w14:solidFill>
              <w14:schemeClr w14:val="tx1"/>
            </w14:solidFill>
          </w14:textFill>
        </w:rPr>
        <w:t>于202</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Cs w:val="24"/>
          <w:u w:val="none" w:color="auto"/>
          <w14:textFill>
            <w14:solidFill>
              <w14:schemeClr w14:val="tx1"/>
            </w14:solidFill>
          </w14:textFill>
        </w:rPr>
        <w:t>年</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Cs w:val="24"/>
          <w:u w:val="none" w:color="auto"/>
          <w14:textFill>
            <w14:solidFill>
              <w14:schemeClr w14:val="tx1"/>
            </w14:solidFill>
          </w14:textFill>
        </w:rPr>
        <w:t>月</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15</w:t>
      </w:r>
      <w:r>
        <w:rPr>
          <w:rFonts w:hint="default" w:ascii="Times New Roman" w:hAnsi="Times New Roman" w:eastAsia="宋体" w:cs="Times New Roman"/>
          <w:color w:val="000000" w:themeColor="text1"/>
          <w:szCs w:val="24"/>
          <w:u w:val="none" w:color="auto"/>
          <w14:textFill>
            <w14:solidFill>
              <w14:schemeClr w14:val="tx1"/>
            </w14:solidFill>
          </w14:textFill>
        </w:rPr>
        <w:t>日、202</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6</w:t>
      </w:r>
      <w:r>
        <w:rPr>
          <w:rFonts w:hint="default" w:ascii="Times New Roman" w:hAnsi="Times New Roman" w:eastAsia="宋体" w:cs="Times New Roman"/>
          <w:color w:val="000000" w:themeColor="text1"/>
          <w:szCs w:val="24"/>
          <w:u w:val="none" w:color="auto"/>
          <w14:textFill>
            <w14:solidFill>
              <w14:schemeClr w14:val="tx1"/>
            </w14:solidFill>
          </w14:textFill>
        </w:rPr>
        <w:t>年</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Cs w:val="24"/>
          <w:u w:val="none" w:color="auto"/>
          <w14:textFill>
            <w14:solidFill>
              <w14:schemeClr w14:val="tx1"/>
            </w14:solidFill>
          </w14:textFill>
        </w:rPr>
        <w:t>月</w:t>
      </w:r>
      <w:r>
        <w:rPr>
          <w:rFonts w:hint="default" w:ascii="Times New Roman" w:hAnsi="Times New Roman" w:eastAsia="宋体" w:cs="Times New Roman"/>
          <w:color w:val="000000" w:themeColor="text1"/>
          <w:szCs w:val="24"/>
          <w:u w:val="none" w:color="auto"/>
          <w:lang w:val="en-US" w:eastAsia="zh-CN"/>
          <w14:textFill>
            <w14:solidFill>
              <w14:schemeClr w14:val="tx1"/>
            </w14:solidFill>
          </w14:textFill>
        </w:rPr>
        <w:t>17</w:t>
      </w:r>
      <w:r>
        <w:rPr>
          <w:rFonts w:hint="default" w:ascii="Times New Roman" w:hAnsi="Times New Roman" w:eastAsia="宋体" w:cs="Times New Roman"/>
          <w:color w:val="000000" w:themeColor="text1"/>
          <w:szCs w:val="24"/>
          <w:u w:val="none" w:color="auto"/>
          <w14:textFill>
            <w14:solidFill>
              <w14:schemeClr w14:val="tx1"/>
            </w14:solidFill>
          </w14:textFill>
        </w:rPr>
        <w:t>日建设单位在《</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中国商报</w:t>
      </w:r>
      <w:r>
        <w:rPr>
          <w:rFonts w:hint="default" w:ascii="Times New Roman" w:hAnsi="Times New Roman" w:eastAsia="宋体" w:cs="Times New Roman"/>
          <w:color w:val="000000" w:themeColor="text1"/>
          <w:szCs w:val="24"/>
          <w:u w:val="none" w:color="auto"/>
          <w14:textFill>
            <w14:solidFill>
              <w14:schemeClr w14:val="tx1"/>
            </w14:solidFill>
          </w14:textFill>
        </w:rPr>
        <w:t>》进行了</w:t>
      </w:r>
      <w:r>
        <w:rPr>
          <w:rFonts w:hint="eastAsia" w:ascii="Times New Roman" w:hAnsi="Times New Roman" w:eastAsia="宋体" w:cs="Times New Roman"/>
          <w:color w:val="000000" w:themeColor="text1"/>
          <w:szCs w:val="24"/>
          <w:u w:val="none" w:color="auto"/>
          <w:lang w:val="en-US" w:eastAsia="zh-CN"/>
          <w14:textFill>
            <w14:solidFill>
              <w14:schemeClr w14:val="tx1"/>
            </w14:solidFill>
          </w14:textFill>
        </w:rPr>
        <w:t>2次</w:t>
      </w:r>
      <w:r>
        <w:rPr>
          <w:rFonts w:hint="default" w:ascii="Times New Roman" w:hAnsi="Times New Roman" w:eastAsia="宋体" w:cs="Times New Roman"/>
          <w:color w:val="000000" w:themeColor="text1"/>
          <w:szCs w:val="24"/>
          <w:u w:val="none" w:color="auto"/>
          <w14:textFill>
            <w14:solidFill>
              <w14:schemeClr w14:val="tx1"/>
            </w14:solidFill>
          </w14:textFill>
        </w:rPr>
        <w:t>报纸公示</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cs="Times New Roman"/>
          <w:color w:val="000000" w:themeColor="text1"/>
          <w:szCs w:val="24"/>
          <w:lang w:val="en-US" w:eastAsia="zh-CN"/>
          <w14:textFill>
            <w14:solidFill>
              <w14:schemeClr w14:val="tx1"/>
            </w14:solidFill>
          </w14:textFill>
        </w:rPr>
        <w:t>2026年4月23日，</w:t>
      </w:r>
      <w:r>
        <w:rPr>
          <w:rFonts w:ascii="Times New Roman" w:hAnsi="Times New Roman" w:cs="Times New Roman"/>
          <w:color w:val="000000" w:themeColor="text1"/>
          <w:szCs w:val="24"/>
          <w14:textFill>
            <w14:solidFill>
              <w14:schemeClr w14:val="tx1"/>
            </w14:solidFill>
          </w14:textFill>
        </w:rPr>
        <w:t>建设单位在全国建设项目环境信息公示平台进行项目</w:t>
      </w:r>
      <w:r>
        <w:rPr>
          <w:rFonts w:hint="eastAsia" w:ascii="Times New Roman" w:hAnsi="Times New Roman" w:cs="Times New Roman"/>
          <w:color w:val="000000" w:themeColor="text1"/>
          <w:szCs w:val="24"/>
          <w:lang w:val="en-US" w:eastAsia="zh-CN"/>
          <w14:textFill>
            <w14:solidFill>
              <w14:schemeClr w14:val="tx1"/>
            </w14:solidFill>
          </w14:textFill>
        </w:rPr>
        <w:t>报批前</w:t>
      </w:r>
      <w:r>
        <w:rPr>
          <w:rFonts w:ascii="Times New Roman" w:hAnsi="Times New Roman" w:cs="Times New Roman"/>
          <w:color w:val="000000" w:themeColor="text1"/>
          <w:szCs w:val="24"/>
          <w14:textFill>
            <w14:solidFill>
              <w14:schemeClr w14:val="tx1"/>
            </w14:solidFill>
          </w14:textFill>
        </w:rPr>
        <w:t>环评信息公示</w:t>
      </w:r>
      <w:r>
        <w:rPr>
          <w:rFonts w:hint="eastAsia" w:ascii="Times New Roman" w:hAnsi="Times New Roman" w:cs="Times New Roman"/>
          <w:color w:val="000000" w:themeColor="text1"/>
          <w:szCs w:val="24"/>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项目公示期间未收到居民对于本项目的公众意见调查表。</w:t>
      </w:r>
    </w:p>
    <w:p w14:paraId="3E3B3524">
      <w:pPr>
        <w:pStyle w:val="6"/>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bookmarkStart w:id="697" w:name="_Toc17978"/>
      <w:bookmarkStart w:id="698" w:name="_Toc204350856"/>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1.</w: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t>8</w:t>
      </w:r>
      <w:r>
        <w:rPr>
          <w:rFonts w:hint="default" w:ascii="Times New Roman" w:hAnsi="Times New Roman" w:eastAsia="宋体" w:cs="Times New Roman"/>
          <w:color w:val="000000" w:themeColor="text1"/>
          <w:u w:val="none" w:color="auto"/>
          <w14:textFill>
            <w14:solidFill>
              <w14:schemeClr w14:val="tx1"/>
            </w14:solidFill>
          </w14:textFill>
        </w:rPr>
        <w:t xml:space="preserve"> 总结论</w:t>
      </w:r>
      <w:bookmarkEnd w:id="697"/>
      <w:bookmarkEnd w:id="698"/>
    </w:p>
    <w:p w14:paraId="00728491">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综上所述，本项目符合国家和当地产业政策，项目建设后具有良好的经济与社会效益，项目选址及布局相对合理，在落实各项污染防治措施后污染物均能达标排放，污染物排放量能符合当地污染物总量控制指标要求，建设单位认真落实本报告提出的各项环保措施与建议，对预期产生的主要污染物采取切实可行的污染治理措施，确保实现达标排放，最大限度减小对项目所在地环境质量影响的前提下，从环境保护角度论证，在拟建地址建设是可行的。</w:t>
      </w:r>
    </w:p>
    <w:p w14:paraId="44546406">
      <w:pPr>
        <w:pStyle w:val="5"/>
        <w:keepNext w:val="0"/>
        <w:keepLines w:val="0"/>
        <w:pageBreakBefore w:val="0"/>
        <w:widowControl w:val="0"/>
        <w:kinsoku/>
        <w:wordWrap/>
        <w:overflowPunct/>
        <w:topLinePunct w:val="0"/>
        <w:bidi w:val="0"/>
        <w:spacing w:before="120" w:after="120"/>
        <w:rPr>
          <w:rFonts w:hint="default" w:ascii="Times New Roman" w:hAnsi="Times New Roman" w:eastAsia="宋体" w:cs="Times New Roman"/>
          <w:color w:val="000000" w:themeColor="text1"/>
          <w:u w:val="none" w:color="auto"/>
          <w14:textFill>
            <w14:solidFill>
              <w14:schemeClr w14:val="tx1"/>
            </w14:solidFill>
          </w14:textFill>
        </w:rPr>
      </w:pPr>
      <w:bookmarkStart w:id="699" w:name="_Toc204350857"/>
      <w:bookmarkStart w:id="700" w:name="_Toc5362"/>
      <w:r>
        <w:rPr>
          <w:rFonts w:hint="default" w:ascii="Times New Roman" w:hAnsi="Times New Roman" w:eastAsia="宋体" w:cs="Times New Roman"/>
          <w:color w:val="000000" w:themeColor="text1"/>
          <w:u w:val="none" w:color="auto"/>
          <w:lang w:eastAsia="zh-CN"/>
          <w14:textFill>
            <w14:solidFill>
              <w14:schemeClr w14:val="tx1"/>
            </w14:solidFill>
          </w14:textFill>
        </w:rPr>
        <w:t>12.</w:t>
      </w:r>
      <w:r>
        <w:rPr>
          <w:rFonts w:hint="default" w:ascii="Times New Roman" w:hAnsi="Times New Roman" w:eastAsia="宋体" w:cs="Times New Roman"/>
          <w:color w:val="000000" w:themeColor="text1"/>
          <w:u w:val="none" w:color="auto"/>
          <w14:textFill>
            <w14:solidFill>
              <w14:schemeClr w14:val="tx1"/>
            </w14:solidFill>
          </w14:textFill>
        </w:rPr>
        <w:t>2 建议</w:t>
      </w:r>
      <w:bookmarkEnd w:id="699"/>
      <w:bookmarkEnd w:id="700"/>
    </w:p>
    <w:p w14:paraId="748E209B">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（1）建设单位应认真贯彻执行有关建设项目环境保护管理文件的精神，建立健全各项环保规章制度，严格执行</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三同时</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制度，项目配套的环保设施与主体工程同时设计、同时施工、同时投入使用。</w:t>
      </w:r>
    </w:p>
    <w:p w14:paraId="0B85CB3B">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定期对各废气、废水系统进行检查，防止堵、冒、漏等现象产生，引起不必要环境污染事故发生。对各废气净化设施的易损易耗件应注重备用品的储存，确保设备发生故障时能得到及时的更换。一旦发现废气处理设施运行不正常时，应及时予以处理或维修，如确定适时间内不能恢复正常运行的，应立即停产检修，以避免对环境造成更大的污染影响。</w:t>
      </w:r>
    </w:p>
    <w:p w14:paraId="26D23FB9">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（3）严格管理，强化生产装置的密闭性操作，杜绝生产过程中的跑、冒、滴、漏；针对本工程特点，制定一套科学、完整和严格的故障处理制度和应急措施，责任到人，以便发生故障时及时处理。</w:t>
      </w:r>
    </w:p>
    <w:p w14:paraId="6AE352E7">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本评价要求建设方应在项目建设、运行过程中，加强环保设施的监督管理，尽可能降低污染物的排放，严格控制污染事故的发生，以减轻对周边不利环境影响。加强对周边环境敏感点的大气及噪声日常监测，如发现大气污染因子、厂界噪声发生超标现象，应立即停产，并同时上报当地环境保护监管部门，分析超标原因，采取有效措施控制污染。</w:t>
      </w:r>
    </w:p>
    <w:p w14:paraId="5B34D6B3">
      <w:pPr>
        <w:keepNext w:val="0"/>
        <w:keepLines w:val="0"/>
        <w:pageBreakBefore w:val="0"/>
        <w:widowControl w:val="0"/>
        <w:kinsoku/>
        <w:wordWrap/>
        <w:overflowPunct/>
        <w:topLinePunct w:val="0"/>
        <w:autoSpaceDE w:val="0"/>
        <w:autoSpaceDN w:val="0"/>
        <w:bidi w:val="0"/>
        <w:spacing w:line="360" w:lineRule="auto"/>
        <w:ind w:firstLine="480" w:firstLineChars="200"/>
        <w:jc w:val="left"/>
        <w:rPr>
          <w:rFonts w:hint="default" w:ascii="Times New Roman" w:hAnsi="Times New Roman" w:eastAsia="宋体" w:cs="Times New Roman"/>
          <w:color w:val="000000" w:themeColor="text1"/>
          <w:u w:val="none" w:color="auto"/>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14:textFill>
            <w14:solidFill>
              <w14:schemeClr w14:val="tx1"/>
            </w14:solidFill>
          </w14:textFill>
        </w:rPr>
        <w:t>（5）环评要求建设单位严格执行达标排放和总量控制制度。</w:t>
      </w:r>
      <w:bookmarkEnd w:id="674"/>
      <w:bookmarkEnd w:id="675"/>
      <w:bookmarkEnd w:id="676"/>
      <w:bookmarkEnd w:id="677"/>
      <w:bookmarkEnd w:id="678"/>
      <w:bookmarkEnd w:id="679"/>
      <w:bookmarkEnd w:id="680"/>
    </w:p>
    <w:p w14:paraId="5E4886D2">
      <w:pPr>
        <w:spacing w:line="240" w:lineRule="auto"/>
        <w:ind w:firstLine="0" w:firstLineChars="0"/>
        <w:jc w:val="center"/>
        <w:rPr>
          <w:rStyle w:val="66"/>
          <w:u w:val="none" w:color="auto"/>
        </w:rPr>
      </w:pPr>
      <w:r>
        <w:rPr>
          <w:u w:val="none" w:color="auto"/>
        </w:rPr>
        <w:drawing>
          <wp:anchor distT="0" distB="0" distL="114300" distR="114300" simplePos="0" relativeHeight="251662336" behindDoc="0" locked="0" layoutInCell="1" allowOverlap="1">
            <wp:simplePos x="0" y="0"/>
            <wp:positionH relativeFrom="column">
              <wp:posOffset>6816725</wp:posOffset>
            </wp:positionH>
            <wp:positionV relativeFrom="paragraph">
              <wp:posOffset>170180</wp:posOffset>
            </wp:positionV>
            <wp:extent cx="739140" cy="650875"/>
            <wp:effectExtent l="0" t="0" r="3810" b="15875"/>
            <wp:wrapNone/>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739140" cy="650875"/>
                    </a:xfrm>
                    <a:prstGeom prst="rect">
                      <a:avLst/>
                    </a:prstGeom>
                  </pic:spPr>
                </pic:pic>
              </a:graphicData>
            </a:graphic>
          </wp:anchor>
        </w:drawing>
      </w:r>
      <w:r>
        <w:rPr>
          <w:rFonts w:hint="eastAsia" w:ascii="Times New Roman" w:hAnsi="Times New Roman" w:eastAsia="宋体" w:cs="Times New Roman"/>
          <w:color w:val="auto"/>
          <w:sz w:val="24"/>
          <w:u w:val="none" w:color="auto"/>
          <w:lang w:eastAsia="zh-CN"/>
        </w:rPr>
        <w:drawing>
          <wp:inline distT="0" distB="0" distL="114300" distR="114300">
            <wp:extent cx="6614160" cy="4980305"/>
            <wp:effectExtent l="0" t="0" r="15240" b="10795"/>
            <wp:docPr id="92" name="图片 39" descr="附图1 项目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9" descr="附图1 项目地理位置图"/>
                    <pic:cNvPicPr>
                      <a:picLocks noChangeAspect="1"/>
                    </pic:cNvPicPr>
                  </pic:nvPicPr>
                  <pic:blipFill>
                    <a:blip r:embed="rId51"/>
                    <a:stretch>
                      <a:fillRect/>
                    </a:stretch>
                  </pic:blipFill>
                  <pic:spPr>
                    <a:xfrm>
                      <a:off x="0" y="0"/>
                      <a:ext cx="6614160" cy="4980305"/>
                    </a:xfrm>
                    <a:prstGeom prst="rect">
                      <a:avLst/>
                    </a:prstGeom>
                    <a:noFill/>
                    <a:ln>
                      <a:noFill/>
                    </a:ln>
                  </pic:spPr>
                </pic:pic>
              </a:graphicData>
            </a:graphic>
          </wp:inline>
        </w:drawing>
      </w:r>
    </w:p>
    <w:p w14:paraId="2193E1B1">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01" w:name="_Toc3122"/>
      <w:bookmarkStart w:id="702" w:name="_Toc1342"/>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附图1  地理位置图</w:t>
      </w:r>
      <w:bookmarkEnd w:id="701"/>
      <w:bookmarkEnd w:id="702"/>
    </w:p>
    <w:p w14:paraId="7D40AC2E">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u w:val="none" w:color="auto"/>
        </w:rPr>
        <mc:AlternateContent>
          <mc:Choice Requires="wps">
            <w:drawing>
              <wp:anchor distT="0" distB="0" distL="114300" distR="114300" simplePos="0" relativeHeight="251659264" behindDoc="0" locked="0" layoutInCell="1" allowOverlap="1">
                <wp:simplePos x="0" y="0"/>
                <wp:positionH relativeFrom="column">
                  <wp:posOffset>3858895</wp:posOffset>
                </wp:positionH>
                <wp:positionV relativeFrom="paragraph">
                  <wp:posOffset>944245</wp:posOffset>
                </wp:positionV>
                <wp:extent cx="1574800" cy="508635"/>
                <wp:effectExtent l="12700" t="12700" r="374650" b="735965"/>
                <wp:wrapNone/>
                <wp:docPr id="1355" name="矩形标注 1355"/>
                <wp:cNvGraphicFramePr/>
                <a:graphic xmlns:a="http://schemas.openxmlformats.org/drawingml/2006/main">
                  <a:graphicData uri="http://schemas.microsoft.com/office/word/2010/wordprocessingShape">
                    <wps:wsp>
                      <wps:cNvSpPr/>
                      <wps:spPr>
                        <a:xfrm>
                          <a:off x="0" y="0"/>
                          <a:ext cx="1574800" cy="508635"/>
                        </a:xfrm>
                        <a:prstGeom prst="wedgeRectCallout">
                          <a:avLst>
                            <a:gd name="adj1" fmla="val 72741"/>
                            <a:gd name="adj2" fmla="val 188951"/>
                          </a:avLst>
                        </a:prstGeom>
                      </wps:spPr>
                      <wps:style>
                        <a:lnRef idx="2">
                          <a:schemeClr val="dk1"/>
                        </a:lnRef>
                        <a:fillRef idx="1">
                          <a:schemeClr val="lt1"/>
                        </a:fillRef>
                        <a:effectRef idx="0">
                          <a:schemeClr val="dk1"/>
                        </a:effectRef>
                        <a:fontRef idx="minor">
                          <a:schemeClr val="dk1"/>
                        </a:fontRef>
                      </wps:style>
                      <wps:txbx>
                        <w:txbxContent>
                          <w:p w14:paraId="6A8B1287">
                            <w:pPr>
                              <w:spacing w:line="240" w:lineRule="auto"/>
                              <w:ind w:firstLine="0" w:firstLineChars="0"/>
                              <w:jc w:val="center"/>
                            </w:pPr>
                            <w:r>
                              <w:rPr>
                                <w:rFonts w:hint="eastAsia"/>
                                <w:sz w:val="28"/>
                                <w:szCs w:val="28"/>
                              </w:rPr>
                              <w:t>项目地理位置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3.85pt;margin-top:74.35pt;height:40.05pt;width:124pt;z-index:251659264;v-text-anchor:middle;mso-width-relative:page;mso-height-relative:page;" fillcolor="#FFFFFF [3201]" filled="t" stroked="t" coordsize="21600,21600" o:gfxdata="UEsDBAoAAAAAAIdO4kAAAAAAAAAAAAAAAAAEAAAAZHJzL1BLAwQUAAAACACHTuJABZ7dM9gAAAAL&#10;AQAADwAAAGRycy9kb3ducmV2LnhtbE2PwU7DMBBE70j8g7VI3KjdqGmtEKcSCHpCAgIHjk5skgh7&#10;HcWuW/6e5QS3Wc3T7Ey9P3vHsl3iFFDBeiWAWeyDmXBQ8P72eCOBxaTRaBfQKvi2EfbN5UWtKxNO&#10;+GpzmwZGIRgrrWBMaa44j/1ovY6rMFsk7zMsXic6l4GbRZ8o3DteCLHlXk9IH0Y92/vR9l/t0SvQ&#10;7YGHfHfIL+g25VPf5Yf88azU9dVa3AJL9pz+YPitT9WhoU5dOKKJzCnYit2OUDI2kgQRsixJdAqK&#10;QkrgTc3/b2h+AFBLAwQUAAAACACHTuJAcUt1LaQCAABSBQAADgAAAGRycy9lMm9Eb2MueG1srVTN&#10;btNAEL4j8Q6rvRPbadykUZ0qShSEFNGKgjhv1ru20f6xu4lTXoDHAHGCM2ceh/IazK7dNi099EAO&#10;zoxn/M183+zs6dleCrRj1jVaFTgbpBgxRXXZqKrA796uXkwwcp6okgitWIGvmMNns+fPTlszZUNd&#10;a1EyiwBEuWlrClx7b6ZJ4mjNJHEDbZiCINdWEg+urZLSkhbQpUiGaXqctNqWxmrKnIO3yy6Ie0T7&#10;FEDNeUPZUtOtZMp3qJYJ4oGSqxvj8Cx2yzmj/pxzxzwSBQamPj6hCNib8Exmp2RaWWLqhvYtkKe0&#10;8ICTJI2CordQS+IJ2trmHyjZUKud5n5AtUw6IlERYJGlD7S5rIlhkQtI7cyt6O7/wdLXuwuLmhJO&#10;wlGeY6SIhJn/+fLj969v118/X//8jmIAdGqNm0L6pbmwvefADKT33MrwD3TQPmp7dast23tE4WWW&#10;j0eTFGSnEMvTyfFRHsRP7r421vmXTEsUjAK3rKzYGxjgggihtz7KS3Zr56POZd8qKT9kGHEpYGw7&#10;ItB4OB5l/VgPcoaHOdlkcpLHJCjfQ4J100DAd1o05aoRIjq22iyERYBf4FX89b3fSxMKtQUe5qNI&#10;k8BucDiTwFga0NepCiMiKlg66m1kc+9rd1gkjb/HioQml8TVXTMRoU8TCuQMQ+rGEiy/3+z7WW10&#10;eQWTtrpbAWfoqgGoNXH+glgQD0YDt4I/hwcXGojo3sKo1vbTY+9DPhxFiGLUwg4ByY9bYhlG4pWC&#10;Q3qSjUZh6aIzysdDcOxhZHMYUVu50CAwjBO6i2bI9+LG5FbL93B5zENVCBFFoXYnZ+8sfLfbcP1Q&#10;Np/HNFg0Q/xaXRoawMNAlZ5vveaNDycwCNWp0zuwavFg9tdC2OVDP2bdXYWz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AWe3TPYAAAACwEAAA8AAAAAAAAAAQAgAAAAIgAAAGRycy9kb3ducmV2Lnht&#10;bFBLAQIUABQAAAAIAIdO4kBxS3UtpAIAAFIFAAAOAAAAAAAAAAEAIAAAACcBAABkcnMvZTJvRG9j&#10;LnhtbFBLBQYAAAAABgAGAFkBAAA9BgAAAAA=&#10;" adj="26512,51613">
                <v:fill on="t" focussize="0,0"/>
                <v:stroke weight="2pt" color="#000000 [3200]" joinstyle="round"/>
                <v:imagedata o:title=""/>
                <o:lock v:ext="edit" aspectratio="f"/>
                <v:textbox>
                  <w:txbxContent>
                    <w:p w14:paraId="6A8B1287">
                      <w:pPr>
                        <w:spacing w:line="240" w:lineRule="auto"/>
                        <w:ind w:firstLine="0" w:firstLineChars="0"/>
                        <w:jc w:val="center"/>
                      </w:pPr>
                      <w:r>
                        <w:rPr>
                          <w:rFonts w:hint="eastAsia"/>
                          <w:sz w:val="28"/>
                          <w:szCs w:val="28"/>
                        </w:rPr>
                        <w:t>项目地理位置</w:t>
                      </w:r>
                    </w:p>
                  </w:txbxContent>
                </v:textbox>
              </v:shape>
            </w:pict>
          </mc:Fallback>
        </mc:AlternateContent>
      </w:r>
      <w:r>
        <w:rPr>
          <w:u w:val="none" w:color="auto"/>
        </w:rPr>
        <mc:AlternateContent>
          <mc:Choice Requires="wps">
            <w:drawing>
              <wp:anchor distT="0" distB="0" distL="114300" distR="114300" simplePos="0" relativeHeight="251660288" behindDoc="0" locked="0" layoutInCell="1" allowOverlap="1">
                <wp:simplePos x="0" y="0"/>
                <wp:positionH relativeFrom="column">
                  <wp:posOffset>5765165</wp:posOffset>
                </wp:positionH>
                <wp:positionV relativeFrom="paragraph">
                  <wp:posOffset>2094865</wp:posOffset>
                </wp:positionV>
                <wp:extent cx="163830" cy="146685"/>
                <wp:effectExtent l="4445" t="4445" r="22225" b="20320"/>
                <wp:wrapNone/>
                <wp:docPr id="1356" name="五角星 1356"/>
                <wp:cNvGraphicFramePr/>
                <a:graphic xmlns:a="http://schemas.openxmlformats.org/drawingml/2006/main">
                  <a:graphicData uri="http://schemas.microsoft.com/office/word/2010/wordprocessingShape">
                    <wps:wsp>
                      <wps:cNvSpPr/>
                      <wps:spPr>
                        <a:xfrm>
                          <a:off x="0" y="0"/>
                          <a:ext cx="163830" cy="146685"/>
                        </a:xfrm>
                        <a:prstGeom prst="star5">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3.95pt;margin-top:164.95pt;height:11.55pt;width:12.9pt;z-index:251660288;v-text-anchor:middle;mso-width-relative:page;mso-height-relative:page;" fillcolor="#FF0000" filled="t" stroked="t" coordsize="163830,146685" o:gfxdata="UEsDBAoAAAAAAIdO4kAAAAAAAAAAAAAAAAAEAAAAZHJzL1BLAwQUAAAACACHTuJAfOFJ79oAAAAL&#10;AQAADwAAAGRycy9kb3ducmV2LnhtbE2PTU/DMAyG70j8h8hIXBBLtmorLU13QEJM2gFtTJyzxLSF&#10;xqmarBv/HnOCmz8evX5crS++FxOOsQukYT5TIJBscB01Gg5vz/cPIGIy5EwfCDV8Y4R1fX1VmdKF&#10;M+1w2qdGcAjF0mhoUxpKKaNt0Zs4CwMS7z7C6E3idmykG82Zw30vF0qtpDcd8YXWDPjUov3an7yG&#10;6XMT31d2e7Cbu1f1knZ5tsSt1rc3c/UIIuEl/cHwq8/qULPTMZzIRdFrKFReMKohWxRcMFFkWQ7i&#10;yJNlpkDWlfz/Q/0DUEsDBBQAAAAIAIdO4kDlvIYubQIAAOUEAAAOAAAAZHJzL2Uyb0RvYy54bWyt&#10;VM1uEzEQviPxDpbvdLPNT0PUTRU1CkKqaKWCODteO2vJf4ydbMpjIA7cOPIOPA9CPAZj77ZNSw89&#10;sAfvjGc8P5+/8enZ3miyExCUsxUtjwaUCMtdreymoh/er15NKQmR2ZppZ0VFb0SgZ/OXL05bPxPH&#10;rnG6FkAwiA2z1le0idHPiiLwRhgWjpwXFo3SgWERVdgUNbAWoxtdHA8Gk6J1UHtwXISAu8vOSPuI&#10;8JyATkrFxdLxrRE2dlFBaBaxpdAoH+g8Vyul4PFSyiAi0RXFTmNeMQnK67QW81M22wDzjeJ9Cew5&#10;JTzqyTBlMeldqCWLjGxB/RPKKA4uOBmPuDNF10hGBLsoB4+wuW6YF7kXhDr4O9DD/wvL3+2ugKga&#10;mTAcTyixzOCd//r59c+PL7+/fSd5F0FqfZih77W/gl4LKKaO9xJM+mMvZJ+BvbkDVuwj4bhZTobT&#10;IULO0VSOJpPpOAFf3B/2EOIb4QxJQkWRfzDOeLLdRYid761PShacVvVKaZ0V2KzPNZAdw0terQb4&#10;9eEfuGlL2ooOy5MxFsKQuRIZg6Lx2H2wG0qY3uBI8Ag59YPD4TBHyvB0jlTjkoWmqyVH6EvRFhtO&#10;KHa4JWnt6hsEH1zHyuD5SuH5CxbiFQOkISKGgxovcZHaYfGulyhpHHx+aj/5IzvQSkmLtMbOPm0Z&#10;CEr0W4u8eV2ORmkOsjIanxyjAoeW9aHFbs25Q1BLfBI8z2Lyj/pWlODMR5znRcqKJmY55u4w7JXz&#10;2I0bvghcLBbZDbnvWbyw156n4OkSrVtso5MqX/Y9Oj1oyP7Ml35S03gd6tnr/nWa/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84Unv2gAAAAsBAAAPAAAAAAAAAAEAIAAAACIAAABkcnMvZG93bnJl&#10;di54bWxQSwECFAAUAAAACACHTuJA5byGLm0CAADlBAAADgAAAAAAAAABACAAAAApAQAAZHJzL2Uy&#10;b0RvYy54bWxQSwUGAAAAAAYABgBZAQAACAYAAAAA&#10;" path="m0,56028l62577,56028,81915,0,101252,56028,163829,56028,113203,90655,132541,146684,81915,112056,31288,146684,50626,90655xe">
                <v:path o:connectlocs="81915,0;0,56028;31288,146684;132541,146684;163829,56028" o:connectangles="247,164,82,82,0"/>
                <v:fill on="t" focussize="0,0"/>
                <v:stroke weight="0.25pt" color="#000000 [3213]" joinstyle="round"/>
                <v:imagedata o:title=""/>
                <o:lock v:ext="edit" aspectratio="f"/>
              </v:shape>
            </w:pict>
          </mc:Fallback>
        </mc:AlternateContent>
      </w:r>
      <w:r>
        <w:rPr>
          <w:u w:val="none" w:color="auto"/>
        </w:rPr>
        <w:drawing>
          <wp:inline distT="0" distB="0" distL="0" distR="0">
            <wp:extent cx="8123555" cy="4861560"/>
            <wp:effectExtent l="19050" t="19050" r="29845" b="34290"/>
            <wp:docPr id="1358" name="图片 1358" descr="C:\Users\Administrator\Desktop\平江高新区规划环评报告 2024.3.5\图纸\图纸\35 伍市工业园 土地利用图-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图片 1358" descr="C:\Users\Administrator\Desktop\平江高新区规划环评报告 2024.3.5\图纸\图纸\35 伍市工业园 土地利用图-Model.jpg"/>
                    <pic:cNvPicPr>
                      <a:picLocks noChangeAspect="1" noChangeArrowheads="1"/>
                    </pic:cNvPicPr>
                  </pic:nvPicPr>
                  <pic:blipFill>
                    <a:blip r:embed="rId52" cstate="print">
                      <a:extLst>
                        <a:ext uri="{28A0092B-C50C-407E-A947-70E740481C1C}">
                          <a14:useLocalDpi xmlns:a14="http://schemas.microsoft.com/office/drawing/2010/main" val="0"/>
                        </a:ext>
                      </a:extLst>
                    </a:blip>
                    <a:srcRect l="3235" t="16635" r="3353" b="4357"/>
                    <a:stretch>
                      <a:fillRect/>
                    </a:stretch>
                  </pic:blipFill>
                  <pic:spPr>
                    <a:xfrm>
                      <a:off x="0" y="0"/>
                      <a:ext cx="8123555" cy="4861560"/>
                    </a:xfrm>
                    <a:prstGeom prst="rect">
                      <a:avLst/>
                    </a:prstGeom>
                    <a:noFill/>
                    <a:ln w="19050">
                      <a:solidFill>
                        <a:schemeClr val="tx1"/>
                      </a:solidFill>
                    </a:ln>
                  </pic:spPr>
                </pic:pic>
              </a:graphicData>
            </a:graphic>
          </wp:inline>
        </w:drawing>
      </w:r>
    </w:p>
    <w:p w14:paraId="3ED30847">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03" w:name="_Toc8583"/>
      <w:bookmarkStart w:id="704" w:name="_Toc23274"/>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附图2  项目与平江高新技术产业园土地利用规划关系图</w:t>
      </w:r>
      <w:bookmarkEnd w:id="703"/>
      <w:bookmarkEnd w:id="704"/>
    </w:p>
    <w:p w14:paraId="0E45A94C">
      <w:pPr>
        <w:outlineLvl w:val="9"/>
      </w:pPr>
      <w:r>
        <w:rPr>
          <w:u w:val="none" w:color="auto"/>
        </w:rPr>
        <mc:AlternateContent>
          <mc:Choice Requires="wps">
            <w:drawing>
              <wp:anchor distT="0" distB="0" distL="114300" distR="114300" simplePos="0" relativeHeight="251708416" behindDoc="0" locked="0" layoutInCell="1" allowOverlap="1">
                <wp:simplePos x="0" y="0"/>
                <wp:positionH relativeFrom="column">
                  <wp:posOffset>2496820</wp:posOffset>
                </wp:positionH>
                <wp:positionV relativeFrom="paragraph">
                  <wp:posOffset>1115695</wp:posOffset>
                </wp:positionV>
                <wp:extent cx="1574800" cy="508635"/>
                <wp:effectExtent l="12700" t="12700" r="279400" b="735965"/>
                <wp:wrapNone/>
                <wp:docPr id="107" name="矩形标注 107"/>
                <wp:cNvGraphicFramePr/>
                <a:graphic xmlns:a="http://schemas.openxmlformats.org/drawingml/2006/main">
                  <a:graphicData uri="http://schemas.microsoft.com/office/word/2010/wordprocessingShape">
                    <wps:wsp>
                      <wps:cNvSpPr/>
                      <wps:spPr>
                        <a:xfrm>
                          <a:off x="0" y="0"/>
                          <a:ext cx="1574800" cy="508635"/>
                        </a:xfrm>
                        <a:prstGeom prst="wedgeRectCallout">
                          <a:avLst>
                            <a:gd name="adj1" fmla="val 66088"/>
                            <a:gd name="adj2" fmla="val 190823"/>
                          </a:avLst>
                        </a:prstGeom>
                      </wps:spPr>
                      <wps:style>
                        <a:lnRef idx="2">
                          <a:schemeClr val="dk1"/>
                        </a:lnRef>
                        <a:fillRef idx="1">
                          <a:schemeClr val="lt1"/>
                        </a:fillRef>
                        <a:effectRef idx="0">
                          <a:schemeClr val="dk1"/>
                        </a:effectRef>
                        <a:fontRef idx="minor">
                          <a:schemeClr val="dk1"/>
                        </a:fontRef>
                      </wps:style>
                      <wps:txbx>
                        <w:txbxContent>
                          <w:p w14:paraId="178566D6">
                            <w:pPr>
                              <w:spacing w:line="240" w:lineRule="auto"/>
                              <w:ind w:firstLine="0" w:firstLineChars="0"/>
                              <w:jc w:val="center"/>
                            </w:pPr>
                            <w:r>
                              <w:rPr>
                                <w:rFonts w:hint="eastAsia"/>
                                <w:sz w:val="28"/>
                                <w:szCs w:val="28"/>
                              </w:rPr>
                              <w:t>项目地理位置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6.6pt;margin-top:87.85pt;height:40.05pt;width:124pt;z-index:251708416;v-text-anchor:middle;mso-width-relative:page;mso-height-relative:page;" fillcolor="#FFFFFF [3201]" filled="t" stroked="t" coordsize="21600,21600" o:gfxdata="UEsDBAoAAAAAAIdO4kAAAAAAAAAAAAAAAAAEAAAAZHJzL1BLAwQUAAAACACHTuJAL+/2cd0AAAAL&#10;AQAADwAAAGRycy9kb3ducmV2LnhtbE2PwU7DMAyG70i8Q2QkbixpS7dRmk4CBEJD29iYxDVrvLai&#10;SaomWwdPjzmxo/1/+v05n51My47Y+8ZZCdFIAENbOt3YSsL24/lmCswHZbVqnUUJ3+hhVlxe5CrT&#10;brBrPG5CxajE+kxJqEPoMs59WaNRfuQ6tJTtXW9UoLGvuO7VQOWm5bEQY25UY+lCrTp8rLH82hyM&#10;hLdP8fSzSrar+ev6fT+8PCwX6QKlvL6KxD2wgKfwD8OfPqlDQU47d7Das1ZCcpfEhFIwSSfAiBjf&#10;RrTZSYjTdAq8yPn5D8UvUEsDBBQAAAAIAIdO4kBceSxuowIAAFAFAAAOAAAAZHJzL2Uyb0RvYy54&#10;bWytVM1uEzEQviPxDpbvZDdpkqZRN1WUKAgpohUFcXa89u4i/2E72ZQX4DFAnODMmcehvAZjr9um&#10;pYce2IN3xjP+ZuYbj0/P9lKgHbOu0arA/V6OEVNUl42qCvzu7erFBCPniSqJ0IoV+Io5fDZ7/uy0&#10;NVM20LUWJbMIQJSbtqbAtfdmmmWO1kwS19OGKTBybSXxoNoqKy1pAV2KbJDn46zVtjRWU+Yc7C47&#10;I06I9imAmvOGsqWmW8mU71AtE8RDSa5ujMOzmC3njPpzzh3zSBQYKvVxhSAgb8KazU7JtLLE1A1N&#10;KZCnpPCgJkkaBUFvoZbEE7S1zT9QsqFWO819j2qZdYVERqCKfv6Am8uaGBZrAaqduSXd/T9Y+np3&#10;YVFTwk3IjzFSRELL/3z58fvXt+uvn69/fkdhH1hqjZuC86W5sElzIIaS99zK8Idi0D4ye3XLLNt7&#10;RGGzPzoeTnIgnYJtlE/GR6MAmt2dNtb5l0xLFIQCt6ys2Bto34IIobc+kkt2a+cjy2XKlJQf+hhx&#10;KaBpOyLQeJxPJqmpBz6DQ5/+ST4ZHKXwCRISuUkg4DstmnLVCBEVW20WwiLAL/AqfunwPTehUFvg&#10;wWgYyyQwGRxuJFQsDbDrVIURERWMHPU2VnPvtDsMksfvsSAhySVxdZdMREhuQgGdoUldW4Lk95t9&#10;6tVGl1fQZ6u7AXCGrhqAWhPnL4gF8qA18Cb4c1i40FCIThJGtbafHtsP/nARwYpRCxMERX7cEssw&#10;Eq8UXNGT/nAYRi4qw9HxABR7aNkcWtRWLjQQDO2E7KIY/L24EbnV8j08HfMQFUxEUYjd0ZmUhe8m&#10;Gx4fyubz6AZjZohfq0tDA3hoqNLzrde88eEGBqI6dpICgxYvZnoUwiQf6tHr7iGc/Q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v7/Zx3QAAAAsBAAAPAAAAAAAAAAEAIAAAACIAAABkcnMvZG93bnJl&#10;di54bWxQSwECFAAUAAAACACHTuJAXHksbqMCAABQBQAADgAAAAAAAAABACAAAAAsAQAAZHJzL2Uy&#10;b0RvYy54bWxQSwUGAAAAAAYABgBZAQAAQQYAAAAA&#10;" adj="25075,52018">
                <v:fill on="t" focussize="0,0"/>
                <v:stroke weight="2pt" color="#000000 [3200]" joinstyle="round"/>
                <v:imagedata o:title=""/>
                <o:lock v:ext="edit" aspectratio="f"/>
                <v:textbox>
                  <w:txbxContent>
                    <w:p w14:paraId="178566D6">
                      <w:pPr>
                        <w:spacing w:line="240" w:lineRule="auto"/>
                        <w:ind w:firstLine="0" w:firstLineChars="0"/>
                        <w:jc w:val="center"/>
                      </w:pPr>
                      <w:r>
                        <w:rPr>
                          <w:rFonts w:hint="eastAsia"/>
                          <w:sz w:val="28"/>
                          <w:szCs w:val="28"/>
                        </w:rPr>
                        <w:t>项目地理位置</w:t>
                      </w:r>
                    </w:p>
                  </w:txbxContent>
                </v:textbox>
              </v:shape>
            </w:pict>
          </mc:Fallback>
        </mc:AlternateContent>
      </w:r>
      <w:r>
        <w:drawing>
          <wp:inline distT="0" distB="0" distL="114300" distR="114300">
            <wp:extent cx="8851265" cy="4342765"/>
            <wp:effectExtent l="0" t="0" r="6985" b="635"/>
            <wp:docPr id="1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6"/>
                    <pic:cNvPicPr>
                      <a:picLocks noChangeAspect="1"/>
                    </pic:cNvPicPr>
                  </pic:nvPicPr>
                  <pic:blipFill>
                    <a:blip r:embed="rId53"/>
                    <a:stretch>
                      <a:fillRect/>
                    </a:stretch>
                  </pic:blipFill>
                  <pic:spPr>
                    <a:xfrm>
                      <a:off x="0" y="0"/>
                      <a:ext cx="8851265" cy="4342765"/>
                    </a:xfrm>
                    <a:prstGeom prst="rect">
                      <a:avLst/>
                    </a:prstGeom>
                    <a:noFill/>
                    <a:ln>
                      <a:noFill/>
                    </a:ln>
                  </pic:spPr>
                </pic:pic>
              </a:graphicData>
            </a:graphic>
          </wp:inline>
        </w:drawing>
      </w:r>
    </w:p>
    <w:p w14:paraId="7456F71D">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05" w:name="_Toc30024"/>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附图3  湖南省生态环境分区管控智慧平台查询结果</w:t>
      </w:r>
      <w:bookmarkEnd w:id="705"/>
    </w:p>
    <w:p w14:paraId="18960608">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cs="Times New Roman" w:eastAsiaTheme="minorEastAsia"/>
          <w:color w:val="000000" w:themeColor="text1"/>
          <w:u w:val="none" w:color="auto"/>
          <w:lang w:val="en-US" w:eastAsia="zh-CN"/>
          <w14:textFill>
            <w14:solidFill>
              <w14:schemeClr w14:val="tx1"/>
            </w14:solidFill>
          </w14:textFill>
        </w:rPr>
      </w:pPr>
      <w:r>
        <w:rPr>
          <w:u w:val="none" w:color="auto"/>
        </w:rPr>
        <mc:AlternateContent>
          <mc:Choice Requires="wps">
            <w:drawing>
              <wp:anchor distT="0" distB="0" distL="114300" distR="114300" simplePos="0" relativeHeight="251659264" behindDoc="0" locked="0" layoutInCell="1" allowOverlap="1">
                <wp:simplePos x="0" y="0"/>
                <wp:positionH relativeFrom="column">
                  <wp:posOffset>1010920</wp:posOffset>
                </wp:positionH>
                <wp:positionV relativeFrom="paragraph">
                  <wp:posOffset>77470</wp:posOffset>
                </wp:positionV>
                <wp:extent cx="1574800" cy="508635"/>
                <wp:effectExtent l="12700" t="12700" r="355600" b="50165"/>
                <wp:wrapNone/>
                <wp:docPr id="12" name="矩形标注 12"/>
                <wp:cNvGraphicFramePr/>
                <a:graphic xmlns:a="http://schemas.openxmlformats.org/drawingml/2006/main">
                  <a:graphicData uri="http://schemas.microsoft.com/office/word/2010/wordprocessingShape">
                    <wps:wsp>
                      <wps:cNvSpPr/>
                      <wps:spPr>
                        <a:xfrm>
                          <a:off x="0" y="0"/>
                          <a:ext cx="1574800" cy="508635"/>
                        </a:xfrm>
                        <a:prstGeom prst="wedgeRectCallout">
                          <a:avLst>
                            <a:gd name="adj1" fmla="val 70927"/>
                            <a:gd name="adj2" fmla="val 55992"/>
                          </a:avLst>
                        </a:prstGeom>
                        <a:ln>
                          <a:solidFill>
                            <a:srgbClr val="C00000"/>
                          </a:solidFill>
                        </a:ln>
                      </wps:spPr>
                      <wps:style>
                        <a:lnRef idx="2">
                          <a:schemeClr val="dk1"/>
                        </a:lnRef>
                        <a:fillRef idx="1">
                          <a:schemeClr val="lt1"/>
                        </a:fillRef>
                        <a:effectRef idx="0">
                          <a:schemeClr val="dk1"/>
                        </a:effectRef>
                        <a:fontRef idx="minor">
                          <a:schemeClr val="dk1"/>
                        </a:fontRef>
                      </wps:style>
                      <wps:txbx>
                        <w:txbxContent>
                          <w:p w14:paraId="5912075D">
                            <w:pPr>
                              <w:spacing w:line="240" w:lineRule="auto"/>
                              <w:ind w:firstLine="0" w:firstLineChars="0"/>
                              <w:jc w:val="center"/>
                              <w:rPr>
                                <w:rFonts w:hint="default" w:eastAsiaTheme="minorEastAsia"/>
                                <w:lang w:val="en-US" w:eastAsia="zh-CN"/>
                              </w:rPr>
                            </w:pPr>
                            <w:r>
                              <w:rPr>
                                <w:rFonts w:hint="eastAsia"/>
                                <w:sz w:val="28"/>
                                <w:szCs w:val="28"/>
                                <w:lang w:val="en-US" w:eastAsia="zh-CN"/>
                              </w:rPr>
                              <w:t>大气评价范围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9.6pt;margin-top:6.1pt;height:40.05pt;width:124pt;z-index:251659264;v-text-anchor:middle;mso-width-relative:page;mso-height-relative:page;" fillcolor="#FFFFFF [3201]" filled="t" stroked="t" coordsize="21600,21600" o:gfxdata="UEsDBAoAAAAAAIdO4kAAAAAAAAAAAAAAAAAEAAAAZHJzL1BLAwQUAAAACACHTuJA1yQOQ9cAAAAJ&#10;AQAADwAAAGRycy9kb3ducmV2LnhtbE1PTU/CQBC9m/gfNmPCxcguFQVqtxwwJZ4woobr0h3ahu5s&#10;7S4U/73jSU/zXublfWTLi2vFGfvQeNIwGSsQSKW3DVUaPt6LuzmIEA1Z03pCDd8YYJlfX2UmtX6g&#10;NzxvYyXYhEJqNNQxdqmUoazRmTD2HRL/Dr53JjLtK2l7M7C5a2Wi1KN0piFOqE2HqxrL4/bkOHf9&#10;eiwOw9fgbovPzXT97Ge7F6/16GainkBEvMQ/MfzW5+qQc6e9P5ENomX+sEhYyiDhy4KpmjHYa1gk&#10;9yDzTP5fkP8AUEsDBBQAAAAIAIdO4kCl1lbrowIAAE0FAAAOAAAAZHJzL2Uyb0RvYy54bWytVM1u&#10;EzEQviPxDpbvdDch2zRRN1WUKAipohUFcXa89q6R/7CdbMoL8BhFnODMmcehvAZj77ZNSw89sIfd&#10;GXv2m/m+8fj4ZKck2jLnhdElHhzkGDFNTSV0XeL371YvjjDygeiKSKNZiS+Zxyez58+OWztlQ9MY&#10;WTGHAET7aWtL3IRgp1nmacMU8QfGMg2b3DhFAriuzipHWkBXMhvm+WHWGldZZyjzHlaX3SbuEd1T&#10;AA3ngrKloRvFdOhQHZMkACXfCOvxLFXLOaPhjHPPApIlBqYhvSEJ2Ov4zmbHZFo7YhtB+xLIU0p4&#10;wEkRoSHpLdSSBII2TvwDpQR1xhseDqhRWUckKQIsBvkDbS4aYlniAlJ7eyu6/3+w9M323CFRwUkY&#10;YqSJgo7/ufrx+9e3669frn9+R7AMGrXWTyH0wp673vNgRsI77lT8AhW0S7pe3urKdgFRWBwU49FR&#10;DpJT2Cvyo8OXRQTN7v62zodXzCgUjRK3rKrZW2jegkhpNiFJS7anPiSNq75QUn0cYMSVhJZtiUTj&#10;fDIc9y3diwFidzFFMZkkSpC9RwTrJn+E90aKaiWkTI6r1wvpEMCXeJWevvR7YVKjtsTDYpRYEhgL&#10;DscRCCsL0npdY0RkDfNGg0tk7v3t95Ms8vg8liQWuSS+6YpJCH2Y1KBm7FHXlWiF3XrXt2ptqkto&#10;sjPd6feWrgRAnRIfzokD7aAzcCGEM3hxaYCI6S2MGuM+P7Ye4+EUwi5GLYwPkPy0IY5hJF9rOJ+T&#10;wWgU5y05o2I8BMft76z3d/RGLQwIDN2E6pIZ44O8Mbkz6gPcG/OYFbaIppC7k7N3FqEba7h5KJvP&#10;UxjMmCXhVF9YGsFjQ7WZb4LhIsQDGIXq1OkdmLJ0LvsbIY7xvp+i7m7B2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XJA5D1wAAAAkBAAAPAAAAAAAAAAEAIAAAACIAAABkcnMvZG93bnJldi54bWxQ&#10;SwECFAAUAAAACACHTuJApdZW66MCAABNBQAADgAAAAAAAAABACAAAAAmAQAAZHJzL2Uyb0RvYy54&#10;bWxQSwUGAAAAAAYABgBZAQAAOwYAAAAA&#10;" adj="26120,22894">
                <v:fill on="t" focussize="0,0"/>
                <v:stroke weight="2pt" color="#C00000 [3200]" joinstyle="round"/>
                <v:imagedata o:title=""/>
                <o:lock v:ext="edit" aspectratio="f"/>
                <v:textbox>
                  <w:txbxContent>
                    <w:p w14:paraId="5912075D">
                      <w:pPr>
                        <w:spacing w:line="240" w:lineRule="auto"/>
                        <w:ind w:firstLine="0" w:firstLineChars="0"/>
                        <w:jc w:val="center"/>
                        <w:rPr>
                          <w:rFonts w:hint="default" w:eastAsiaTheme="minorEastAsia"/>
                          <w:lang w:val="en-US" w:eastAsia="zh-CN"/>
                        </w:rPr>
                      </w:pPr>
                      <w:r>
                        <w:rPr>
                          <w:rFonts w:hint="eastAsia"/>
                          <w:sz w:val="28"/>
                          <w:szCs w:val="28"/>
                          <w:lang w:val="en-US" w:eastAsia="zh-CN"/>
                        </w:rPr>
                        <w:t>大气评价范围</w:t>
                      </w:r>
                    </w:p>
                  </w:txbxContent>
                </v:textbox>
              </v:shape>
            </w:pict>
          </mc:Fallback>
        </mc:AlternateContent>
      </w:r>
      <w:r>
        <w:rPr>
          <w:rFonts w:hint="eastAsia" w:ascii="Times New Roman" w:hAnsi="Times New Roman" w:cs="Times New Roman" w:eastAsiaTheme="minorEastAsia"/>
          <w:color w:val="000000" w:themeColor="text1"/>
          <w:u w:val="none" w:color="auto"/>
          <w:lang w:val="en-US" w:eastAsia="zh-CN"/>
          <w14:textFill>
            <w14:solidFill>
              <w14:schemeClr w14:val="tx1"/>
            </w14:solidFill>
          </w14:textFill>
        </w:rPr>
        <w:drawing>
          <wp:anchor distT="0" distB="0" distL="114300" distR="114300" simplePos="0" relativeHeight="251663360" behindDoc="0" locked="0" layoutInCell="1" allowOverlap="1">
            <wp:simplePos x="0" y="0"/>
            <wp:positionH relativeFrom="column">
              <wp:posOffset>231140</wp:posOffset>
            </wp:positionH>
            <wp:positionV relativeFrom="paragraph">
              <wp:posOffset>714375</wp:posOffset>
            </wp:positionV>
            <wp:extent cx="2353945" cy="4162425"/>
            <wp:effectExtent l="0" t="0" r="8255" b="9525"/>
            <wp:wrapNone/>
            <wp:docPr id="11" name="图片 11" descr="6e68ea75-9180-46aa-833f-2ca1abd256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e68ea75-9180-46aa-833f-2ca1abd2565a"/>
                    <pic:cNvPicPr>
                      <a:picLocks noChangeAspect="1"/>
                    </pic:cNvPicPr>
                  </pic:nvPicPr>
                  <pic:blipFill>
                    <a:blip r:embed="rId54"/>
                    <a:stretch>
                      <a:fillRect/>
                    </a:stretch>
                  </pic:blipFill>
                  <pic:spPr>
                    <a:xfrm>
                      <a:off x="0" y="0"/>
                      <a:ext cx="2353945" cy="4162425"/>
                    </a:xfrm>
                    <a:prstGeom prst="rect">
                      <a:avLst/>
                    </a:prstGeom>
                  </pic:spPr>
                </pic:pic>
              </a:graphicData>
            </a:graphic>
          </wp:anchor>
        </w:drawing>
      </w:r>
      <w:r>
        <w:rPr>
          <w:u w:val="none" w:color="auto"/>
        </w:rPr>
        <w:drawing>
          <wp:anchor distT="0" distB="0" distL="114300" distR="114300" simplePos="0" relativeHeight="251662336" behindDoc="0" locked="0" layoutInCell="1" allowOverlap="1">
            <wp:simplePos x="0" y="0"/>
            <wp:positionH relativeFrom="column">
              <wp:posOffset>7940675</wp:posOffset>
            </wp:positionH>
            <wp:positionV relativeFrom="paragraph">
              <wp:posOffset>17780</wp:posOffset>
            </wp:positionV>
            <wp:extent cx="691515" cy="608965"/>
            <wp:effectExtent l="0" t="0" r="13335" b="63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691515" cy="608965"/>
                    </a:xfrm>
                    <a:prstGeom prst="rect">
                      <a:avLst/>
                    </a:prstGeom>
                  </pic:spPr>
                </pic:pic>
              </a:graphicData>
            </a:graphic>
          </wp:anchor>
        </w:drawing>
      </w:r>
      <w:r>
        <w:rPr>
          <w:u w:val="none" w:color="auto"/>
        </w:rPr>
        <w:drawing>
          <wp:inline distT="0" distB="0" distL="114300" distR="114300">
            <wp:extent cx="8416290" cy="4864735"/>
            <wp:effectExtent l="19050" t="19050" r="22860" b="31115"/>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55"/>
                    <a:stretch>
                      <a:fillRect/>
                    </a:stretch>
                  </pic:blipFill>
                  <pic:spPr>
                    <a:xfrm>
                      <a:off x="0" y="0"/>
                      <a:ext cx="8416290" cy="4864735"/>
                    </a:xfrm>
                    <a:prstGeom prst="rect">
                      <a:avLst/>
                    </a:prstGeom>
                    <a:noFill/>
                    <a:ln w="19050">
                      <a:solidFill>
                        <a:schemeClr val="tx1"/>
                      </a:solidFill>
                    </a:ln>
                  </pic:spPr>
                </pic:pic>
              </a:graphicData>
            </a:graphic>
          </wp:inline>
        </w:drawing>
      </w:r>
    </w:p>
    <w:p w14:paraId="413DD407">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06" w:name="_Toc26313"/>
      <w:bookmarkStart w:id="707" w:name="_Toc1808"/>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附图4  大气评价范围及敏感点分布图</w:t>
      </w:r>
      <w:bookmarkEnd w:id="706"/>
      <w:bookmarkEnd w:id="707"/>
    </w:p>
    <w:p w14:paraId="298D4AEC">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39C73D1A">
      <w:pPr>
        <w:spacing w:line="240" w:lineRule="auto"/>
        <w:ind w:firstLine="0" w:firstLineChars="0"/>
        <w:jc w:val="center"/>
        <w:rPr>
          <w:sz w:val="28"/>
          <w:szCs w:val="28"/>
          <w:u w:val="none" w:color="auto"/>
        </w:rPr>
      </w:pPr>
      <w:r>
        <w:rPr>
          <w:u w:val="none" w:color="auto"/>
        </w:rPr>
        <w:drawing>
          <wp:anchor distT="0" distB="0" distL="114300" distR="114300" simplePos="0" relativeHeight="251664384" behindDoc="0" locked="0" layoutInCell="1" allowOverlap="1">
            <wp:simplePos x="0" y="0"/>
            <wp:positionH relativeFrom="column">
              <wp:posOffset>7062470</wp:posOffset>
            </wp:positionH>
            <wp:positionV relativeFrom="paragraph">
              <wp:posOffset>23495</wp:posOffset>
            </wp:positionV>
            <wp:extent cx="789305" cy="694690"/>
            <wp:effectExtent l="0" t="0" r="10795" b="10160"/>
            <wp:wrapNone/>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789305" cy="694690"/>
                    </a:xfrm>
                    <a:prstGeom prst="rect">
                      <a:avLst/>
                    </a:prstGeom>
                  </pic:spPr>
                </pic:pic>
              </a:graphicData>
            </a:graphic>
          </wp:anchor>
        </w:drawing>
      </w:r>
      <w:r>
        <w:rPr>
          <w:u w:val="none" w:color="auto"/>
        </w:rPr>
        <mc:AlternateContent>
          <mc:Choice Requires="wps">
            <w:drawing>
              <wp:anchor distT="0" distB="0" distL="114300" distR="114300" simplePos="0" relativeHeight="251660288" behindDoc="0" locked="0" layoutInCell="1" allowOverlap="1">
                <wp:simplePos x="0" y="0"/>
                <wp:positionH relativeFrom="column">
                  <wp:posOffset>5631815</wp:posOffset>
                </wp:positionH>
                <wp:positionV relativeFrom="paragraph">
                  <wp:posOffset>2666365</wp:posOffset>
                </wp:positionV>
                <wp:extent cx="163830" cy="146685"/>
                <wp:effectExtent l="4445" t="4445" r="22225" b="20320"/>
                <wp:wrapNone/>
                <wp:docPr id="14" name="五角星 14"/>
                <wp:cNvGraphicFramePr/>
                <a:graphic xmlns:a="http://schemas.openxmlformats.org/drawingml/2006/main">
                  <a:graphicData uri="http://schemas.microsoft.com/office/word/2010/wordprocessingShape">
                    <wps:wsp>
                      <wps:cNvSpPr/>
                      <wps:spPr>
                        <a:xfrm>
                          <a:off x="0" y="0"/>
                          <a:ext cx="163830" cy="146685"/>
                        </a:xfrm>
                        <a:prstGeom prst="star5">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3.45pt;margin-top:209.95pt;height:11.55pt;width:12.9pt;z-index:251660288;v-text-anchor:middle;mso-width-relative:page;mso-height-relative:page;" fillcolor="#FF0000" filled="t" stroked="t" coordsize="163830,146685" o:gfxdata="UEsDBAoAAAAAAIdO4kAAAAAAAAAAAAAAAAAEAAAAZHJzL1BLAwQUAAAACACHTuJA7ej199sAAAAL&#10;AQAADwAAAGRycy9kb3ducmV2LnhtbE2PTU/DMAyG70j8h8hIXBBLuo2uLU13QEJM2gFtTJyz1LSF&#10;xqmarBv/HnOCmz8evX5cri+uFxOOofOkIZkpEEjW1x01Gg5vz/cZiBAN1ab3hBq+McC6ur4qTVH7&#10;M+1w2sdGcAiFwmhoYxwKKYNt0Zkw8wMS7z786EzkdmxkPZozh7tezpVKpTMd8YXWDPjUov3an5yG&#10;6XMT3lO7PdjN3at6ibvV4gG3Wt/eJOoRRMRL/IPhV5/VoWKnoz9RHUSvIcvSnFENyyTngok8ma9A&#10;HHmyXCiQVSn//1D9AFBLAwQUAAAACACHTuJA5j+8XmwCAADhBAAADgAAAGRycy9lMm9Eb2MueG1s&#10;rVTNbhMxEL4j8Q6W73SzbZKWKJsqahSEVNFKBXF2vN7sSv7DdrIpj4E4cOPIO/A8CPEYfPZum7T0&#10;0AM5bGY8s9/MfP5mp+c7JclWON8YXdD8aECJ0NyUjV4X9MP75aszSnxgumTSaFHQW+Hp+ezli2lr&#10;J+LY1EaWwhGAaD9pbUHrEOwkyzyvhWL+yFihEayMUyzAdeusdKwFupLZ8WAwzlrjSusMF97jdNEF&#10;aY/ongNoqqrhYmH4RgkdOlQnJAsYydeN9XSWuq0qwcNVVXkRiCwoJg3piSKwV/GZzaZssnbM1g3v&#10;W2DPaeHRTIo1GkXvoRYsMLJxzT9QquHOeFOFI25U1g2SGMEU+eARNzc1syLNAqq9vSfd/z9Y/m57&#10;7UhTQglDSjRTuPFfP7/++fHl97fvBGcgqLV+grwbe+16z8OM0+4qp+I/5iC7ROrtPaliFwjHYT4+&#10;OTsB3RyhfDgen40iZrZ/2Tof3gijSDQKCu25UeKSbS996HLvcmIxb2RTLhspk+PWqwvpyJbhgpfL&#10;AX49/IM0qUlb0JP8dIRGGFRbQS0wlcXkXq8pYXKNdeDBpdIPXvaHNWKFp2vEHhfM110vCaFvRWoM&#10;HFnseIvWypS3IN6ZTpHe8mWD9y+ZD9fMQYJgDEsarvCopEHzprcoqY37/NR5zIcyEKWkhaQx2acN&#10;c4IS+VZDM6/z4TDuQHKGo9NjOO4wsjqM6I26MCA1x+fA8mTG/CDvzMoZ9RG7PI9VEWKao3bHYe9c&#10;hG7V8DXgYj5PadC9ZeFS31geweMlajPfBFM16bL37PSkQflJL/2WxtU69FPW/ss0+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t6PX32wAAAAsBAAAPAAAAAAAAAAEAIAAAACIAAABkcnMvZG93bnJl&#10;di54bWxQSwECFAAUAAAACACHTuJA5j+8XmwCAADhBAAADgAAAAAAAAABACAAAAAqAQAAZHJzL2Uy&#10;b0RvYy54bWxQSwUGAAAAAAYABgBZAQAACAYAAAAA&#10;" path="m0,56028l62577,56028,81915,0,101252,56028,163829,56028,113203,90655,132541,146684,81915,112056,31288,146684,50626,90655xe">
                <v:path o:connectlocs="81915,0;0,56028;31288,146684;132541,146684;163829,56028" o:connectangles="247,164,82,82,0"/>
                <v:fill on="t" focussize="0,0"/>
                <v:stroke weight="0.25pt" color="#000000 [3213]" joinstyle="round"/>
                <v:imagedata o:title=""/>
                <o:lock v:ext="edit" aspectratio="f"/>
              </v:shape>
            </w:pict>
          </mc:Fallback>
        </mc:AlternateContent>
      </w:r>
      <w:r>
        <w:rPr>
          <w:u w:val="none" w:color="auto"/>
        </w:rPr>
        <mc:AlternateContent>
          <mc:Choice Requires="wps">
            <w:drawing>
              <wp:anchor distT="0" distB="0" distL="114300" distR="114300" simplePos="0" relativeHeight="251659264" behindDoc="0" locked="0" layoutInCell="1" allowOverlap="1">
                <wp:simplePos x="0" y="0"/>
                <wp:positionH relativeFrom="column">
                  <wp:posOffset>6116320</wp:posOffset>
                </wp:positionH>
                <wp:positionV relativeFrom="paragraph">
                  <wp:posOffset>1553845</wp:posOffset>
                </wp:positionV>
                <wp:extent cx="1574800" cy="508635"/>
                <wp:effectExtent l="394335" t="12700" r="31115" b="697865"/>
                <wp:wrapNone/>
                <wp:docPr id="13" name="矩形标注 13"/>
                <wp:cNvGraphicFramePr/>
                <a:graphic xmlns:a="http://schemas.openxmlformats.org/drawingml/2006/main">
                  <a:graphicData uri="http://schemas.microsoft.com/office/word/2010/wordprocessingShape">
                    <wps:wsp>
                      <wps:cNvSpPr/>
                      <wps:spPr>
                        <a:xfrm>
                          <a:off x="0" y="0"/>
                          <a:ext cx="1574800" cy="508635"/>
                        </a:xfrm>
                        <a:prstGeom prst="wedgeRectCallout">
                          <a:avLst>
                            <a:gd name="adj1" fmla="val -74233"/>
                            <a:gd name="adj2" fmla="val 181460"/>
                          </a:avLst>
                        </a:prstGeom>
                      </wps:spPr>
                      <wps:style>
                        <a:lnRef idx="2">
                          <a:schemeClr val="dk1"/>
                        </a:lnRef>
                        <a:fillRef idx="1">
                          <a:schemeClr val="lt1"/>
                        </a:fillRef>
                        <a:effectRef idx="0">
                          <a:schemeClr val="dk1"/>
                        </a:effectRef>
                        <a:fontRef idx="minor">
                          <a:schemeClr val="dk1"/>
                        </a:fontRef>
                      </wps:style>
                      <wps:txbx>
                        <w:txbxContent>
                          <w:p w14:paraId="481692DE">
                            <w:pPr>
                              <w:spacing w:line="240" w:lineRule="auto"/>
                              <w:ind w:firstLine="0" w:firstLineChars="0"/>
                              <w:jc w:val="center"/>
                            </w:pPr>
                            <w:r>
                              <w:rPr>
                                <w:rFonts w:hint="eastAsia"/>
                                <w:sz w:val="28"/>
                                <w:szCs w:val="28"/>
                              </w:rPr>
                              <w:t>项目地理位置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1.6pt;margin-top:122.35pt;height:40.05pt;width:124pt;z-index:251659264;v-text-anchor:middle;mso-width-relative:page;mso-height-relative:page;" fillcolor="#FFFFFF [3201]" filled="t" stroked="t" coordsize="21600,21600" o:gfxdata="UEsDBAoAAAAAAIdO4kAAAAAAAAAAAAAAAAAEAAAAZHJzL1BLAwQUAAAACACHTuJAFcIYCtoAAAAM&#10;AQAADwAAAGRycy9kb3ducmV2LnhtbE2PTUvEMBCG74L/IYzgzU2b1rrWpov4gSyC4Cqe02a2LTaT&#10;kmR36783PelxZh7e95lqM5uRHdH5wZKEdJUAQ2qtHqiT8PnxfLUG5oMirUZLKOEHPWzq87NKldqe&#10;6B2Pu9CxGEK+VBL6EKaSc9/2aJRf2Qkp3vbWGRXi6DqunTrFcDNykSQFN2qg2NCrCR96bL93B7OU&#10;ZNdPjdvb1+3j/DXdN28FvaCUlxdpcgcs4Bz+YFj0ozrU0amxB9KejRJui0xEVILI8xtgCyHSNK4a&#10;CZnI18Driv9/ov4FUEsDBBQAAAAIAIdO4kAJZsnSpQIAAE8FAAAOAAAAZHJzL2Uyb0RvYy54bWyt&#10;VM1uEzEQviPxDpbv7SZp0oaomypKFIRU0YqCODteb3aR/7CdbsoL8BggTnDmzONQXoPP3m2blh56&#10;YA+7M57Zb2a+mfHxyVZJcimcr43OaX+/R4nQ3BS1Xuf03dvl3pgSH5gumDRa5PRKeHoyff7suLET&#10;MTCVkYVwBCDaTxqb0yoEO8kyzyuhmN83VmgYS+MUC1DdOisca4CuZDbo9Q6zxrjCOsOF9zhdtEba&#10;IbqnAJqyrLlYGL5RQocW1QnJAkryVW09naZsy1LwcFaWXgQic4pKQ3ojCORVfGfTYzZZO2armncp&#10;sKek8KAmxWqNoLdQCxYY2bj6HyhVc2e8KcM+NyprC0mMoIp+7wE3FxWzItUCqr29Jd3/P1j++vLc&#10;kbrAJBxQoplCx/98+fH717frr5+vf34nOAZHjfUTuF7Yc9dpHmIseFs6Fb8ohWwTr1e3vIptIByH&#10;/dHRcNwD5Ry2UW98eDCKoNnd39b58FIYRaKQ00YUa/EGzZszKc0mJGrZ5akPieOiS5QVH/qUlEqi&#10;ZZdMkr2j4eAg5YtG7DgNdp364/7wMDUe8TtMSDcZxADeyLpY1lImxa1Xc+kIAuR0mZ4u+XtuUpMm&#10;p4PRMNXJsBglBhIlKwtyvV5TwuQaG8eDS+Xc+9vvBuml57EgMckF81WbTELo3KQGn7FLbV+iFLar&#10;bdeslSmu0GZn2vn3li9rQJ0yH86ZA3voDa6EcIZXKQ0KMZ1ESWXcp8fOoz/mEFZKGiwQivy4YU5Q&#10;Il9pTOiL/nAYNy4pw9HRAIrbtax2LXqj5gYEo5/ILonRP8gbsXRGvcfNMYtRYWKaI3ZLZ6fMQ7vY&#10;uHu4mM2SG7bMsnCqLyyP4LGh2sw2wZR1iCMYiWrZ6RTsWZrM7k6Ii7yrJ6+7e3D6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XCGAraAAAADAEAAA8AAAAAAAAAAQAgAAAAIgAAAGRycy9kb3ducmV2&#10;LnhtbFBLAQIUABQAAAAIAIdO4kAJZsnSpQIAAE8FAAAOAAAAAAAAAAEAIAAAACkBAABkcnMvZTJv&#10;RG9jLnhtbFBLBQYAAAAABgAGAFkBAABABgAAAAA=&#10;" adj="-5234,49995">
                <v:fill on="t" focussize="0,0"/>
                <v:stroke weight="2pt" color="#000000 [3200]" joinstyle="round"/>
                <v:imagedata o:title=""/>
                <o:lock v:ext="edit" aspectratio="f"/>
                <v:textbox>
                  <w:txbxContent>
                    <w:p w14:paraId="481692DE">
                      <w:pPr>
                        <w:spacing w:line="240" w:lineRule="auto"/>
                        <w:ind w:firstLine="0" w:firstLineChars="0"/>
                        <w:jc w:val="center"/>
                      </w:pPr>
                      <w:r>
                        <w:rPr>
                          <w:rFonts w:hint="eastAsia"/>
                          <w:sz w:val="28"/>
                          <w:szCs w:val="28"/>
                        </w:rPr>
                        <w:t>项目地理位置</w:t>
                      </w:r>
                    </w:p>
                  </w:txbxContent>
                </v:textbox>
              </v:shape>
            </w:pict>
          </mc:Fallback>
        </mc:AlternateContent>
      </w:r>
      <w:r>
        <w:rPr>
          <w:u w:val="none" w:color="auto"/>
        </w:rPr>
        <w:drawing>
          <wp:inline distT="0" distB="0" distL="0" distR="0">
            <wp:extent cx="6856730" cy="4944110"/>
            <wp:effectExtent l="19050" t="19050" r="20320" b="27940"/>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1363"/>
                    <pic:cNvPicPr>
                      <a:picLocks noChangeAspect="1"/>
                    </pic:cNvPicPr>
                  </pic:nvPicPr>
                  <pic:blipFill>
                    <a:blip r:embed="rId56"/>
                    <a:stretch>
                      <a:fillRect/>
                    </a:stretch>
                  </pic:blipFill>
                  <pic:spPr>
                    <a:xfrm>
                      <a:off x="0" y="0"/>
                      <a:ext cx="6856730" cy="4944110"/>
                    </a:xfrm>
                    <a:prstGeom prst="rect">
                      <a:avLst/>
                    </a:prstGeom>
                    <a:ln w="19050">
                      <a:solidFill>
                        <a:schemeClr val="tx1"/>
                      </a:solidFill>
                    </a:ln>
                  </pic:spPr>
                </pic:pic>
              </a:graphicData>
            </a:graphic>
          </wp:inline>
        </w:drawing>
      </w:r>
    </w:p>
    <w:p w14:paraId="27CC90F8">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08" w:name="_Toc5096"/>
      <w:bookmarkStart w:id="709" w:name="_Toc4094"/>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附图5  区域水系图</w:t>
      </w:r>
      <w:bookmarkEnd w:id="708"/>
      <w:bookmarkEnd w:id="709"/>
    </w:p>
    <w:p w14:paraId="3C966AF6">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u w:val="none" w:color="auto"/>
        </w:rPr>
        <w:drawing>
          <wp:anchor distT="0" distB="0" distL="114300" distR="114300" simplePos="0" relativeHeight="251664384" behindDoc="0" locked="0" layoutInCell="1" allowOverlap="1">
            <wp:simplePos x="0" y="0"/>
            <wp:positionH relativeFrom="column">
              <wp:posOffset>8014970</wp:posOffset>
            </wp:positionH>
            <wp:positionV relativeFrom="paragraph">
              <wp:posOffset>23495</wp:posOffset>
            </wp:positionV>
            <wp:extent cx="789305" cy="694690"/>
            <wp:effectExtent l="0" t="0" r="10795" b="1016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789305" cy="694690"/>
                    </a:xfrm>
                    <a:prstGeom prst="rect">
                      <a:avLst/>
                    </a:prstGeom>
                  </pic:spPr>
                </pic:pic>
              </a:graphicData>
            </a:graphic>
          </wp:anchor>
        </w:drawing>
      </w:r>
      <w:r>
        <w:rPr>
          <w:u w:val="none" w:color="auto"/>
        </w:rPr>
        <w:drawing>
          <wp:inline distT="0" distB="0" distL="114300" distR="114300">
            <wp:extent cx="8802370" cy="4142105"/>
            <wp:effectExtent l="19050" t="19050" r="36830" b="2984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57"/>
                    <a:srcRect l="3629"/>
                    <a:stretch>
                      <a:fillRect/>
                    </a:stretch>
                  </pic:blipFill>
                  <pic:spPr>
                    <a:xfrm>
                      <a:off x="0" y="0"/>
                      <a:ext cx="8802370" cy="4142105"/>
                    </a:xfrm>
                    <a:prstGeom prst="rect">
                      <a:avLst/>
                    </a:prstGeom>
                    <a:noFill/>
                    <a:ln w="19050">
                      <a:solidFill>
                        <a:schemeClr val="tx1"/>
                      </a:solidFill>
                    </a:ln>
                  </pic:spPr>
                </pic:pic>
              </a:graphicData>
            </a:graphic>
          </wp:inline>
        </w:drawing>
      </w:r>
    </w:p>
    <w:p w14:paraId="529683F7">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10" w:name="_Toc20106"/>
      <w:bookmarkStart w:id="711" w:name="_Toc32085"/>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附图6  环境空气引用监测及现状监测点位图</w:t>
      </w:r>
      <w:bookmarkEnd w:id="710"/>
      <w:bookmarkEnd w:id="711"/>
    </w:p>
    <w:p w14:paraId="4B6DD5A7">
      <w:pPr>
        <w:spacing w:line="240" w:lineRule="auto"/>
        <w:ind w:firstLine="0" w:firstLineChars="0"/>
        <w:jc w:val="center"/>
        <w:rPr>
          <w:u w:val="none" w:color="auto"/>
        </w:rPr>
      </w:pPr>
      <w:r>
        <w:rPr>
          <w:sz w:val="24"/>
          <w:u w:val="none" w:color="auto"/>
        </w:rPr>
        <mc:AlternateContent>
          <mc:Choice Requires="wpg">
            <w:drawing>
              <wp:anchor distT="0" distB="0" distL="114300" distR="114300" simplePos="0" relativeHeight="251670528" behindDoc="0" locked="0" layoutInCell="1" allowOverlap="1">
                <wp:simplePos x="0" y="0"/>
                <wp:positionH relativeFrom="column">
                  <wp:posOffset>152400</wp:posOffset>
                </wp:positionH>
                <wp:positionV relativeFrom="paragraph">
                  <wp:posOffset>4319270</wp:posOffset>
                </wp:positionV>
                <wp:extent cx="1943100" cy="581660"/>
                <wp:effectExtent l="4445" t="4445" r="14605" b="23495"/>
                <wp:wrapNone/>
                <wp:docPr id="25" name="组合 25"/>
                <wp:cNvGraphicFramePr/>
                <a:graphic xmlns:a="http://schemas.openxmlformats.org/drawingml/2006/main">
                  <a:graphicData uri="http://schemas.microsoft.com/office/word/2010/wordprocessingGroup">
                    <wpg:wgp>
                      <wpg:cNvGrpSpPr/>
                      <wpg:grpSpPr>
                        <a:xfrm>
                          <a:off x="0" y="0"/>
                          <a:ext cx="1943100" cy="581660"/>
                          <a:chOff x="1963" y="3333947"/>
                          <a:chExt cx="3060" cy="916"/>
                        </a:xfrm>
                      </wpg:grpSpPr>
                      <wps:wsp>
                        <wps:cNvPr id="18" name="文本框 18"/>
                        <wps:cNvSpPr txBox="1"/>
                        <wps:spPr>
                          <a:xfrm>
                            <a:off x="1963" y="3333947"/>
                            <a:ext cx="3060" cy="91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5F6418">
                              <w:pPr>
                                <w:spacing w:line="360" w:lineRule="auto"/>
                                <w:ind w:firstLine="0" w:firstLineChars="0"/>
                                <w:rPr>
                                  <w:rFonts w:hint="eastAsia"/>
                                  <w:sz w:val="21"/>
                                  <w:szCs w:val="21"/>
                                  <w:lang w:val="en-US" w:eastAsia="zh-CN"/>
                                </w:rPr>
                              </w:pPr>
                              <w:r>
                                <w:rPr>
                                  <w:rFonts w:hint="eastAsia"/>
                                  <w:sz w:val="21"/>
                                  <w:szCs w:val="21"/>
                                  <w:lang w:val="en-US" w:eastAsia="zh-CN"/>
                                </w:rPr>
                                <w:t>图例：</w:t>
                              </w:r>
                            </w:p>
                            <w:p w14:paraId="3140FC58">
                              <w:pPr>
                                <w:spacing w:line="360" w:lineRule="auto"/>
                                <w:ind w:firstLine="420" w:firstLineChars="200"/>
                              </w:pPr>
                              <w:r>
                                <w:rPr>
                                  <w:sz w:val="21"/>
                                  <w:szCs w:val="21"/>
                                </w:rPr>
                                <w:t>地表水环境</w:t>
                              </w:r>
                              <w:r>
                                <w:rPr>
                                  <w:rFonts w:hint="eastAsia"/>
                                  <w:sz w:val="21"/>
                                  <w:szCs w:val="21"/>
                                </w:rPr>
                                <w:t>质量</w:t>
                              </w:r>
                              <w:r>
                                <w:rPr>
                                  <w:sz w:val="21"/>
                                  <w:szCs w:val="21"/>
                                </w:rPr>
                                <w:t>监测</w:t>
                              </w:r>
                              <w:r>
                                <w:rPr>
                                  <w:rFonts w:hint="eastAsia"/>
                                  <w:sz w:val="21"/>
                                  <w:szCs w:val="21"/>
                                </w:rPr>
                                <w:t>断面</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 name="直接箭头连接符 19"/>
                        <wps:cNvCnPr/>
                        <wps:spPr>
                          <a:xfrm flipV="1">
                            <a:off x="2098" y="3334386"/>
                            <a:ext cx="381" cy="353"/>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2pt;margin-top:340.1pt;height:45.8pt;width:153pt;z-index:251670528;mso-width-relative:page;mso-height-relative:page;" coordorigin="1963,3333947" coordsize="3060,916" o:gfxdata="UEsDBAoAAAAAAIdO4kAAAAAAAAAAAAAAAAAEAAAAZHJzL1BLAwQUAAAACACHTuJAzdrPxNsAAAAK&#10;AQAADwAAAGRycy9kb3ducmV2LnhtbE2PwU7DMBBE70j8g7WVuFHbCbRRGqdCFXCqkGiREDc33iZR&#10;YzuK3aT9e5YTPc7OaPZNsb7Yjo04hNY7BXIugKGrvGldreBr//aYAQtRO6M771DBFQOsy/u7QufG&#10;T+4Tx12sGZW4kGsFTYx9znmoGrQ6zH2PjryjH6yOJIeam0FPVG47ngix4Fa3jj40usdNg9Vpd7YK&#10;3ic9vaTyddyejpvrz/7543srUamHmRQrYBEv8T8Mf/iEDiUxHfzZmcA6BckTTYkKFplIgFEgTQVd&#10;DgqWS5kBLwt+O6H8BVBLAwQUAAAACACHTuJAHeL1+YwDAAANCAAADgAAAGRycy9lMm9Eb2MueG1s&#10;vVVLb+U0FN4j8R8s72mS+5omajoqt9MKqWIqlcfa13ESC8c2tm9zO2sErNCsZgNCQgJWA6vZseDX&#10;TMvP4NhO7vRxR4xAIovk2Mc59vnO9x0fPN50Al0yY7mSJc72UoyYpKrisinxp5+cfLCPkXVEVkQo&#10;yUp8xSx+fPj+ewe9LthEtUpUzCAIIm3R6xK3zukiSSxtWUfsntJMgrNWpiMOhqZJKkN6iN6JZJKm&#10;i6RXptJGUWYtzB5HJx4imncJqOqaU3as6Lpj0sWohgniICXbcm3xYThtXTPqnta1ZQ6JEkOmLrxh&#10;E7BX/p0cHpCiMUS3nA5HIO9yhHs5dYRL2HQb6pg4gtaGPwjVcWqUVbXbo6pLYiIBEcgiS+9hc2rU&#10;WodcmqJv9BZ0KNQ91P91WPrx5blBvCrxZI6RJB1U/OaPr14//xbBBKDT66aARadGX+hzM0w0ceQT&#10;3tSm819IBW0CrldbXNnGIQqTWT6bZilATsE3388WiwF42kJ1/G9ZvphiBN4pPPnsUawLbZ8MEaYp&#10;/BJ+z7OFdybjzok/4PY8vQZS2jdI2f+G1EVLNAsFsB6EAakMFBKRun7xzfUPL69/+hrBXMAmrPNI&#10;Ibf5UPnMxnkLkzsA2535iNzb8yaFNtadMtUhb5TYANcDBcnlmXURonGJ39cqwasTLkQYmGa1FAZd&#10;EtDFSXgGVO8sExL1JV5M52mIfMfnY29DrAShXzyMAFUSEorlyxLz95bbrDYDWCtVXQFWRkVhWk1P&#10;OMQ9I9adEwNKhKpDr3JP4VULBYdRg4VRq8yzXfN+PZQdvBj1oOwS2y/XxDCMxEcSCJFnsxmEdWEw&#10;mz+awMDc9qxue+S6WyoAKYOuqGkw/XonRrM2qvscWtqR3xVcRFLYu8TUmXGwdLHjQFOk7OgoLAP5&#10;a+LO5IWmPrgvilRHa6dqHorngYroDPgBrb0a/w9+5yO/b75/df3dLze///b651d//fmjt1/+irJ8&#10;5DRoYimHrjBWOAoT1YLrz8bMhuYwSXOQTlT5bLofhEyKLdf3AWPfIabz6UClsbmMPB6obp0hvGnd&#10;UkkJrFcm4vcW4kvlWQ+E82T0fM7nvtdRz4waLg0wO10BS2QDBRMN3Iq+dv+kmRSeh4yPsjwmto3a&#10;CpLxy0jRMlI9kRVyVxqarDOcyEaw6HOEi92+3RKKzPAiHxgRrHBLgHXnGro9Dqve3OKH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ABgAAW0Nv&#10;bnRlbnRfVHlwZXNdLnhtbFBLAQIUAAoAAAAAAIdO4kAAAAAAAAAAAAAAAAAGAAAAAAAAAAAAEAAA&#10;AOIEAABfcmVscy9QSwECFAAUAAAACACHTuJAihRmPNEAAACUAQAACwAAAAAAAAABACAAAAAGBQAA&#10;X3JlbHMvLnJlbHNQSwECFAAKAAAAAACHTuJAAAAAAAAAAAAAAAAABAAAAAAAAAAAABAAAAAAAAAA&#10;ZHJzL1BLAQIUABQAAAAIAIdO4kDN2s/E2wAAAAoBAAAPAAAAAAAAAAEAIAAAACIAAABkcnMvZG93&#10;bnJldi54bWxQSwECFAAUAAAACACHTuJAHeL1+YwDAAANCAAADgAAAAAAAAABACAAAAAqAQAAZHJz&#10;L2Uyb0RvYy54bWxQSwUGAAAAAAYABgBZAQAAKAcAAAAA&#10;">
                <o:lock v:ext="edit" aspectratio="f"/>
                <v:shape id="_x0000_s1026" o:spid="_x0000_s1026" o:spt="202" type="#_x0000_t202" style="position:absolute;left:1963;top:3333947;height:916;width:3060;v-text-anchor:middle;" fillcolor="#FFFFFF [3201]" filled="t" stroked="t" coordsize="21600,21600" o:gfxdata="UEsDBAoAAAAAAIdO4kAAAAAAAAAAAAAAAAAEAAAAZHJzL1BLAwQUAAAACACHTuJALVrtnL0AAADb&#10;AAAADwAAAGRycy9kb3ducmV2LnhtbEWP3WoCMRCF7wXfIYzQO83agsjWKCII7UVhG32A6WbcLG4m&#10;yyb+9ek7FwXvZjhnzvlmtbmHTl1pSG1kA/NZAYq4jq7lxsDxsJ8uQaWM7LCLTAYelGCzHo9WWLp4&#10;42+62twoCeFUogGfc19qnWpPAdMs9sSineIQMMs6NNoNeJPw0OnXoljogC1Lg8eedp7qs70EA5e+&#10;Omzfvj6trx7H37z8sW21t8a8TObFO6hM9/w0/19/OMEXWPlFBt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Wu2cvQAA&#10;ANsAAAAPAAAAAAAAAAEAIAAAACIAAABkcnMvZG93bnJldi54bWxQSwECFAAUAAAACACHTuJAMy8F&#10;njsAAAA5AAAAEAAAAAAAAAABACAAAAAMAQAAZHJzL3NoYXBleG1sLnhtbFBLBQYAAAAABgAGAFsB&#10;AAC2AwAAAAA=&#10;">
                  <v:fill on="t" focussize="0,0"/>
                  <v:stroke weight="0.5pt" color="#000000 [3204]" joinstyle="round"/>
                  <v:imagedata o:title=""/>
                  <o:lock v:ext="edit" aspectratio="f"/>
                  <v:textbox>
                    <w:txbxContent>
                      <w:p w14:paraId="615F6418">
                        <w:pPr>
                          <w:spacing w:line="360" w:lineRule="auto"/>
                          <w:ind w:firstLine="0" w:firstLineChars="0"/>
                          <w:rPr>
                            <w:rFonts w:hint="eastAsia"/>
                            <w:sz w:val="21"/>
                            <w:szCs w:val="21"/>
                            <w:lang w:val="en-US" w:eastAsia="zh-CN"/>
                          </w:rPr>
                        </w:pPr>
                        <w:r>
                          <w:rPr>
                            <w:rFonts w:hint="eastAsia"/>
                            <w:sz w:val="21"/>
                            <w:szCs w:val="21"/>
                            <w:lang w:val="en-US" w:eastAsia="zh-CN"/>
                          </w:rPr>
                          <w:t>图例：</w:t>
                        </w:r>
                      </w:p>
                      <w:p w14:paraId="3140FC58">
                        <w:pPr>
                          <w:spacing w:line="360" w:lineRule="auto"/>
                          <w:ind w:firstLine="420" w:firstLineChars="200"/>
                        </w:pPr>
                        <w:r>
                          <w:rPr>
                            <w:sz w:val="21"/>
                            <w:szCs w:val="21"/>
                          </w:rPr>
                          <w:t>地表水环境</w:t>
                        </w:r>
                        <w:r>
                          <w:rPr>
                            <w:rFonts w:hint="eastAsia"/>
                            <w:sz w:val="21"/>
                            <w:szCs w:val="21"/>
                          </w:rPr>
                          <w:t>质量</w:t>
                        </w:r>
                        <w:r>
                          <w:rPr>
                            <w:sz w:val="21"/>
                            <w:szCs w:val="21"/>
                          </w:rPr>
                          <w:t>监测</w:t>
                        </w:r>
                        <w:r>
                          <w:rPr>
                            <w:rFonts w:hint="eastAsia"/>
                            <w:sz w:val="21"/>
                            <w:szCs w:val="21"/>
                          </w:rPr>
                          <w:t>断面</w:t>
                        </w:r>
                      </w:p>
                    </w:txbxContent>
                  </v:textbox>
                </v:shape>
                <v:shape id="_x0000_s1026" o:spid="_x0000_s1026" o:spt="32" type="#_x0000_t32" style="position:absolute;left:2098;top:3334386;flip:y;height:353;width:381;" filled="f" stroked="t" coordsize="21600,21600" o:gfxdata="UEsDBAoAAAAAAIdO4kAAAAAAAAAAAAAAAAAEAAAAZHJzL1BLAwQUAAAACACHTuJA7uK/qL0AAADb&#10;AAAADwAAAGRycy9kb3ducmV2LnhtbEVPTWuDQBC9B/oflgn0EpLVHlJjXUMoLRQPhWog18GdqsSd&#10;FXebWH99txDIbR7vc7L9ZHpxodF1lhXEmwgEcW11x42CY/W+TkA4j6yxt0wKfsnBPn9YZJhqe+Uv&#10;upS+ESGEXYoKWu+HVEpXt2TQbexAHLhvOxr0AY6N1CNeQ7jp5VMUbaXBjkNDiwO9tlSfyx+jIDmc&#10;+rk67J5lFxfGvBWred5+KvW4jKMXEJ4mfxff3B86zN/B/y/hAJ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4r+ovQAA&#10;ANsAAAAPAAAAAAAAAAEAIAAAACIAAABkcnMvZG93bnJldi54bWxQSwECFAAUAAAACACHTuJAMy8F&#10;njsAAAA5AAAAEAAAAAAAAAABACAAAAAMAQAAZHJzL3NoYXBleG1sLnhtbFBLBQYAAAAABgAGAFsB&#10;AAC2AwAAAAA=&#10;">
                  <v:fill on="f" focussize="0,0"/>
                  <v:stroke color="#FF0000 [3204]" joinstyle="round" startarrow="block" endarrow="block"/>
                  <v:imagedata o:title=""/>
                  <o:lock v:ext="edit" aspectratio="f"/>
                </v:shape>
              </v:group>
            </w:pict>
          </mc:Fallback>
        </mc:AlternateContent>
      </w:r>
      <w:r>
        <w:rPr>
          <w:sz w:val="24"/>
          <w:u w:val="none" w:color="auto"/>
        </w:rPr>
        <w:drawing>
          <wp:anchor distT="0" distB="0" distL="114300" distR="114300" simplePos="0" relativeHeight="251665408" behindDoc="0" locked="0" layoutInCell="1" allowOverlap="1">
            <wp:simplePos x="0" y="0"/>
            <wp:positionH relativeFrom="column">
              <wp:posOffset>7811135</wp:posOffset>
            </wp:positionH>
            <wp:positionV relativeFrom="paragraph">
              <wp:posOffset>24765</wp:posOffset>
            </wp:positionV>
            <wp:extent cx="892175" cy="784860"/>
            <wp:effectExtent l="0" t="0" r="3175" b="15240"/>
            <wp:wrapNone/>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1496060" y="1146810"/>
                      <a:ext cx="892175" cy="784860"/>
                    </a:xfrm>
                    <a:prstGeom prst="rect">
                      <a:avLst/>
                    </a:prstGeom>
                  </pic:spPr>
                </pic:pic>
              </a:graphicData>
            </a:graphic>
          </wp:anchor>
        </w:drawing>
      </w:r>
      <w:r>
        <w:rPr>
          <w:sz w:val="24"/>
          <w:u w:val="none" w:color="auto"/>
        </w:rPr>
        <mc:AlternateContent>
          <mc:Choice Requires="wpg">
            <w:drawing>
              <wp:anchor distT="0" distB="0" distL="114300" distR="114300" simplePos="0" relativeHeight="251669504" behindDoc="0" locked="0" layoutInCell="1" allowOverlap="1">
                <wp:simplePos x="0" y="0"/>
                <wp:positionH relativeFrom="column">
                  <wp:posOffset>643255</wp:posOffset>
                </wp:positionH>
                <wp:positionV relativeFrom="paragraph">
                  <wp:posOffset>2084705</wp:posOffset>
                </wp:positionV>
                <wp:extent cx="478790" cy="354330"/>
                <wp:effectExtent l="28575" t="0" r="0" b="7620"/>
                <wp:wrapNone/>
                <wp:docPr id="24" name="组合 24"/>
                <wp:cNvGraphicFramePr/>
                <a:graphic xmlns:a="http://schemas.openxmlformats.org/drawingml/2006/main">
                  <a:graphicData uri="http://schemas.microsoft.com/office/word/2010/wordprocessingGroup">
                    <wpg:wgp>
                      <wpg:cNvGrpSpPr/>
                      <wpg:grpSpPr>
                        <a:xfrm>
                          <a:off x="0" y="0"/>
                          <a:ext cx="478790" cy="354330"/>
                          <a:chOff x="3966" y="3329963"/>
                          <a:chExt cx="754" cy="558"/>
                        </a:xfrm>
                      </wpg:grpSpPr>
                      <wps:wsp>
                        <wps:cNvPr id="119" name="直接箭头连接符 119"/>
                        <wps:cNvCnPr/>
                        <wps:spPr>
                          <a:xfrm flipH="1" flipV="1">
                            <a:off x="3966" y="3329963"/>
                            <a:ext cx="66" cy="558"/>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7" name="文本框 117"/>
                        <wps:cNvSpPr txBox="1"/>
                        <wps:spPr>
                          <a:xfrm>
                            <a:off x="4042" y="3330044"/>
                            <a:ext cx="679" cy="426"/>
                          </a:xfrm>
                          <a:prstGeom prst="rect">
                            <a:avLst/>
                          </a:prstGeom>
                          <a:noFill/>
                          <a:ln w="6350">
                            <a:noFill/>
                          </a:ln>
                        </wps:spPr>
                        <wps:txbx>
                          <w:txbxContent>
                            <w:p w14:paraId="5D1186F1">
                              <w:pPr>
                                <w:spacing w:line="240" w:lineRule="auto"/>
                                <w:ind w:firstLine="0" w:firstLineChars="0"/>
                                <w:rPr>
                                  <w:rFonts w:ascii="Times New Roman" w:hAnsi="Times New Roman"/>
                                  <w:b/>
                                  <w:color w:val="FF0000"/>
                                </w:rPr>
                              </w:pPr>
                              <w:r>
                                <w:rPr>
                                  <w:rFonts w:ascii="Times New Roman" w:hAnsi="Times New Roman"/>
                                  <w:b/>
                                  <w:color w:val="FF0000"/>
                                </w:rPr>
                                <w:t>W31</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50.65pt;margin-top:164.15pt;height:27.9pt;width:37.7pt;z-index:251669504;mso-width-relative:page;mso-height-relative:page;" coordorigin="3966,3329963" coordsize="754,558" o:gfxdata="UEsDBAoAAAAAAIdO4kAAAAAAAAAAAAAAAAAEAAAAZHJzL1BLAwQUAAAACACHTuJART06ItoAAAAL&#10;AQAADwAAAGRycy9kb3ducmV2LnhtbE2PQU/DMAyF70j8h8hI3FiSFbaqNJ3QBJwmJDYkxC1rvbZa&#10;41RN1m7/Hu8ENz/76fl7+ersOjHiEFpPBvRMgUAqfdVSbeBr9/aQggjRUmU7T2jgggFWxe1NbrPK&#10;T/SJ4zbWgkMoZNZAE2OfSRnKBp0NM98j8e3gB2cjy6GW1WAnDnednCu1kM62xB8a2+O6wfK4PTkD&#10;75OdXhL9Om6Oh/XlZ/f08b3RaMz9nVbPICKe458ZrviMDgUz7f2JqiA61konbDWQzFMero7lYgli&#10;z5v0UYMscvm/Q/ELUEsDBBQAAAAIAIdO4kBUA5ELfwMAAMQHAAAOAAAAZHJzL2Uyb0RvYy54bWy9&#10;Vc2OEzkQvq+072D5znQn6SST1mTQbIbMrjSCkYafs+N2d1ty217bmc5wXi2cECcuICQk4AScuHHg&#10;aRh4DMru7kx2yGG0SOTQKbvKVeWvvirv3VxVAp0xY7mSU9zbiTFikqqMy2KK792d39jFyDoiMyKU&#10;ZFN8ziy+uf/7b3u1TllflUpkzCBwIm1a6ykundNpFFlasorYHaWZBGWuTEUcLE0RZYbU4L0SUT+O&#10;R1GtTKaNosxa2D1slLj1aK7jUOU5p+xQ0WXFpGu8GiaIgyvZkmuL90O2ec6ou5Pnljkkphhu6sIX&#10;goC88N9of4+khSG65LRNgVwnhSt3qgiXEHTt6pA4gpaG/+Cq4tQoq3K3Q1UVNRcJiMAtevEVbI6M&#10;WupwlyKtC70GHQp1BfX/7ZbePjsxiGdT3E8wkqSCin/99M+Xp48RbAA6tS5SMDoy+lSfmHajaFb+&#10;wqvcVP4froJWAdfzNa5s5RCFzWS8O54A4hRUg2EyGLS40xKK408NJqMRRl476E8mo0FTFlreah2M&#10;h5CcPz0c7npd1MWNfHrrbGoNlLSXONmfw+m0JJoF+K2HoMWp15usgXr+8eLJm68f3n95/fHb55de&#10;fvcWeYOAUzg1ky1qNrUAYAcZygXXf0L/4SDd99IGjNsB6fD0YG1Dg6TaWHfEVIW8MMXWGcKL0s2U&#10;lNAKyjRByNmxdQ2M3QEfW6o5FwL2SSokqqd4MuwPIRKBLs+hu0CsNDDFygIjIgoYH9SZkLZVgmf+&#10;tD9sTbGYCYPOCDTdfB7Dry3af8x86ENiy8YuqJq6l4xkt2SG3LkGNjrDiSwEa3SOcLFdB5wQEqjh&#10;SdAg7aWFys5DAcI+kMMz+pewZNyx5OLZo4sX7y5e/QvMGG8ww/cTcqs/FDRAr9vf5MgGH5I46bcN&#10;MojjJHQmSdd8GAMlPSGS/sg7WrfHD4QwwIJQsOtSYDQYxuHAmhzbcXarxaolfQM5MqoZtlbTOYdS&#10;HxPrToiB6QqTAN4fdwc+uVDAM9VKGJXKPNy27+2hmUGLUQ3TGkj495IYhpH4S0KbT3pJ4sd7WCTD&#10;cR8WZlOz2NTIZTVTwE1oPsguiN7eiU7MjaoewDN14KOCikgKsYGLnThzzRsCzxxlBwfBCAa6Ju5Y&#10;nmradbNUB0unch6a7ZKOLUsDG8MEg+EeqtY+RP712FwH+8vHd/87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8gUAAFtDb250ZW50X1R5cGVzXS54&#10;bWxQSwECFAAKAAAAAACHTuJAAAAAAAAAAAAAAAAABgAAAAAAAAAAABAAAADUBAAAX3JlbHMvUEsB&#10;AhQAFAAAAAgAh07iQIoUZjzRAAAAlAEAAAsAAAAAAAAAAQAgAAAA+AQAAF9yZWxzLy5yZWxzUEsB&#10;AhQACgAAAAAAh07iQAAAAAAAAAAAAAAAAAQAAAAAAAAAAAAQAAAAAAAAAGRycy9QSwECFAAUAAAA&#10;CACHTuJART06ItoAAAALAQAADwAAAAAAAAABACAAAAAiAAAAZHJzL2Rvd25yZXYueG1sUEsBAhQA&#10;FAAAAAgAh07iQFQDkQt/AwAAxAcAAA4AAAAAAAAAAQAgAAAAKQEAAGRycy9lMm9Eb2MueG1sUEsF&#10;BgAAAAAGAAYAWQEAABoHAAAAAA==&#10;">
                <o:lock v:ext="edit" aspectratio="f"/>
                <v:shape id="_x0000_s1026" o:spid="_x0000_s1026" o:spt="32" type="#_x0000_t32" style="position:absolute;left:3966;top:3329963;flip:x y;height:558;width:66;" filled="f" stroked="t" coordsize="21600,21600" o:gfxdata="UEsDBAoAAAAAAIdO4kAAAAAAAAAAAAAAAAAEAAAAZHJzL1BLAwQUAAAACACHTuJAbpVLTsAAAADc&#10;AAAADwAAAGRycy9kb3ducmV2LnhtbEWPzW7CMBCE75X6DtZW6q1xUiFEA04OrahStRdSDhyXeEkC&#10;8TqKzU/69DUSErddzcy3s4v8YjpxosG1lhUkUQyCuLK65VrB+nf5MgPhPLLGzjIpGMlBnj0+LDDV&#10;9swrOpW+FgHCLkUFjfd9KqWrGjLoItsTB21nB4M+rEMt9YDnADedfI3jqTTYcrjQYE/vDVWH8mgC&#10;RY/FT/nx9zndb+z3drec0PhVKPX8lMRzEJ4u/m6+pQsd6idvcH0mTCCz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lUtO&#10;wAAAANwAAAAPAAAAAAAAAAEAIAAAACIAAABkcnMvZG93bnJldi54bWxQSwECFAAUAAAACACHTuJA&#10;My8FnjsAAAA5AAAAEAAAAAAAAAABACAAAAAPAQAAZHJzL3NoYXBleG1sLnhtbFBLBQYAAAAABgAG&#10;AFsBAAC5AwAAAAA=&#10;">
                  <v:fill on="f" focussize="0,0"/>
                  <v:stroke color="#FF0000 [3204]" joinstyle="round" startarrow="block" endarrow="block"/>
                  <v:imagedata o:title=""/>
                  <o:lock v:ext="edit" aspectratio="f"/>
                </v:shape>
                <v:shape id="_x0000_s1026" o:spid="_x0000_s1026" o:spt="202" type="#_x0000_t202" style="position:absolute;left:4042;top:3330044;height:426;width:679;" filled="f" stroked="f" coordsize="21600,21600" o:gfxdata="UEsDBAoAAAAAAIdO4kAAAAAAAAAAAAAAAAAEAAAAZHJzL1BLAwQUAAAACACHTuJApfoDJ7wAAADc&#10;AAAADwAAAGRycy9kb3ducmV2LnhtbEVPS4vCMBC+C/6HMII3TSv4oGuUpSCK6MHHxdtsM7Zlm0lt&#10;4mt//UYQvM3H95zp/GEqcaPGlZYVxP0IBHFmdcm5guNh0ZuAcB5ZY2WZFDzJwXzWbk0x0fbOO7rt&#10;fS5CCLsEFRTe14mULivIoOvbmjhwZ9sY9AE2udQN3kO4qeQgikbSYMmhocCa0oKy3/3VKFiniy3u&#10;fgZm8lely835u74cT0Olup04+gLh6eE/4rd7pcP8eAyvZ8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X6Aye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5D1186F1">
                        <w:pPr>
                          <w:spacing w:line="240" w:lineRule="auto"/>
                          <w:ind w:firstLine="0" w:firstLineChars="0"/>
                          <w:rPr>
                            <w:rFonts w:ascii="Times New Roman" w:hAnsi="Times New Roman"/>
                            <w:b/>
                            <w:color w:val="FF0000"/>
                          </w:rPr>
                        </w:pPr>
                        <w:r>
                          <w:rPr>
                            <w:rFonts w:ascii="Times New Roman" w:hAnsi="Times New Roman"/>
                            <w:b/>
                            <w:color w:val="FF0000"/>
                          </w:rPr>
                          <w:t>W31</w:t>
                        </w:r>
                      </w:p>
                    </w:txbxContent>
                  </v:textbox>
                </v:shape>
              </v:group>
            </w:pict>
          </mc:Fallback>
        </mc:AlternateContent>
      </w:r>
      <w:r>
        <w:rPr>
          <w:sz w:val="24"/>
          <w:u w:val="none" w:color="auto"/>
        </w:rPr>
        <mc:AlternateContent>
          <mc:Choice Requires="wps">
            <w:drawing>
              <wp:anchor distT="0" distB="0" distL="114300" distR="114300" simplePos="0" relativeHeight="251666432" behindDoc="0" locked="0" layoutInCell="1" allowOverlap="1">
                <wp:simplePos x="0" y="0"/>
                <wp:positionH relativeFrom="column">
                  <wp:posOffset>3549650</wp:posOffset>
                </wp:positionH>
                <wp:positionV relativeFrom="paragraph">
                  <wp:posOffset>2017395</wp:posOffset>
                </wp:positionV>
                <wp:extent cx="431165" cy="270510"/>
                <wp:effectExtent l="0" t="0" r="0" b="0"/>
                <wp:wrapNone/>
                <wp:docPr id="116" name="文本框 116"/>
                <wp:cNvGraphicFramePr/>
                <a:graphic xmlns:a="http://schemas.openxmlformats.org/drawingml/2006/main">
                  <a:graphicData uri="http://schemas.microsoft.com/office/word/2010/wordprocessingShape">
                    <wps:wsp>
                      <wps:cNvSpPr txBox="1"/>
                      <wps:spPr>
                        <a:xfrm>
                          <a:off x="4940300" y="2929890"/>
                          <a:ext cx="431165" cy="270510"/>
                        </a:xfrm>
                        <a:prstGeom prst="rect">
                          <a:avLst/>
                        </a:prstGeom>
                        <a:noFill/>
                        <a:ln w="6350">
                          <a:noFill/>
                        </a:ln>
                      </wps:spPr>
                      <wps:txbx>
                        <w:txbxContent>
                          <w:p w14:paraId="02EE57F3">
                            <w:pPr>
                              <w:spacing w:line="240" w:lineRule="auto"/>
                              <w:ind w:firstLine="0" w:firstLineChars="0"/>
                              <w:rPr>
                                <w:rFonts w:ascii="Times New Roman" w:hAnsi="Times New Roman"/>
                                <w:b/>
                                <w:color w:val="FF0000"/>
                              </w:rPr>
                            </w:pPr>
                            <w:r>
                              <w:rPr>
                                <w:rFonts w:ascii="Times New Roman" w:hAnsi="Times New Roman"/>
                                <w:b/>
                                <w:color w:val="FF0000"/>
                              </w:rPr>
                              <w:t>W21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5pt;margin-top:158.85pt;height:21.3pt;width:33.95pt;z-index:251666432;mso-width-relative:page;mso-height-relative:page;" filled="f" stroked="f" coordsize="21600,21600" o:gfxdata="UEsDBAoAAAAAAIdO4kAAAAAAAAAAAAAAAAAEAAAAZHJzL1BLAwQUAAAACACHTuJADJ5uwN0AAAAL&#10;AQAADwAAAGRycy9kb3ducmV2LnhtbE2PzU7DMBCE70i8g7VI3KidVEnbEKdCkSokBIeWXrhtYjeJ&#10;sNchdn/g6TGncpyd0ew35fpiDTvpyQ+OJCQzAUxT69RAnYT9++ZhCcwHJIXGkZbwrT2sq9ubEgvl&#10;zrTVp13oWCwhX6CEPoSx4Ny3vbboZ27UFL2DmyyGKKeOqwnPsdwangqRc4sDxQ89jrrudfu5O1oJ&#10;L/XmDbdNapc/pn5+PTyNX/uPTMr7u0Q8Agv6Eq5h+MOP6FBFpsYdSXlmJGTZKm4JEubJYgEsJvI0&#10;XwFr4iUXc+BVyf9vqH4BUEsDBBQAAAAIAIdO4kC4j9i6RwIAAHUEAAAOAAAAZHJzL2Uyb0RvYy54&#10;bWytVEtu2zAQ3RfoHQjua0n+JTYiB24MFwWMJoBbdE1TVCSA5LAkbck9QHuDrrrpvufyOTqk5CRI&#10;u8iiG3nIeXzD92boq+tWSXIQ1tWgc5oNUkqE5lDU+j6nnz6u31xS4jzTBZOgRU6PwtHrxetXV42Z&#10;iyFUIAthCZJoN29MTivvzTxJHK+EYm4ARmhMlmAV87i090lhWYPsSibDNJ0mDdjCWODCOdxddUna&#10;M9qXEEJZ1lysgO+V0L5jtUIyj5JcVRtHF/G2ZSm4vy1LJzyROUWlPn6xCMa78E0WV2x+b5mpat5f&#10;gb3kCs80KVZrLPpAtWKekb2t/6JSNbfgoPQDDirphERHUEWWPvNmWzEjoha02pkH093/o+UfDneW&#10;1AVOQjalRDOFLT/9+H76+fv06xsJm2hRY9wckVuDWN++hRbh532Hm0F5W1oVflETwfx4Nk5HKdp8&#10;zOlwNpxdznqzResJD4ARkk8o4QFwkU6ymE8eiYx1/p0ARUKQU4u9jBazw8Z5vBRCz5BQV8O6ljL2&#10;U2rS5HQ6mqTxwEMGT0iNB4Oc7toh8u2u7TXuoDiiRAvdnDjD1zUW3zDn75jFwUA9+HT8LX5KCVgE&#10;+oiSCuzXf+0HPPYLs5Q0OGg5dV/2zApK5HuNnZxl43GYzLgYTy6GuLBPM7unGb1XN4CznOEjNTyG&#10;Ae/lOSwtqM/4wpahKqaY5lg7p/4c3vhu/PGFcrFcRhDOomF+o7eGB+rOzuXeQ1lHp4NNnTe9eziN&#10;sQH9ywnj/nQdUY//Fo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J5uwN0AAAALAQAADwAAAAAA&#10;AAABACAAAAAiAAAAZHJzL2Rvd25yZXYueG1sUEsBAhQAFAAAAAgAh07iQLiP2LpHAgAAdQQAAA4A&#10;AAAAAAAAAQAgAAAALAEAAGRycy9lMm9Eb2MueG1sUEsFBgAAAAAGAAYAWQEAAOUFAAAAAA==&#10;">
                <v:fill on="f" focussize="0,0"/>
                <v:stroke on="f" weight="0.5pt"/>
                <v:imagedata o:title=""/>
                <o:lock v:ext="edit" aspectratio="f"/>
                <v:textbox>
                  <w:txbxContent>
                    <w:p w14:paraId="02EE57F3">
                      <w:pPr>
                        <w:spacing w:line="240" w:lineRule="auto"/>
                        <w:ind w:firstLine="0" w:firstLineChars="0"/>
                        <w:rPr>
                          <w:rFonts w:ascii="Times New Roman" w:hAnsi="Times New Roman"/>
                          <w:b/>
                          <w:color w:val="FF0000"/>
                        </w:rPr>
                      </w:pPr>
                      <w:r>
                        <w:rPr>
                          <w:rFonts w:ascii="Times New Roman" w:hAnsi="Times New Roman"/>
                          <w:b/>
                          <w:color w:val="FF0000"/>
                        </w:rPr>
                        <w:t>W21</w:t>
                      </w:r>
                    </w:p>
                  </w:txbxContent>
                </v:textbox>
              </v:shape>
            </w:pict>
          </mc:Fallback>
        </mc:AlternateContent>
      </w:r>
      <w:r>
        <w:rPr>
          <w:sz w:val="24"/>
          <w:u w:val="none" w:color="auto"/>
        </w:rPr>
        <mc:AlternateContent>
          <mc:Choice Requires="wps">
            <w:drawing>
              <wp:anchor distT="0" distB="0" distL="114300" distR="114300" simplePos="0" relativeHeight="251667456" behindDoc="0" locked="0" layoutInCell="1" allowOverlap="1">
                <wp:simplePos x="0" y="0"/>
                <wp:positionH relativeFrom="column">
                  <wp:posOffset>3599815</wp:posOffset>
                </wp:positionH>
                <wp:positionV relativeFrom="paragraph">
                  <wp:posOffset>1904365</wp:posOffset>
                </wp:positionV>
                <wp:extent cx="407035" cy="131445"/>
                <wp:effectExtent l="0" t="12700" r="12065" b="27305"/>
                <wp:wrapNone/>
                <wp:docPr id="120" name="直接箭头连接符 120"/>
                <wp:cNvGraphicFramePr/>
                <a:graphic xmlns:a="http://schemas.openxmlformats.org/drawingml/2006/main">
                  <a:graphicData uri="http://schemas.microsoft.com/office/word/2010/wordprocessingShape">
                    <wps:wsp>
                      <wps:cNvCnPr/>
                      <wps:spPr>
                        <a:xfrm>
                          <a:off x="4990465" y="2816860"/>
                          <a:ext cx="407035" cy="13144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3.45pt;margin-top:149.95pt;height:10.35pt;width:32.05pt;z-index:251667456;mso-width-relative:page;mso-height-relative:page;" filled="f" stroked="t" coordsize="21600,21600" o:gfxdata="UEsDBAoAAAAAAIdO4kAAAAAAAAAAAAAAAAAEAAAAZHJzL1BLAwQUAAAACACHTuJAtPoKKNgAAAAL&#10;AQAADwAAAGRycy9kb3ducmV2LnhtbE2PwU7DMAyG70i8Q2QkbixpBxEtTXeATeJINySuWZM21Rqn&#10;arKtvD3mBDdb/vT7+6vN4kd2sXMcAirIVgKYxTaYAXsFn4fdwzOwmDQaPQa0Cr5thE19e1Pp0oQr&#10;NvayTz2jEIylVuBSmkrOY+us13EVJot068LsdaJ17rmZ9ZXC/chzIST3ekD64PRkX51tT/uzV9B4&#10;d9p+tQs2unvvdtvHN/zoDkrd32XiBViyS/qD4Vef1KEmp2M4o4lsVPAkZUGogrwoaCBCrjNqd1Sw&#10;zoUEXlf8f4f6B1BLAwQUAAAACACHTuJAc5C23RYCAAD6AwAADgAAAGRycy9lMm9Eb2MueG1srVPN&#10;jtMwEL4j8Q6W7zRJty1t1HQPLeWCoBLsA0wdJ7HkP9nepn0JXgCJE3ACTnvnadjlMRgnYRcWDnsg&#10;B2fsmflmvs/j5flRSXLgzgujC5qNUkq4ZqYUui7oxZvtkzklPoAuQRrNC3rinp6vHj9atjbnY9MY&#10;WXJHEET7vLUFbUKweZJ41nAFfmQs1+isjFMQcOvqpHTQIrqSyThNZ0lrXGmdYdx7PN30TjoguocA&#10;mqoSjG8Mu1Rchx7VcQkBKflGWE9XXbdVxVl4VVWeByILikxDt2IRtPdxTVZLyGsHthFsaAEe0sI9&#10;TgqExqK3UBsIQC6d+AtKCeaMN1UYMaOSnkinCLLI0nvavG7A8o4LSu3trej+/8Gyl4edI6LESRij&#10;JhoUXvnNu6vrtx9vvn75/uHqx7f30f78icQAlKu1Psestd65YeftzkXux8qp+EdW5FjQyWKRTmZT&#10;Sk4FHc+z2Xw2yM2PgbAYkD5Nz9DPMCA7yyaTacRP7oCs8+E5N4pEo6A+OBB1E9ZGa7xY47JOcji8&#10;8KFP/JUQu9BmK6TEc8ilJm1BF9NxLAY4sxXOCprKIm+va0pA1vgYWHAdojdSlDE7JntX79fSkQPg&#10;CG23KX5Dm3+ExdIb8E0f17liGOQNh/KZLkk4WZQ2OAG6lrz3BRDy3z5UQWoUI6rd6xutvSlPnezd&#10;OY5EJ9cwvnHmft932XdPdvU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tPoKKNgAAAALAQAADwAA&#10;AAAAAAABACAAAAAiAAAAZHJzL2Rvd25yZXYueG1sUEsBAhQAFAAAAAgAh07iQHOQtt0WAgAA+gMA&#10;AA4AAAAAAAAAAQAgAAAAJwEAAGRycy9lMm9Eb2MueG1sUEsFBgAAAAAGAAYAWQEAAK8FAAAAAA==&#10;">
                <v:fill on="f" focussize="0,0"/>
                <v:stroke color="#FF0000 [3204]" joinstyle="round" startarrow="block" endarrow="block"/>
                <v:imagedata o:title=""/>
                <o:lock v:ext="edit" aspectratio="f"/>
              </v:shape>
            </w:pict>
          </mc:Fallback>
        </mc:AlternateContent>
      </w:r>
      <w:r>
        <w:rPr>
          <w:sz w:val="24"/>
          <w:u w:val="none" w:color="auto"/>
        </w:rPr>
        <mc:AlternateContent>
          <mc:Choice Requires="wpg">
            <w:drawing>
              <wp:anchor distT="0" distB="0" distL="114300" distR="114300" simplePos="0" relativeHeight="251669504" behindDoc="0" locked="0" layoutInCell="1" allowOverlap="1">
                <wp:simplePos x="0" y="0"/>
                <wp:positionH relativeFrom="column">
                  <wp:posOffset>4123690</wp:posOffset>
                </wp:positionH>
                <wp:positionV relativeFrom="paragraph">
                  <wp:posOffset>3826510</wp:posOffset>
                </wp:positionV>
                <wp:extent cx="430530" cy="486410"/>
                <wp:effectExtent l="0" t="0" r="0" b="0"/>
                <wp:wrapNone/>
                <wp:docPr id="23" name="组合 23"/>
                <wp:cNvGraphicFramePr/>
                <a:graphic xmlns:a="http://schemas.openxmlformats.org/drawingml/2006/main">
                  <a:graphicData uri="http://schemas.microsoft.com/office/word/2010/wordprocessingGroup">
                    <wpg:wgp>
                      <wpg:cNvGrpSpPr/>
                      <wpg:grpSpPr>
                        <a:xfrm>
                          <a:off x="0" y="0"/>
                          <a:ext cx="430530" cy="486410"/>
                          <a:chOff x="9162" y="3332436"/>
                          <a:chExt cx="678" cy="766"/>
                        </a:xfrm>
                      </wpg:grpSpPr>
                      <wps:wsp>
                        <wps:cNvPr id="118" name="直接箭头连接符 118"/>
                        <wps:cNvCnPr/>
                        <wps:spPr>
                          <a:xfrm flipV="1">
                            <a:off x="9343" y="3332436"/>
                            <a:ext cx="381" cy="353"/>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5" name="文本框 115"/>
                        <wps:cNvSpPr txBox="1"/>
                        <wps:spPr>
                          <a:xfrm>
                            <a:off x="9162" y="3332776"/>
                            <a:ext cx="679" cy="426"/>
                          </a:xfrm>
                          <a:prstGeom prst="rect">
                            <a:avLst/>
                          </a:prstGeom>
                          <a:noFill/>
                          <a:ln w="6350">
                            <a:noFill/>
                          </a:ln>
                        </wps:spPr>
                        <wps:txbx>
                          <w:txbxContent>
                            <w:p w14:paraId="3A7BB8D6">
                              <w:pPr>
                                <w:spacing w:line="240" w:lineRule="auto"/>
                                <w:ind w:firstLine="0" w:firstLineChars="0"/>
                                <w:rPr>
                                  <w:rFonts w:ascii="Times New Roman" w:hAnsi="Times New Roman"/>
                                  <w:b/>
                                  <w:color w:val="7030A0"/>
                                </w:rPr>
                              </w:pPr>
                              <w:r>
                                <w:rPr>
                                  <w:rFonts w:ascii="Times New Roman" w:hAnsi="Times New Roman"/>
                                  <w:b/>
                                  <w:color w:val="FF0000"/>
                                </w:rPr>
                                <w:t>W1</w:t>
                              </w:r>
                              <w:r>
                                <w:rPr>
                                  <w:rFonts w:ascii="Times New Roman" w:hAnsi="Times New Roman"/>
                                  <w:b/>
                                  <w:color w:val="7030A0"/>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24.7pt;margin-top:301.3pt;height:38.3pt;width:33.9pt;z-index:251669504;mso-width-relative:page;mso-height-relative:page;" coordorigin="9162,3332436" coordsize="678,766" o:gfxdata="UEsDBAoAAAAAAIdO4kAAAAAAAAAAAAAAAAAEAAAAZHJzL1BLAwQUAAAACACHTuJA1EwpNdsAAAAL&#10;AQAADwAAAGRycy9kb3ducmV2LnhtbE2Py07DMBBF90j8gzVI7KjtUJI2xKlQBawqJFqkip0bT5Oo&#10;sR3FbtL+PcMKdvM4unOmWF1sx0YcQuudAjkTwNBV3rSuVvC1e3tYAAtRO6M771DBFQOsytubQufG&#10;T+4Tx22sGYW4kGsFTYx9znmoGrQ6zHyPjnZHP1gdqR1qbgY9UbjteCJEyq1uHV1odI/rBqvT9mwV&#10;vE96enmUr+PmdFxfv3dPH/uNRKXu76R4BhbxEv9g+NUndSjJ6eDPzgTWKUjnyzmhVIgkBUZEJrME&#10;2IEm2TIBXhb8/w/lD1BLAwQUAAAACACHTuJA+VHCI4QDAAC7BwAADgAAAGRycy9lMm9Eb2MueG1s&#10;vVVNbyQ1EL0j8R+svpOenp6PpJXJKkx2IqSIjRRgzx63+0Ny28b2pCecEXBCnLiAkJCA0+6e9rYH&#10;fs1m+Rk8u7snsyGHCCTm0FN2lavKr16Vj59sG0GuubG1kosoORhFhEum8lqWi+jzz1YfHUbEOipz&#10;KpTki+iG2+jJyYcfHLc642NVKZFzQ+BE2qzVi6hyTmdxbFnFG2oPlOYSykKZhjosTRnnhrbw3oh4&#10;PBrN4laZXBvFuLXYPeuUUe/RPMahKoqa8TPFNg2XrvNquKAOV7JVrW10ErItCs7cs6Kw3BGxiHBT&#10;F74IAnntv/HJMc1KQ3VVsz4F+pgU7t2pobVE0J2rM+oo2Zj6H66amhllVeEOmGri7iIBEdwiGd3D&#10;5tyojQ53KbO21DvQUah7qP9rt+zT60tD6nwRjdOISNqg4u/efP32h+8INoBOq8sMRudGX+lL02+U&#10;3cpfeFuYxv/jKmQbcL3Z4cq3jjBsTtLRNAXiDKrJ4WyS9LizCsXxp46S2Tgi0KZpOp6ks64srHra&#10;O5jNQUp/ej4LuniIG/v0dtm0GpS0dzjZ/4bTVUU1D/BbD0GPU5Iglx6on17ffv/7u1cv3/72+q8/&#10;f/Hyiz+INwg4hVNL2aNmMwsAB8hIIWr9BfovsKYH7yidoAj3YRhQTA+TDoR0GiqzA4Fm2lh3zlVD&#10;vLCIrDO0Liu3VFKiA5TpotDrC+uQGQ4OB3w6Uq1qIbBPMyFJi2pMx1NEomjuAk0FsdEgiJVlRKgo&#10;MTWYMyFvq0Sd+9P+sDXleikMuabotdVqhJ/HAdHeM/Ohz6itOrug6spdcZo/lTlxNxokdKamshS8&#10;0zlai4d1cC8kovjadwB7aa3ym4B72AcnPJH/F3IAuY4ctz9+e/vzi9tfvwEhpnuE8G1E3PZjBd4n&#10;w/4+NTyWAyH2+2I+7/tiIMRsftQRYjJ+vyvu6tsTwoAFoWCPpcAsnY7CgR05HsbZbdfbnusd5MSo&#10;bsZazVY1Sn1BrbukBkMVAwDPjnuGTyEUeKZ6KSKVMl89tO/t0cPQRqTFkAYJv9xQwyMiPpHo7qNk&#10;MvFTPSwm0/kYC7OvWe9r5KZZKnATbYTsgujtnRjEwqjmOV6nUx8VKioZYoOLg7h03dOB143x09Ng&#10;hDmuqbuQV5oN7SzV6capog7NdkfHnqWBjWFwYaaH/ujfH/9o7K+D/d2b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UAAFtDb250ZW50X1R5&#10;cGVzXS54bWxQSwECFAAKAAAAAACHTuJAAAAAAAAAAAAAAAAABgAAAAAAAAAAABAAAADaBAAAX3Jl&#10;bHMvUEsBAhQAFAAAAAgAh07iQIoUZjzRAAAAlAEAAAsAAAAAAAAAAQAgAAAA/gQAAF9yZWxzLy5y&#10;ZWxzUEsBAhQACgAAAAAAh07iQAAAAAAAAAAAAAAAAAQAAAAAAAAAAAAQAAAAAAAAAGRycy9QSwEC&#10;FAAUAAAACACHTuJA1EwpNdsAAAALAQAADwAAAAAAAAABACAAAAAiAAAAZHJzL2Rvd25yZXYueG1s&#10;UEsBAhQAFAAAAAgAh07iQPlRwiOEAwAAuwcAAA4AAAAAAAAAAQAgAAAAKgEAAGRycy9lMm9Eb2Mu&#10;eG1sUEsFBgAAAAAGAAYAWQEAACAHAAAAAA==&#10;">
                <o:lock v:ext="edit" aspectratio="f"/>
                <v:shape id="_x0000_s1026" o:spid="_x0000_s1026" o:spt="32" type="#_x0000_t32" style="position:absolute;left:9343;top:3332436;flip:y;height:353;width:381;" filled="f" stroked="t" coordsize="21600,21600" o:gfxdata="UEsDBAoAAAAAAIdO4kAAAAAAAAAAAAAAAAAEAAAAZHJzL1BLAwQUAAAACACHTuJAvU0umb8AAADc&#10;AAAADwAAAGRycy9kb3ducmV2LnhtbEWPS4vCQBCE78L+h6EX9iI6yR7UjY4ii4J4EHzAXptMmwQz&#10;PSEz6yO/3j4I3rqp6qqvZ4u7q9WV2lB5NpAOE1DEubcVFwZOx/VgAipEZIu1ZzLwoACL+Udvhpn1&#10;N97T9RALJSEcMjRQxthkWoe8JIdh6Bti0c6+dRhlbQttW7xJuKv1d5KMtMOKpaHEhn5Lyi+Hf2dg&#10;svyru+PyZ6yrdOvcatvvutHOmK/PNJmCinSPb/PremMFPxVaeUYm0P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1NLpm/&#10;AAAA3AAAAA8AAAAAAAAAAQAgAAAAIgAAAGRycy9kb3ducmV2LnhtbFBLAQIUABQAAAAIAIdO4kAz&#10;LwWeOwAAADkAAAAQAAAAAAAAAAEAIAAAAA4BAABkcnMvc2hhcGV4bWwueG1sUEsFBgAAAAAGAAYA&#10;WwEAALgDAAAAAA==&#10;">
                  <v:fill on="f" focussize="0,0"/>
                  <v:stroke color="#FF0000 [3204]" joinstyle="round" startarrow="block" endarrow="block"/>
                  <v:imagedata o:title=""/>
                  <o:lock v:ext="edit" aspectratio="f"/>
                </v:shape>
                <v:shape id="_x0000_s1026" o:spid="_x0000_s1026" o:spt="202" type="#_x0000_t202" style="position:absolute;left:9162;top:3332776;height:426;width:679;" filled="f" stroked="f" coordsize="21600,21600" o:gfxdata="UEsDBAoAAAAAAIdO4kAAAAAAAAAAAAAAAAAEAAAAZHJzL1BLAwQUAAAACACHTuJAOmQ4y7sAAADc&#10;AAAADwAAAGRycy9kb3ducmV2LnhtbEVPy6rCMBDdC/5DGMGdphUUqUaRgniR68LHxt3YjG2xmdQm&#10;V71+vREEd3M4z5nOH6YSN2pcaVlB3I9AEGdWl5wrOOyXvTEI55E1VpZJwT85mM/arSkm2t55S7ed&#10;z0UIYZeggsL7OpHSZQUZdH1bEwfubBuDPsAml7rBewg3lRxE0UgaLDk0FFhTWlB22f0ZBet0ucHt&#10;aWDGzypd/Z4X9fVwHCrV7cTRBISnh/+KP+4fHebHQ3g/Ey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Q4y7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3A7BB8D6">
                        <w:pPr>
                          <w:spacing w:line="240" w:lineRule="auto"/>
                          <w:ind w:firstLine="0" w:firstLineChars="0"/>
                          <w:rPr>
                            <w:rFonts w:ascii="Times New Roman" w:hAnsi="Times New Roman"/>
                            <w:b/>
                            <w:color w:val="7030A0"/>
                          </w:rPr>
                        </w:pPr>
                        <w:r>
                          <w:rPr>
                            <w:rFonts w:ascii="Times New Roman" w:hAnsi="Times New Roman"/>
                            <w:b/>
                            <w:color w:val="FF0000"/>
                          </w:rPr>
                          <w:t>W1</w:t>
                        </w:r>
                        <w:r>
                          <w:rPr>
                            <w:rFonts w:ascii="Times New Roman" w:hAnsi="Times New Roman"/>
                            <w:b/>
                            <w:color w:val="7030A0"/>
                          </w:rPr>
                          <w:t>1</w:t>
                        </w:r>
                      </w:p>
                    </w:txbxContent>
                  </v:textbox>
                </v:shape>
              </v:group>
            </w:pict>
          </mc:Fallback>
        </mc:AlternateContent>
      </w:r>
      <w:r>
        <w:rPr>
          <w:u w:val="none" w:color="auto"/>
        </w:rPr>
        <w:drawing>
          <wp:inline distT="0" distB="0" distL="114300" distR="114300">
            <wp:extent cx="8578850" cy="4911725"/>
            <wp:effectExtent l="19050" t="19050" r="31750" b="2222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58"/>
                    <a:stretch>
                      <a:fillRect/>
                    </a:stretch>
                  </pic:blipFill>
                  <pic:spPr>
                    <a:xfrm>
                      <a:off x="0" y="0"/>
                      <a:ext cx="8578850" cy="4911725"/>
                    </a:xfrm>
                    <a:prstGeom prst="rect">
                      <a:avLst/>
                    </a:prstGeom>
                    <a:noFill/>
                    <a:ln w="19050">
                      <a:solidFill>
                        <a:schemeClr val="tx1"/>
                      </a:solidFill>
                    </a:ln>
                  </pic:spPr>
                </pic:pic>
              </a:graphicData>
            </a:graphic>
          </wp:inline>
        </w:drawing>
      </w:r>
    </w:p>
    <w:p w14:paraId="775325EE">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12" w:name="_Toc19870"/>
      <w:bookmarkStart w:id="713" w:name="_Toc13588"/>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附图7  地表水引用监测点位图</w:t>
      </w:r>
      <w:bookmarkEnd w:id="712"/>
      <w:bookmarkEnd w:id="713"/>
    </w:p>
    <w:p w14:paraId="088567FE">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sz w:val="24"/>
          <w:u w:val="none" w:color="auto"/>
        </w:rPr>
        <w:drawing>
          <wp:anchor distT="0" distB="0" distL="114300" distR="114300" simplePos="0" relativeHeight="251668480" behindDoc="0" locked="0" layoutInCell="1" allowOverlap="1">
            <wp:simplePos x="0" y="0"/>
            <wp:positionH relativeFrom="column">
              <wp:posOffset>7106285</wp:posOffset>
            </wp:positionH>
            <wp:positionV relativeFrom="paragraph">
              <wp:posOffset>24765</wp:posOffset>
            </wp:positionV>
            <wp:extent cx="892175" cy="784860"/>
            <wp:effectExtent l="0" t="0" r="3175" b="1524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175" cy="784860"/>
                    </a:xfrm>
                    <a:prstGeom prst="rect">
                      <a:avLst/>
                    </a:prstGeom>
                  </pic:spPr>
                </pic:pic>
              </a:graphicData>
            </a:graphic>
          </wp:anchor>
        </w:drawing>
      </w:r>
      <w:r>
        <w:rPr>
          <w:u w:val="none" w:color="auto"/>
        </w:rPr>
        <mc:AlternateContent>
          <mc:Choice Requires="wps">
            <w:drawing>
              <wp:anchor distT="0" distB="0" distL="114300" distR="114300" simplePos="0" relativeHeight="251661312" behindDoc="0" locked="0" layoutInCell="1" allowOverlap="1">
                <wp:simplePos x="0" y="0"/>
                <wp:positionH relativeFrom="column">
                  <wp:posOffset>1410970</wp:posOffset>
                </wp:positionH>
                <wp:positionV relativeFrom="paragraph">
                  <wp:posOffset>267970</wp:posOffset>
                </wp:positionV>
                <wp:extent cx="1574800" cy="508635"/>
                <wp:effectExtent l="12700" t="12700" r="450850" b="602615"/>
                <wp:wrapNone/>
                <wp:docPr id="27" name="矩形标注 27"/>
                <wp:cNvGraphicFramePr/>
                <a:graphic xmlns:a="http://schemas.openxmlformats.org/drawingml/2006/main">
                  <a:graphicData uri="http://schemas.microsoft.com/office/word/2010/wordprocessingShape">
                    <wps:wsp>
                      <wps:cNvSpPr/>
                      <wps:spPr>
                        <a:xfrm>
                          <a:off x="0" y="0"/>
                          <a:ext cx="1574800" cy="508635"/>
                        </a:xfrm>
                        <a:prstGeom prst="wedgeRectCallout">
                          <a:avLst>
                            <a:gd name="adj1" fmla="val 76975"/>
                            <a:gd name="adj2" fmla="val 164606"/>
                          </a:avLst>
                        </a:prstGeom>
                        <a:ln>
                          <a:solidFill>
                            <a:srgbClr val="C00000"/>
                          </a:solidFill>
                        </a:ln>
                      </wps:spPr>
                      <wps:style>
                        <a:lnRef idx="2">
                          <a:schemeClr val="dk1"/>
                        </a:lnRef>
                        <a:fillRef idx="1">
                          <a:schemeClr val="lt1"/>
                        </a:fillRef>
                        <a:effectRef idx="0">
                          <a:schemeClr val="dk1"/>
                        </a:effectRef>
                        <a:fontRef idx="minor">
                          <a:schemeClr val="dk1"/>
                        </a:fontRef>
                      </wps:style>
                      <wps:txbx>
                        <w:txbxContent>
                          <w:p w14:paraId="0751E236">
                            <w:pPr>
                              <w:spacing w:line="240" w:lineRule="auto"/>
                              <w:ind w:firstLine="0" w:firstLineChars="0"/>
                              <w:jc w:val="center"/>
                              <w:rPr>
                                <w:rFonts w:hint="default" w:eastAsiaTheme="minorEastAsia"/>
                                <w:lang w:val="en-US" w:eastAsia="zh-CN"/>
                              </w:rPr>
                            </w:pPr>
                            <w:r>
                              <w:rPr>
                                <w:rFonts w:hint="eastAsia"/>
                                <w:sz w:val="28"/>
                                <w:szCs w:val="28"/>
                                <w:lang w:val="en-US" w:eastAsia="zh-CN"/>
                              </w:rPr>
                              <w:t>地下水评价范围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1.1pt;margin-top:21.1pt;height:40.05pt;width:124pt;z-index:251661312;v-text-anchor:middle;mso-width-relative:page;mso-height-relative:page;" fillcolor="#FFFFFF [3201]" filled="t" stroked="t" coordsize="21600,21600" o:gfxdata="UEsDBAoAAAAAAIdO4kAAAAAAAAAAAAAAAAAEAAAAZHJzL1BLAwQUAAAACACHTuJAwBWN4dcAAAAK&#10;AQAADwAAAGRycy9kb3ducmV2LnhtbE2Pz07DMAzG70i8Q2Qkbixp2dqpa7rDJP5cEDB4gCwxTUWT&#10;VEm2jrfHO4EvtuWfvu9zuz27kZ0wpiF4CcVCAEOvgxl8L+Hz4+FuDSxl5Y0ag0cJP5hg211ftaox&#10;YfbveNrnnpGIT42SYHOeGs6TtuhUWoQJPd2+QnQq0xp7bqKaSdyNvBSi4k4NnhysmnBnUX/vj07C&#10;6q1evdj5eVeZx2ooXp2un6KW8vamEBtgGc/5D4ZLfIoOHWU6hKM3iY0SSipCJSwvnYBlLWg4EFmW&#10;98C7lv9/ofsFUEsDBBQAAAAIAIdO4kA57zhuowIAAE4FAAAOAAAAZHJzL2Uyb0RvYy54bWytVM1u&#10;EzEQviPxDpbvZDchP23UTRUlCkKqaEVAnB2vvbvIf9hONuUFeIwiTnDmzONQXoOx123T0kMP7ME7&#10;4xl/M/ONxyeneynQjlnXaFXgfi/HiCmqy0ZVBX7/bvXiCCPniSqJ0IoV+JI5fDp7/uykNVM20LUW&#10;JbMIQJSbtqbAtfdmmmWO1kwS19OGKTBybSXxoNoqKy1pAV2KbJDn46zVtjRWU+Yc7C47I06I9imA&#10;mvOGsqWmW8mU71AtE8RDSa5ujMOzmC3njPpzzh3zSBQYKvVxhSAgb8KazU7ItLLE1A1NKZCnpPCg&#10;JkkaBUFvoZbEE7S1zT9QsqFWO819j2qZdYVERqCKfv6Am3VNDIu1ANXO3JLu/h8sfbO7sKgpCzyY&#10;YKSIhI7/ufrx+9e3669frn9+R7ANHLXGTcF1bS5s0hyIoeA9tzL8oRS0j7xe3vLK9h5R2OyPJsOj&#10;HCinYBvlR+OXowCa3Z021vlXTEsUhAK3rKzYW2jeggihtz5SS3ZnzkeOy5QoKT/2MeJSQMt2RKDJ&#10;+HgSkaEPBz6DQ5/+eDjOxyl8goREbhII+E6Lplw1QkTFVpuFsAjwC7yKXzp8z00o1AKHo2Esk8Bc&#10;cLiPULE0wK1TFUZEVDBw1NtYzb3T7jDIIg/fY0FCkkvi6i6ZiJDchAI6Q5O6tgTJ7zf71KuNLi+h&#10;y1Z3198ZumoA6ow4f0EskAetgRfBn8PChYZCdJIwqrX9/Nh+8IdrCFaMWpgfKPLTlliGkXit4IIe&#10;94fDMHBRGY4mA1DsoWVzaFFbudBAMLQTsoti8PfiRuRWyw/wcMxDVDARRSF2R2dSFr6ba3h6KJvP&#10;oxsMmSH+TK0NDeChoUrPt17zxocbGIjq2EkKjFm8mOlJCHN8qEevu2dw9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AFY3h1wAAAAoBAAAPAAAAAAAAAAEAIAAAACIAAABkcnMvZG93bnJldi54bWxQ&#10;SwECFAAUAAAACACHTuJAOe84bqMCAABOBQAADgAAAAAAAAABACAAAAAmAQAAZHJzL2Uyb0RvYy54&#10;bWxQSwUGAAAAAAYABgBZAQAAOwYAAAAA&#10;" adj="27427,46355">
                <v:fill on="t" focussize="0,0"/>
                <v:stroke weight="2pt" color="#C00000 [3200]" joinstyle="round"/>
                <v:imagedata o:title=""/>
                <o:lock v:ext="edit" aspectratio="f"/>
                <v:textbox>
                  <w:txbxContent>
                    <w:p w14:paraId="0751E236">
                      <w:pPr>
                        <w:spacing w:line="240" w:lineRule="auto"/>
                        <w:ind w:firstLine="0" w:firstLineChars="0"/>
                        <w:jc w:val="center"/>
                        <w:rPr>
                          <w:rFonts w:hint="default" w:eastAsiaTheme="minorEastAsia"/>
                          <w:lang w:val="en-US" w:eastAsia="zh-CN"/>
                        </w:rPr>
                      </w:pPr>
                      <w:r>
                        <w:rPr>
                          <w:rFonts w:hint="eastAsia"/>
                          <w:sz w:val="28"/>
                          <w:szCs w:val="28"/>
                          <w:lang w:val="en-US" w:eastAsia="zh-CN"/>
                        </w:rPr>
                        <w:t>地下水评价范围</w:t>
                      </w:r>
                    </w:p>
                  </w:txbxContent>
                </v:textbox>
              </v:shape>
            </w:pict>
          </mc:Fallback>
        </mc:AlternateContent>
      </w:r>
      <w:r>
        <w:rPr>
          <w:u w:val="none" w:color="auto"/>
        </w:rPr>
        <w:drawing>
          <wp:inline distT="0" distB="0" distL="114300" distR="114300">
            <wp:extent cx="7186295" cy="4860925"/>
            <wp:effectExtent l="19050" t="19050" r="33655" b="34925"/>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59"/>
                    <a:stretch>
                      <a:fillRect/>
                    </a:stretch>
                  </pic:blipFill>
                  <pic:spPr>
                    <a:xfrm>
                      <a:off x="0" y="0"/>
                      <a:ext cx="7186295" cy="4860925"/>
                    </a:xfrm>
                    <a:prstGeom prst="rect">
                      <a:avLst/>
                    </a:prstGeom>
                    <a:noFill/>
                    <a:ln w="19050">
                      <a:solidFill>
                        <a:schemeClr val="tx1"/>
                      </a:solidFill>
                    </a:ln>
                  </pic:spPr>
                </pic:pic>
              </a:graphicData>
            </a:graphic>
          </wp:inline>
        </w:drawing>
      </w:r>
    </w:p>
    <w:p w14:paraId="35F499C7">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14" w:name="_Toc23111"/>
      <w:bookmarkStart w:id="715" w:name="_Toc20569"/>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附图8  地下水评价范围、引用监测及现状监测点位图</w:t>
      </w:r>
      <w:bookmarkEnd w:id="714"/>
      <w:bookmarkEnd w:id="715"/>
    </w:p>
    <w:p w14:paraId="05FF5DD6">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sz w:val="24"/>
          <w:u w:val="none" w:color="auto"/>
        </w:rPr>
        <w:drawing>
          <wp:anchor distT="0" distB="0" distL="114300" distR="114300" simplePos="0" relativeHeight="251671552" behindDoc="0" locked="0" layoutInCell="1" allowOverlap="1">
            <wp:simplePos x="0" y="0"/>
            <wp:positionH relativeFrom="column">
              <wp:posOffset>7363460</wp:posOffset>
            </wp:positionH>
            <wp:positionV relativeFrom="paragraph">
              <wp:posOffset>38100</wp:posOffset>
            </wp:positionV>
            <wp:extent cx="892175" cy="784860"/>
            <wp:effectExtent l="0" t="0" r="3175" b="1524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175" cy="784860"/>
                    </a:xfrm>
                    <a:prstGeom prst="rect">
                      <a:avLst/>
                    </a:prstGeom>
                  </pic:spPr>
                </pic:pic>
              </a:graphicData>
            </a:graphic>
          </wp:anchor>
        </w:drawing>
      </w:r>
      <w:r>
        <w:rPr>
          <w:u w:val="none" w:color="auto"/>
        </w:rPr>
        <w:drawing>
          <wp:inline distT="0" distB="0" distL="114300" distR="114300">
            <wp:extent cx="7695565" cy="4867910"/>
            <wp:effectExtent l="19050" t="19050" r="19685" b="27940"/>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60"/>
                    <a:stretch>
                      <a:fillRect/>
                    </a:stretch>
                  </pic:blipFill>
                  <pic:spPr>
                    <a:xfrm>
                      <a:off x="0" y="0"/>
                      <a:ext cx="7695565" cy="4867910"/>
                    </a:xfrm>
                    <a:prstGeom prst="rect">
                      <a:avLst/>
                    </a:prstGeom>
                    <a:noFill/>
                    <a:ln w="19050">
                      <a:solidFill>
                        <a:schemeClr val="tx1"/>
                      </a:solidFill>
                    </a:ln>
                  </pic:spPr>
                </pic:pic>
              </a:graphicData>
            </a:graphic>
          </wp:inline>
        </w:drawing>
      </w:r>
    </w:p>
    <w:p w14:paraId="48DA6237">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16" w:name="_Toc12684"/>
      <w:bookmarkStart w:id="717" w:name="_Toc4658"/>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附图9  噪声现状监测点位图</w:t>
      </w:r>
      <w:bookmarkEnd w:id="716"/>
      <w:bookmarkEnd w:id="717"/>
    </w:p>
    <w:p w14:paraId="3A4A2B66">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sz w:val="24"/>
          <w:u w:val="none" w:color="auto"/>
        </w:rPr>
        <w:drawing>
          <wp:anchor distT="0" distB="0" distL="114300" distR="114300" simplePos="0" relativeHeight="251672576" behindDoc="0" locked="0" layoutInCell="1" allowOverlap="1">
            <wp:simplePos x="0" y="0"/>
            <wp:positionH relativeFrom="column">
              <wp:posOffset>7753985</wp:posOffset>
            </wp:positionH>
            <wp:positionV relativeFrom="paragraph">
              <wp:posOffset>28575</wp:posOffset>
            </wp:positionV>
            <wp:extent cx="892175" cy="784860"/>
            <wp:effectExtent l="0" t="0" r="3175" b="1524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175" cy="784860"/>
                    </a:xfrm>
                    <a:prstGeom prst="rect">
                      <a:avLst/>
                    </a:prstGeom>
                  </pic:spPr>
                </pic:pic>
              </a:graphicData>
            </a:graphic>
          </wp:anchor>
        </w:drawing>
      </w:r>
      <w:r>
        <w:rPr>
          <w:u w:val="none" w:color="auto"/>
        </w:rPr>
        <w:drawing>
          <wp:inline distT="0" distB="0" distL="114300" distR="114300">
            <wp:extent cx="8498840" cy="4865370"/>
            <wp:effectExtent l="19050" t="19050" r="35560" b="30480"/>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61"/>
                    <a:stretch>
                      <a:fillRect/>
                    </a:stretch>
                  </pic:blipFill>
                  <pic:spPr>
                    <a:xfrm>
                      <a:off x="0" y="0"/>
                      <a:ext cx="8498840" cy="4865370"/>
                    </a:xfrm>
                    <a:prstGeom prst="rect">
                      <a:avLst/>
                    </a:prstGeom>
                    <a:noFill/>
                    <a:ln w="19050">
                      <a:solidFill>
                        <a:schemeClr val="tx1"/>
                      </a:solidFill>
                    </a:ln>
                  </pic:spPr>
                </pic:pic>
              </a:graphicData>
            </a:graphic>
          </wp:inline>
        </w:drawing>
      </w:r>
    </w:p>
    <w:p w14:paraId="51112ABA">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18" w:name="_Toc3436"/>
      <w:bookmarkStart w:id="719" w:name="_Toc21977"/>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附图10  土壤现状监测点位图</w:t>
      </w:r>
      <w:bookmarkEnd w:id="718"/>
      <w:bookmarkEnd w:id="719"/>
    </w:p>
    <w:p w14:paraId="414F76AB">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sz w:val="24"/>
          <w:u w:val="none" w:color="auto"/>
        </w:rPr>
        <w:drawing>
          <wp:anchor distT="0" distB="0" distL="114300" distR="114300" simplePos="0" relativeHeight="251673600" behindDoc="0" locked="0" layoutInCell="1" allowOverlap="1">
            <wp:simplePos x="0" y="0"/>
            <wp:positionH relativeFrom="column">
              <wp:posOffset>8068310</wp:posOffset>
            </wp:positionH>
            <wp:positionV relativeFrom="paragraph">
              <wp:posOffset>-85725</wp:posOffset>
            </wp:positionV>
            <wp:extent cx="892175" cy="784860"/>
            <wp:effectExtent l="0" t="0" r="3175" b="1524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175" cy="784860"/>
                    </a:xfrm>
                    <a:prstGeom prst="rect">
                      <a:avLst/>
                    </a:prstGeom>
                  </pic:spPr>
                </pic:pic>
              </a:graphicData>
            </a:graphic>
          </wp:anchor>
        </w:drawing>
      </w:r>
      <w:r>
        <w:rPr>
          <w:rFonts w:hint="eastAsia" w:ascii="Times New Roman" w:hAnsi="Times New Roman" w:eastAsia="宋体" w:cs="Times New Roman"/>
          <w:color w:val="000000" w:themeColor="text1"/>
          <w:u w:val="none" w:color="auto"/>
          <w:lang w:val="en-US" w:eastAsia="zh-CN"/>
          <w14:textFill>
            <w14:solidFill>
              <w14:schemeClr w14:val="tx1"/>
            </w14:solidFill>
          </w14:textFill>
        </w:rPr>
        <w:object>
          <v:shape id="_x0000_i1034" o:spt="75" type="#_x0000_t75" style="height:381.6pt;width:629.3pt;" o:ole="t" filled="f" o:preferrelative="t" stroked="f" coordsize="21600,21600">
            <v:path/>
            <v:fill on="f" focussize="0,0"/>
            <v:stroke on="f"/>
            <v:imagedata r:id="rId63" o:title=""/>
            <o:lock v:ext="edit" aspectratio="f"/>
            <w10:wrap type="none"/>
            <w10:anchorlock/>
          </v:shape>
          <o:OLEObject Type="Embed" ProgID="Visio.Drawing.11" ShapeID="_x0000_i1034" DrawAspect="Content" ObjectID="_1468075734" r:id="rId62">
            <o:LockedField>false</o:LockedField>
          </o:OLEObject>
        </w:object>
      </w:r>
    </w:p>
    <w:p w14:paraId="4FAB0E8E">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20" w:name="_Toc15553"/>
      <w:bookmarkStart w:id="721" w:name="_Toc11889"/>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附图11  项目平面布置图</w:t>
      </w:r>
      <w:bookmarkEnd w:id="720"/>
      <w:bookmarkEnd w:id="721"/>
    </w:p>
    <w:p w14:paraId="43B65518">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sz w:val="24"/>
          <w:u w:val="none" w:color="auto"/>
        </w:rPr>
        <w:drawing>
          <wp:anchor distT="0" distB="0" distL="114300" distR="114300" simplePos="0" relativeHeight="251674624" behindDoc="0" locked="0" layoutInCell="1" allowOverlap="1">
            <wp:simplePos x="0" y="0"/>
            <wp:positionH relativeFrom="column">
              <wp:posOffset>7963535</wp:posOffset>
            </wp:positionH>
            <wp:positionV relativeFrom="paragraph">
              <wp:posOffset>-114300</wp:posOffset>
            </wp:positionV>
            <wp:extent cx="892175" cy="784860"/>
            <wp:effectExtent l="0" t="0" r="3175" b="1524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175" cy="784860"/>
                    </a:xfrm>
                    <a:prstGeom prst="rect">
                      <a:avLst/>
                    </a:prstGeom>
                  </pic:spPr>
                </pic:pic>
              </a:graphicData>
            </a:graphic>
          </wp:anchor>
        </w:drawing>
      </w:r>
      <w:r>
        <w:rPr>
          <w:rFonts w:hint="eastAsia" w:ascii="Times New Roman" w:hAnsi="Times New Roman" w:eastAsia="宋体" w:cs="Times New Roman"/>
          <w:color w:val="000000" w:themeColor="text1"/>
          <w:u w:val="none" w:color="auto"/>
          <w:lang w:val="en-US" w:eastAsia="zh-CN"/>
          <w14:textFill>
            <w14:solidFill>
              <w14:schemeClr w14:val="tx1"/>
            </w14:solidFill>
          </w14:textFill>
        </w:rPr>
        <w:object>
          <v:shape id="_x0000_i1035" o:spt="75" type="#_x0000_t75" style="height:340.25pt;width:697.45pt;" o:ole="t" filled="f" o:preferrelative="t" stroked="f" coordsize="21600,21600">
            <v:path/>
            <v:fill on="f" focussize="0,0"/>
            <v:stroke on="f"/>
            <v:imagedata r:id="rId65" o:title=""/>
            <o:lock v:ext="edit" aspectratio="f"/>
            <w10:wrap type="none"/>
            <w10:anchorlock/>
          </v:shape>
          <o:OLEObject Type="Embed" ProgID="Visio.Drawing.11" ShapeID="_x0000_i1035" DrawAspect="Content" ObjectID="_1468075735" r:id="rId64">
            <o:LockedField>false</o:LockedField>
          </o:OLEObject>
        </w:object>
      </w:r>
    </w:p>
    <w:p w14:paraId="2D4F51E8">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22" w:name="_Toc28137"/>
      <w:bookmarkStart w:id="723" w:name="_Toc15516"/>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附图12  分区防渗示意图</w:t>
      </w:r>
      <w:bookmarkEnd w:id="722"/>
      <w:bookmarkEnd w:id="723"/>
    </w:p>
    <w:p w14:paraId="6CAF4488">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sz w:val="24"/>
          <w:u w:val="none" w:color="auto"/>
        </w:rPr>
        <w:drawing>
          <wp:anchor distT="0" distB="0" distL="114300" distR="114300" simplePos="0" relativeHeight="251675648" behindDoc="0" locked="0" layoutInCell="1" allowOverlap="1">
            <wp:simplePos x="0" y="0"/>
            <wp:positionH relativeFrom="column">
              <wp:posOffset>7963535</wp:posOffset>
            </wp:positionH>
            <wp:positionV relativeFrom="paragraph">
              <wp:posOffset>-114300</wp:posOffset>
            </wp:positionV>
            <wp:extent cx="892175" cy="784860"/>
            <wp:effectExtent l="0" t="0" r="3175" b="1524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175" cy="784860"/>
                    </a:xfrm>
                    <a:prstGeom prst="rect">
                      <a:avLst/>
                    </a:prstGeom>
                  </pic:spPr>
                </pic:pic>
              </a:graphicData>
            </a:graphic>
          </wp:anchor>
        </w:drawing>
      </w:r>
      <w:r>
        <w:rPr>
          <w:rFonts w:hint="eastAsia" w:ascii="Times New Roman" w:hAnsi="Times New Roman" w:eastAsia="宋体" w:cs="Times New Roman"/>
          <w:color w:val="000000" w:themeColor="text1"/>
          <w:u w:val="none" w:color="auto"/>
          <w:lang w:val="en-US" w:eastAsia="zh-CN"/>
          <w14:textFill>
            <w14:solidFill>
              <w14:schemeClr w14:val="tx1"/>
            </w14:solidFill>
          </w14:textFill>
        </w:rPr>
        <w:object>
          <v:shape id="_x0000_i1036" o:spt="75" type="#_x0000_t75" style="height:340.25pt;width:697.45pt;" o:ole="t" filled="f" o:preferrelative="t" stroked="f" coordsize="21600,21600">
            <v:path/>
            <v:fill on="f" focussize="0,0"/>
            <v:stroke on="f"/>
            <v:imagedata r:id="rId67" o:title=""/>
            <o:lock v:ext="edit" aspectratio="f"/>
            <w10:wrap type="none"/>
            <w10:anchorlock/>
          </v:shape>
          <o:OLEObject Type="Embed" ProgID="Visio.Drawing.11" ShapeID="_x0000_i1036" DrawAspect="Content" ObjectID="_1468075736" r:id="rId66">
            <o:LockedField>false</o:LockedField>
          </o:OLEObject>
        </w:object>
      </w:r>
    </w:p>
    <w:p w14:paraId="3ACD55D9">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24" w:name="_Toc30313"/>
      <w:bookmarkStart w:id="725" w:name="_Toc20725"/>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附图13  危险单元分布图</w:t>
      </w:r>
      <w:bookmarkEnd w:id="724"/>
      <w:bookmarkEnd w:id="725"/>
    </w:p>
    <w:p w14:paraId="0D7FFF81">
      <w:pPr>
        <w:keepNext w:val="0"/>
        <w:keepLines w:val="0"/>
        <w:pageBreakBefore w:val="0"/>
        <w:widowControl w:val="0"/>
        <w:kinsoku/>
        <w:wordWrap/>
        <w:overflowPunct/>
        <w:topLinePunct w:val="0"/>
        <w:autoSpaceDE w:val="0"/>
        <w:autoSpaceDN w:val="0"/>
        <w:bidi w:val="0"/>
        <w:spacing w:line="360" w:lineRule="auto"/>
        <w:jc w:val="center"/>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sz w:val="24"/>
          <w:u w:val="none" w:color="auto"/>
        </w:rPr>
        <mc:AlternateContent>
          <mc:Choice Requires="wps">
            <w:drawing>
              <wp:anchor distT="0" distB="0" distL="114300" distR="114300" simplePos="0" relativeHeight="251679744" behindDoc="0" locked="0" layoutInCell="1" allowOverlap="1">
                <wp:simplePos x="0" y="0"/>
                <wp:positionH relativeFrom="column">
                  <wp:posOffset>6932295</wp:posOffset>
                </wp:positionH>
                <wp:positionV relativeFrom="paragraph">
                  <wp:posOffset>2845435</wp:posOffset>
                </wp:positionV>
                <wp:extent cx="619760" cy="161925"/>
                <wp:effectExtent l="28575" t="12065" r="0" b="15875"/>
                <wp:wrapNone/>
                <wp:docPr id="45" name="右箭头 45"/>
                <wp:cNvGraphicFramePr/>
                <a:graphic xmlns:a="http://schemas.openxmlformats.org/drawingml/2006/main">
                  <a:graphicData uri="http://schemas.microsoft.com/office/word/2010/wordprocessingShape">
                    <wps:wsp>
                      <wps:cNvSpPr/>
                      <wps:spPr>
                        <a:xfrm rot="1596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545.85pt;margin-top:224.05pt;height:12.75pt;width:48.8pt;rotation:-6160384f;z-index:251679744;v-text-anchor:middle;mso-width-relative:page;mso-height-relative:page;" fillcolor="#FFFF00" filled="t" stroked="t" coordsize="21600,21600" o:gfxdata="UEsDBAoAAAAAAIdO4kAAAAAAAAAAAAAAAAAEAAAAZHJzL1BLAwQUAAAACACHTuJAM8pmWdgAAAAN&#10;AQAADwAAAGRycy9kb3ducmV2LnhtbE2Py07DMBBF90j8gzVI7KhtWtI0xOkChGBLWxBLJx6SCD+i&#10;2G3C3zNdleWdObqPcjs7y044xj54BXIhgKFvgul9q+Cwf7nLgcWkvdE2eFTwixG21fVVqQsTJv+O&#10;p11qGZn4WGgFXUpDwXlsOnQ6LsKAnn7fYXQ6kRxbbkY9kbmz/F6IjDvde0ro9IBPHTY/u6OjXLkP&#10;9eF1+sqzNn6+hdk+PH9YpW5vpHgElnBOFxjO9ak6VNSpDkdvIrOkxUauiVWwWuUS2BmR+WYJrKbT&#10;epkBr0r+f0X1B1BLAwQUAAAACACHTuJAvmcHQ28CAAD2BAAADgAAAGRycy9lMm9Eb2MueG1srVTN&#10;bhMxEL4j8Q6W73SzUZLSqJsqahSEVEGlgjg7Xm/Wkv+wnWzKS/ASXOECr1TxGnz2bn/h0AN7sGY8&#10;M9/MfJ7Z07ODVmQvfJDWVLQ8GlEiDLe1NNuKfvywfvWakhCZqZmyRlT0WgR6tnj54rRzczG2rVW1&#10;8AQgJsw7V9E2RjcvisBboVk4sk4YGBvrNYtQ/baoPeuArlUxHo1mRWd97bzlIgTcrnojHRD9cwBt&#10;00guVpbvtDCxR/VCsYiWQitdoItcbdMIHt83TRCRqIqi05hPJIG8SWexOGXzrWeulXwogT2nhCc9&#10;aSYNkt5BrVhkZOflX1Bacm+DbeIRt7roG8mMoIty9ISbq5Y5kXsB1cHdkR7+Hyx/t7/0RNYVnUwp&#10;MUzjxW++/vz94/vNt18EdyCoc2EOvyt36QctQEzdHhqvibdgtZyezEb4Mgloixwyx9d3HItDJByX&#10;s/LkeAb2OUwllHFOUfRYCdP5EN8Iq0kSKurlto1L722Xodn+IkRUgYBbxxQUrJL1WiqVFb/dnCtP&#10;9gyPvsaHsvqQR27KkK6i4+kEZsIZRrnBCEHUDnQEs6WEqS12hEefcz+KDs9LkopcsdD2xWSEoRZl&#10;0EWiticzSRtbX+M1MqGoKTi+loi/YCFeMo+5xCU2N77H0SiL6u0gUdJa/+Vf98kf4wIrJR3mHJ19&#10;3jEvKFFvDQbppJxMABuzMpkej6H4h5bNQ4vZ6XMLVstcXRaTf1S3YuOt/oQFX6asMDHDkbvncFDO&#10;Y79/+EVwsVxmNyyDY/HCXDmewNMrGrvcRdvI/Nr37AykYR3yEAyrm/btoZ697n9Xi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zymZZ2AAAAA0BAAAPAAAAAAAAAAEAIAAAACIAAABkcnMvZG93bnJl&#10;di54bWxQSwECFAAUAAAACACHTuJAvmcHQ28CAAD2BAAADgAAAAAAAAABACAAAAAnAQAAZHJzL2Uy&#10;b0RvYy54bWxQSwUGAAAAAAYABgBZAQAACAYAAAAA&#10;" adj="18779,5400">
                <v:fill on="t" focussize="0,0"/>
                <v:stroke weight="2pt" color="#FFFF00 [2404]" joinstyle="round"/>
                <v:imagedata o:title=""/>
                <o:lock v:ext="edit" aspectratio="f"/>
              </v:shape>
            </w:pict>
          </mc:Fallback>
        </mc:AlternateContent>
      </w:r>
      <w:r>
        <w:rPr>
          <w:u w:val="none" w:color="auto"/>
        </w:rPr>
        <mc:AlternateContent>
          <mc:Choice Requires="wps">
            <w:drawing>
              <wp:anchor distT="0" distB="0" distL="114300" distR="114300" simplePos="0" relativeHeight="251688960" behindDoc="0" locked="0" layoutInCell="1" allowOverlap="1">
                <wp:simplePos x="0" y="0"/>
                <wp:positionH relativeFrom="column">
                  <wp:posOffset>5792470</wp:posOffset>
                </wp:positionH>
                <wp:positionV relativeFrom="paragraph">
                  <wp:posOffset>239395</wp:posOffset>
                </wp:positionV>
                <wp:extent cx="1574800" cy="508635"/>
                <wp:effectExtent l="12700" t="12700" r="698500" b="31115"/>
                <wp:wrapNone/>
                <wp:docPr id="56" name="矩形标注 56"/>
                <wp:cNvGraphicFramePr/>
                <a:graphic xmlns:a="http://schemas.openxmlformats.org/drawingml/2006/main">
                  <a:graphicData uri="http://schemas.microsoft.com/office/word/2010/wordprocessingShape">
                    <wps:wsp>
                      <wps:cNvSpPr/>
                      <wps:spPr>
                        <a:xfrm>
                          <a:off x="0" y="0"/>
                          <a:ext cx="1574800" cy="508635"/>
                        </a:xfrm>
                        <a:prstGeom prst="wedgeRectCallout">
                          <a:avLst>
                            <a:gd name="adj1" fmla="val 92701"/>
                            <a:gd name="adj2" fmla="val 41011"/>
                          </a:avLst>
                        </a:prstGeom>
                        <a:ln>
                          <a:solidFill>
                            <a:srgbClr val="C00000"/>
                          </a:solidFill>
                        </a:ln>
                      </wps:spPr>
                      <wps:style>
                        <a:lnRef idx="2">
                          <a:schemeClr val="dk1"/>
                        </a:lnRef>
                        <a:fillRef idx="1">
                          <a:schemeClr val="lt1"/>
                        </a:fillRef>
                        <a:effectRef idx="0">
                          <a:schemeClr val="dk1"/>
                        </a:effectRef>
                        <a:fontRef idx="minor">
                          <a:schemeClr val="dk1"/>
                        </a:fontRef>
                      </wps:style>
                      <wps:txbx>
                        <w:txbxContent>
                          <w:p w14:paraId="04A2FD5E">
                            <w:pPr>
                              <w:spacing w:line="240" w:lineRule="auto"/>
                              <w:ind w:firstLine="0" w:firstLineChars="0"/>
                              <w:jc w:val="center"/>
                              <w:rPr>
                                <w:rFonts w:hint="default" w:eastAsiaTheme="minorEastAsia"/>
                                <w:lang w:val="en-US" w:eastAsia="zh-CN"/>
                              </w:rPr>
                            </w:pPr>
                            <w:r>
                              <w:rPr>
                                <w:rFonts w:hint="eastAsia"/>
                                <w:sz w:val="28"/>
                                <w:szCs w:val="28"/>
                                <w:lang w:val="en-US" w:eastAsia="zh-CN"/>
                              </w:rPr>
                              <w:t>厂区出入口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6.1pt;margin-top:18.85pt;height:40.05pt;width:124pt;z-index:251688960;v-text-anchor:middle;mso-width-relative:page;mso-height-relative:page;" fillcolor="#FFFFFF [3201]" filled="t" stroked="t" coordsize="21600,21600" o:gfxdata="UEsDBAoAAAAAAIdO4kAAAAAAAAAAAAAAAAAEAAAAZHJzL1BLAwQUAAAACACHTuJArk78ytgAAAAL&#10;AQAADwAAAGRycy9kb3ducmV2LnhtbE2PTU+EMBCG7yb+h2ZMvLktGGEXKZuo4eDBg6uJ2VuhIxDp&#10;FGm7rP/ectLbfDx555lyfzYjO+HsBksSko0AhtRaPVAn4f2tvtkCc16RVqMllPCDDvbV5UWpCm0X&#10;esXTwXcshpArlITe+6ng3LU9GuU2dkKKu087G+VjO3dcz2qJ4WbkqRAZN2qgeKFXEz722H4dgpEg&#10;HrqXbLhrQo2m/liO3+HZPgUpr68ScQ/M49n/wbDqR3WoolNjA2nHRgm7JE0jKuE2z4GtQJKJOGnW&#10;Kt8Cr0r+/4fqF1BLAwQUAAAACACHTuJAh3dMfqICAABNBQAADgAAAGRycy9lMm9Eb2MueG1srVTN&#10;bhMxEL4j8Q6W72R3Q9KfqJsqShSEVNGKgDg7XnvXyH/YTjblBXiMIk5w5szjUF6DsXfbpqWHHtjD&#10;7oxn9puZb2Z8crpTEm2Z88LoEheDHCOmqamErkv8/t3yxRFGPhBdEWk0K/El8/h0+vzZSWsnbGga&#10;IyvmEIBoP2ltiZsQ7CTLPG2YIn5gLNNg5MYpEkB1dVY50gK6ktkwzw+y1rjKOkOZ93C66Iy4R3RP&#10;ATScC8oWhm4U06FDdUySACX5RliPpylbzhkN55x7FpAsMVQa0huCgLyO72x6Qia1I7YRtE+BPCWF&#10;BzUpIjQEvYVakEDQxol/oJSgznjDw4AalXWFJEagiiJ/wM2qIZalWoBqb29J9/8Plr7ZXjgkqhKP&#10;DzDSREHH/1z9+P3r2/XXL9c/vyM4Bo5a6yfgurIXrtc8iLHgHXcqfqEUtEu8Xt7yynYBUTgsxoej&#10;oxwop2Ab50cHL8cRNLv72zofXjGjUBRK3LKqZm+heXMipdmERC3ZnvmQOK76REn1scCIKwkt2xKJ&#10;joeHedG3dM9nuO8zKvIi+UD0HhGkm/gR3hspqqWQMimuXs+lQwBf4mV6+tTvuUmN2hIPx6NUJYG1&#10;4DCOULCyQK3XNUZE1rBvNLhUzL2//X6QeR6fx4LEJBfEN10yCaF3kxrYjD3quhKlsFvv+latTXUJ&#10;TXamm35v6VIA1Bnx4YI44A46AxdCOIcXlwYKMb2EUWPc58fOoz9MIVgxamF9oMhPG+IYRvK1hvk8&#10;LkajuG9JGY0Ph6C4fct636I3am6AYOgmZJfE6B/kjcidUR/g3pjFqGAimkLsjs5emYdureHmoWw2&#10;S26wY5aEM72yNILHhmoz2wTDRYgDGInq2OkV2LI0l/2NENd4X09ed7fg9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CuTvzK2AAAAAsBAAAPAAAAAAAAAAEAIAAAACIAAABkcnMvZG93bnJldi54bWxQ&#10;SwECFAAUAAAACACHTuJAh3dMfqICAABNBQAADgAAAAAAAAABACAAAAAnAQAAZHJzL2Uyb0RvYy54&#10;bWxQSwUGAAAAAAYABgBZAQAAOwYAAAAA&#10;" adj="30823,19658">
                <v:fill on="t" focussize="0,0"/>
                <v:stroke weight="2pt" color="#C00000 [3200]" joinstyle="round"/>
                <v:imagedata o:title=""/>
                <o:lock v:ext="edit" aspectratio="f"/>
                <v:textbox>
                  <w:txbxContent>
                    <w:p w14:paraId="04A2FD5E">
                      <w:pPr>
                        <w:spacing w:line="240" w:lineRule="auto"/>
                        <w:ind w:firstLine="0" w:firstLineChars="0"/>
                        <w:jc w:val="center"/>
                        <w:rPr>
                          <w:rFonts w:hint="default" w:eastAsiaTheme="minorEastAsia"/>
                          <w:lang w:val="en-US" w:eastAsia="zh-CN"/>
                        </w:rPr>
                      </w:pPr>
                      <w:r>
                        <w:rPr>
                          <w:rFonts w:hint="eastAsia"/>
                          <w:sz w:val="28"/>
                          <w:szCs w:val="28"/>
                          <w:lang w:val="en-US" w:eastAsia="zh-CN"/>
                        </w:rPr>
                        <w:t>厂区出入口</w:t>
                      </w:r>
                    </w:p>
                  </w:txbxContent>
                </v:textbox>
              </v:shape>
            </w:pict>
          </mc:Fallback>
        </mc:AlternateContent>
      </w:r>
      <w:r>
        <w:rPr>
          <w:sz w:val="24"/>
          <w:u w:val="none" w:color="auto"/>
        </w:rPr>
        <mc:AlternateContent>
          <mc:Choice Requires="wps">
            <w:drawing>
              <wp:anchor distT="0" distB="0" distL="114300" distR="114300" simplePos="0" relativeHeight="251689984" behindDoc="0" locked="0" layoutInCell="1" allowOverlap="1">
                <wp:simplePos x="0" y="0"/>
                <wp:positionH relativeFrom="column">
                  <wp:posOffset>8091170</wp:posOffset>
                </wp:positionH>
                <wp:positionV relativeFrom="paragraph">
                  <wp:posOffset>768350</wp:posOffset>
                </wp:positionV>
                <wp:extent cx="619760" cy="161925"/>
                <wp:effectExtent l="15240" t="32385" r="12700" b="15240"/>
                <wp:wrapNone/>
                <wp:docPr id="55" name="右箭头 55"/>
                <wp:cNvGraphicFramePr/>
                <a:graphic xmlns:a="http://schemas.openxmlformats.org/drawingml/2006/main">
                  <a:graphicData uri="http://schemas.microsoft.com/office/word/2010/wordprocessingShape">
                    <wps:wsp>
                      <wps:cNvSpPr/>
                      <wps:spPr>
                        <a:xfrm rot="2130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637.1pt;margin-top:60.5pt;height:12.75pt;width:48.8pt;rotation:-327680f;z-index:251689984;v-text-anchor:middle;mso-width-relative:page;mso-height-relative:page;" fillcolor="#FFFF00" filled="t" stroked="t" coordsize="21600,21600" o:gfxdata="UEsDBAoAAAAAAIdO4kAAAAAAAAAAAAAAAAAEAAAAZHJzL1BLAwQUAAAACACHTuJAJ/tv0NsAAAAN&#10;AQAADwAAAGRycy9kb3ducmV2LnhtbE2PzU7DMBCE70i8g7VI3KidUFoU4vQAKjkg8RMQEjcnNklo&#10;vI5st03fns0JbjPaT7Mz+WayAzsYH3qHEpKFAGawcbrHVsLH+/bqFliICrUaHBoJJxNgU5yf5SrT&#10;7ohv5lDFllEIhkxJ6GIcM85D0xmrwsKNBun27bxVkaxvufbqSOF24KkQK25Vj/ShU6O570yzq/ZW&#10;Qn16fH7dluXnNP28VA/+aTd+lULKy4tE3AGLZop/MMz1qToU1Kl2e9SBDeTT9TIldlYJrZqR63VC&#10;c2pSy9UN8CLn/1cUv1BLAwQUAAAACACHTuJAuJfnI24CAAD2BAAADgAAAGRycy9lMm9Eb2MueG1s&#10;rVTNbhMxEL4j8Q6W73SzIWlp1KSKGgUhVbRSQZwdr3fXkv+wnWzKS/ASXOECr1TxGnz2bn/h0AN7&#10;sGY8M9/MfJ7Zk9O9VmQnfJDWzGl5MKJEGG4raZo5/fhh/eoNJSEyUzFljZjTaxHo6eLli5POzcTY&#10;tlZVwhOAmDDr3Jy2MbpZUQTeCs3CgXXCwFhbr1mE6pui8qwDulbFeDQ6LDrrK+ctFyHgdtUb6YDo&#10;nwNo61pysbJ8q4WJPaoXikW0FFrpAl3kauta8HhR10FEouYUncZ8IgnkTTqLxQmbNZ65VvKhBPac&#10;Ep70pJk0SHoHtWKRka2Xf0Fpyb0Nto4H3OqibyQzgi7K0RNurlrmRO4FVAd3R3r4f7D8/e7SE1nN&#10;6XRKiWEaL37z9efvH99vvv0iuANBnQsz+F25Sz9oAWLqdl97TbwFq+Py9Sh9mQS0RfaZ4+s7jsU+&#10;Eo7Lw/L46BDsc5hKKOOcouixEqbzIb4VVpMkzKmXTRuX3tsuQ7PdeYioAgG3jikoWCWrtVQqK77Z&#10;nClPdgyPvsaHsvqQR27KkA6FTycwE84wyjVGCKJ2oCOYhhKmGuwIjz7nfhQdnpckFblioe2LyQhD&#10;Lcqgi0RtT2aSNra6xmtkQlFTcHwtEX/OQrxkHnOJS2xuvMBRK4vq7SBR0lr/5V/3yR/jAislHeYc&#10;nX3eMi8oUe8MBum4nEwAG7MymR6NofiHls1Di9nqMwtWy1xdFpN/VLdi7a3+hAVfpqwwMcORu+dw&#10;UM5iv3/4RXCxXGY3LINj8dxcOZ7A0ysau9xGW8v82vfsDKRhHfIQDKub9u2hnr3uf1e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Cf7b9DbAAAADQEAAA8AAAAAAAAAAQAgAAAAIgAAAGRycy9kb3du&#10;cmV2LnhtbFBLAQIUABQAAAAIAIdO4kC4l+cjbgIAAPYEAAAOAAAAAAAAAAEAIAAAACoBAABkcnMv&#10;ZTJvRG9jLnhtbFBLBQYAAAAABgAGAFkBAAAKBg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87936" behindDoc="0" locked="0" layoutInCell="1" allowOverlap="1">
                <wp:simplePos x="0" y="0"/>
                <wp:positionH relativeFrom="column">
                  <wp:posOffset>7298055</wp:posOffset>
                </wp:positionH>
                <wp:positionV relativeFrom="paragraph">
                  <wp:posOffset>1812290</wp:posOffset>
                </wp:positionV>
                <wp:extent cx="619760" cy="161925"/>
                <wp:effectExtent l="28575" t="12065" r="0" b="15875"/>
                <wp:wrapNone/>
                <wp:docPr id="54" name="右箭头 54"/>
                <wp:cNvGraphicFramePr/>
                <a:graphic xmlns:a="http://schemas.openxmlformats.org/drawingml/2006/main">
                  <a:graphicData uri="http://schemas.microsoft.com/office/word/2010/wordprocessingShape">
                    <wps:wsp>
                      <wps:cNvSpPr/>
                      <wps:spPr>
                        <a:xfrm rot="1596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574.65pt;margin-top:142.7pt;height:12.75pt;width:48.8pt;rotation:-6160384f;z-index:251687936;v-text-anchor:middle;mso-width-relative:page;mso-height-relative:page;" fillcolor="#FFFF00" filled="t" stroked="t" coordsize="21600,21600" o:gfxdata="UEsDBAoAAAAAAIdO4kAAAAAAAAAAAAAAAAAEAAAAZHJzL1BLAwQUAAAACACHTuJAYiYuy9kAAAAN&#10;AQAADwAAAGRycy9kb3ducmV2LnhtbE2PwU7DMBBE70j8g7VI3KjtNI2SEKcHECpX2oI4OrFJIux1&#10;FLtN+ve4J3oc7dPM22q7WEPOevKDQwF8xYBobJ0asBNwPLw95UB8kKikcagFXLSHbX1/V8lSuRk/&#10;9HkfOhJL0JdSQB/CWFLq215b6Vdu1BhvP26yMsQ4dVRNco7l1tCEsYxaOWBc6OWoX3rd/u5PNu7y&#10;g2uOu/k7zzr/9e4Ws3n9NEI8PnD2DCToJfzDcNWP6lBHp8adUHliYuZpsY6sgCTfpECuSJJmBZBG&#10;wJqzAmhd0dsv6j9QSwMEFAAAAAgAh07iQHkUMRZvAgAA9gQAAA4AAABkcnMvZTJvRG9jLnhtbK1U&#10;zW4TMRC+I/EOlu90s1GS0qibKmoUhFRBpYI4O15v1pL/sJ1sykvwElzhAq9U8Rp89m5/4dADe7Bm&#10;PDPfzHye2dOzg1ZkL3yQ1lS0PBpRIgy3tTTbin78sH71mpIQmamZskZU9FoEerZ4+eK0c3Mxtq1V&#10;tfAEICbMO1fRNkY3L4rAW6FZOLJOGBgb6zWLUP22qD3rgK5VMR6NZkVnfe285SIE3K56Ix0Q/XMA&#10;bdNILlaW77QwsUf1QrGIlkIrXaCLXG3TCB7fN00QkaiKotOYTySBvElnsThl861nrpV8KIE9p4Qn&#10;PWkmDZLeQa1YZGTn5V9QWnJvg23iEbe66BvJjKCLcvSEm6uWOZF7AdXB3ZEe/h8sf7e/9ETWFZ1O&#10;KDFM48Vvvv78/eP7zbdfBHcgqHNhDr8rd+kHLUBM3R4ar4m3YLWcnsxG+DIJaIscMsfXdxyLQyQc&#10;l7Py5HgG9jlMJZTxNKUoeqyE6XyIb4TVJAkV9XLbxqX3tsvQbH8RYh9w65iCglWyXkulsuK3m3Pl&#10;yZ7h0df4UFYf8shNGdJVdDydwEw4wyg3GCGI2oGOYLaUMLXFjvDoc+5H0eF5SVKRKxbavpiMMNSi&#10;DNpO1PZkJmlj62u8RiYUNQXH1xLxFyzES+Yxl7jE5sb3OBplUb0dJEpa67/86z75Y1xgpaTDnKOz&#10;zzvmBSXqrcEgnZSTCWBjVibT4zEU/9CyeWgxO31uwWqZq8ti8o/qVmy81Z+w4MuUFSZmOHL3HA7K&#10;eez3D78ILpbL7IZlcCxemCvHE3h6RWOXu2gbmV/7np2BNKxDnpphddO+PdSz1/3vavE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iYuy9kAAAANAQAADwAAAAAAAAABACAAAAAiAAAAZHJzL2Rvd25y&#10;ZXYueG1sUEsBAhQAFAAAAAgAh07iQHkUMRZvAgAA9gQAAA4AAAAAAAAAAQAgAAAAKAEAAGRycy9l&#10;Mm9Eb2MueG1sUEsFBgAAAAAGAAYAWQEAAAkGA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86912" behindDoc="0" locked="0" layoutInCell="1" allowOverlap="1">
                <wp:simplePos x="0" y="0"/>
                <wp:positionH relativeFrom="column">
                  <wp:posOffset>7717155</wp:posOffset>
                </wp:positionH>
                <wp:positionV relativeFrom="paragraph">
                  <wp:posOffset>1764030</wp:posOffset>
                </wp:positionV>
                <wp:extent cx="619760" cy="161925"/>
                <wp:effectExtent l="28575" t="12065" r="0" b="15875"/>
                <wp:wrapNone/>
                <wp:docPr id="53" name="右箭头 53"/>
                <wp:cNvGraphicFramePr/>
                <a:graphic xmlns:a="http://schemas.openxmlformats.org/drawingml/2006/main">
                  <a:graphicData uri="http://schemas.microsoft.com/office/word/2010/wordprocessingShape">
                    <wps:wsp>
                      <wps:cNvSpPr/>
                      <wps:spPr>
                        <a:xfrm rot="1596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607.65pt;margin-top:138.9pt;height:12.75pt;width:48.8pt;rotation:-6160384f;z-index:251686912;v-text-anchor:middle;mso-width-relative:page;mso-height-relative:page;" fillcolor="#FFFF00" filled="t" stroked="t" coordsize="21600,21600" o:gfxdata="UEsDBAoAAAAAAIdO4kAAAAAAAAAAAAAAAAAEAAAAZHJzL1BLAwQUAAAACACHTuJAUhIfq9gAAAAN&#10;AQAADwAAAGRycy9kb3ducmV2LnhtbE2PzU7DMBCE70i8g7VI3KjjWP1L4/QAQnClLYijE5skwl5H&#10;sduEt2d7guNoRjPflPvZO3axY+wDKhCLDJjFJpgeWwWn4/PDBlhMGo12Aa2CHxthX93elLowYcI3&#10;ezmkllEJxkIr6FIaCs5j01mv4yIMFsn7CqPXieTYcjPqicq943mWrbjXPdJCpwf72Nnm+3D2tCuO&#10;oT69TJ+bVRs/XsPslk/vTqn7O5HtgCU7p78wXPEJHSpiqsMZTWSOdC6WkrIK8vWaTlwjUuRbYLUC&#10;mUkJvCr5/xfVL1BLAwQUAAAACACHTuJAfqRJ+G8CAAD2BAAADgAAAGRycy9lMm9Eb2MueG1srVTN&#10;bhMxEL4j8Q6W73SzIUlp1E0VNQpCqmikgjg7Xu+P5D9sJ5vyErwEV7jAK1W8Bp+921849MAerBnP&#10;zDczn2f29OygJNkL51ujC5ofjSgRmpuy1XVBP35Yv3pDiQ9Ml0waLQp6LTw9W7x8cdrZuRibxshS&#10;OAIQ7eedLWgTgp1nmeeNUMwfGSs0jJVxigWors5KxzqgK5mNR6NZ1hlXWme48B63q95IB0T3HEBT&#10;VS0XK8N3SujQozohWUBLvmmtp4tUbVUJHi6ryotAZEHRaUgnkkDexjNbnLJ57ZhtWj6UwJ5TwpOe&#10;FGs1kt5BrVhgZOfav6BUy53xpgpH3KisbyQxgi7y0RNurhpmReoFVHt7R7r/f7D8/X7jSFsWdPqa&#10;Es0UXvzm68/fP77ffPtFcAeCOuvn8LuyGzdoHmLs9lA5RZwBq/n0ZDbCl0hAW+SQOL6+41gcAuG4&#10;nOUnxzOwz2HKoYynMUXWY0VM63x4K4wiUSioa+smLJ0zXYJm+wsf+oBbxxjkjWzLdStlUly9PZeO&#10;7BkefY0PZfUhj9ykJl1Bx9MJzIQzjHKFEYKoLOjwuqaEyRo7woNLuR9F++cliUWumG/6YhLCUIvU&#10;aDtS25MZpa0pr/EaiVDU5C1ft4i/YD5smMNc4hKbGy5xVNKgejNIlDTGffnXffTHuMBKSYc5R2ef&#10;d8wJSuQ7jUE6yScTwIakTKbHYyjuoWX70KJ36tyA1TxVl8ToH+StWDmjPmHBlzErTExz5O45HJTz&#10;0O8ffhFcLJfJDctgWbjQV5ZH8PiK2ix3wVRteu17dgbSsA5paobVjfv2UE9e97+rx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SEh+r2AAAAA0BAAAPAAAAAAAAAAEAIAAAACIAAABkcnMvZG93bnJl&#10;di54bWxQSwECFAAUAAAACACHTuJAfqRJ+G8CAAD2BAAADgAAAAAAAAABACAAAAAnAQAAZHJzL2Uy&#10;b0RvYy54bWxQSwUGAAAAAAYABgBZAQAACAY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85888" behindDoc="0" locked="0" layoutInCell="1" allowOverlap="1">
                <wp:simplePos x="0" y="0"/>
                <wp:positionH relativeFrom="column">
                  <wp:posOffset>7841615</wp:posOffset>
                </wp:positionH>
                <wp:positionV relativeFrom="paragraph">
                  <wp:posOffset>3265805</wp:posOffset>
                </wp:positionV>
                <wp:extent cx="619760" cy="161925"/>
                <wp:effectExtent l="28575" t="12065" r="0" b="15875"/>
                <wp:wrapNone/>
                <wp:docPr id="52" name="右箭头 52"/>
                <wp:cNvGraphicFramePr/>
                <a:graphic xmlns:a="http://schemas.openxmlformats.org/drawingml/2006/main">
                  <a:graphicData uri="http://schemas.microsoft.com/office/word/2010/wordprocessingShape">
                    <wps:wsp>
                      <wps:cNvSpPr/>
                      <wps:spPr>
                        <a:xfrm rot="1596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617.45pt;margin-top:257.15pt;height:12.75pt;width:48.8pt;rotation:-6160384f;z-index:251685888;v-text-anchor:middle;mso-width-relative:page;mso-height-relative:page;" fillcolor="#FFFF00" filled="t" stroked="t" coordsize="21600,21600" o:gfxdata="UEsDBAoAAAAAAIdO4kAAAAAAAAAAAAAAAAAEAAAAZHJzL1BLAwQUAAAACACHTuJAyqCdctgAAAAN&#10;AQAADwAAAGRycy9kb3ducmV2LnhtbE2PPU/DMBCGdyT+g3VIbNRJ3FRpiNMBhGClLYjRiU0SYZ+j&#10;2G3Cv+c60fG9e/R+VLvFWXY2Uxg8SkhXCTCDrdcDdhKOh5eHAliICrWyHo2EXxNgV9/eVKrUfsZ3&#10;c97HjpEJhlJJ6GMcS85D2xunwsqPBun37SenIsmp43pSM5k7y7Mk2XCnBqSEXo3mqTftz/7kKDc9&#10;+Ob4On8Vmy58vvnF5s8fVsr7uzR5BBbNEv9huNSn6lBTp8afUAdmSWdivSVWQp6uBbALIkSWA2vo&#10;JLYF8Lri1yvqP1BLAwQUAAAACACHTuJAf/Ra2m8CAAD2BAAADgAAAGRycy9lMm9Eb2MueG1srVTN&#10;bhMxEL4j8Q6W73SzUZLSqJsqahSEVEGlgjg7Xm/Wkv+wnWzKS/ASXOECr1TxGnz2bn/h0AN7sGY8&#10;M9/MfJ7Z07ODVmQvfJDWVLQ8GlEiDLe1NNuKfvywfvWakhCZqZmyRlT0WgR6tnj54rRzczG2rVW1&#10;8AQgJsw7V9E2RjcvisBboVk4sk4YGBvrNYtQ/baoPeuArlUxHo1mRWd97bzlIgTcrnojHRD9cwBt&#10;00guVpbvtDCxR/VCsYiWQitdoItcbdMIHt83TRCRqIqi05hPJIG8SWexOGXzrWeulXwogT2nhCc9&#10;aSYNkt5BrVhkZOflX1Bacm+DbeIRt7roG8mMoIty9ISbq5Y5kXsB1cHdkR7+Hyx/t7/0RNYVnY4p&#10;MUzjxW++/vz94/vNt18EdyCoc2EOvyt36QctQEzdHhqvibdgtZyezEb4Mgloixwyx9d3HItDJByX&#10;s/LkeAb2OUwllPE0pSh6rITpfIhvhNUkCRX1ctvGpfe2y9BsfxFiH3DrmIKCVbJeS6Wy4rebc+XJ&#10;nuHR1/hQVh/yyE0Z0lV0PJ3ATDjDKDcYIYjagY5gtpQwtcWO8Ohz7kfR4XlJUpErFtq+mIww1KIM&#10;2k7U9mQmaWPra7xGJhQ1BcfXEvEXLMRL5jGXuMTmxvc4GmVRvR0kSlrrv/zrPvljXGClpMOco7PP&#10;O+YFJeqtwSCdlJMJYGNWJtPjMRT/0LJ5aDE7fW7Bapmry2Lyj+pWbLzVn7Dgy5QVJmY4cvccDsp5&#10;7PcPvwgulsvshmVwLF6YK8cTeHpFY5e7aBuZX/uenYE0rEOemmF107491LPX/e9q8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KoJ1y2AAAAA0BAAAPAAAAAAAAAAEAIAAAACIAAABkcnMvZG93bnJl&#10;di54bWxQSwECFAAUAAAACACHTuJAf/Ra2m8CAAD2BAAADgAAAAAAAAABACAAAAAnAQAAZHJzL2Uy&#10;b0RvYy54bWxQSwUGAAAAAAYABgBZAQAACAY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84864" behindDoc="0" locked="0" layoutInCell="1" allowOverlap="1">
                <wp:simplePos x="0" y="0"/>
                <wp:positionH relativeFrom="column">
                  <wp:posOffset>6944995</wp:posOffset>
                </wp:positionH>
                <wp:positionV relativeFrom="paragraph">
                  <wp:posOffset>4004310</wp:posOffset>
                </wp:positionV>
                <wp:extent cx="619760" cy="161925"/>
                <wp:effectExtent l="15240" t="32385" r="12700" b="15240"/>
                <wp:wrapNone/>
                <wp:docPr id="51" name="右箭头 51"/>
                <wp:cNvGraphicFramePr/>
                <a:graphic xmlns:a="http://schemas.openxmlformats.org/drawingml/2006/main">
                  <a:graphicData uri="http://schemas.microsoft.com/office/word/2010/wordprocessingShape">
                    <wps:wsp>
                      <wps:cNvSpPr/>
                      <wps:spPr>
                        <a:xfrm rot="2130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546.85pt;margin-top:315.3pt;height:12.75pt;width:48.8pt;rotation:-327680f;z-index:251684864;v-text-anchor:middle;mso-width-relative:page;mso-height-relative:page;" fillcolor="#FFFF00" filled="t" stroked="t" coordsize="21600,21600" o:gfxdata="UEsDBAoAAAAAAIdO4kAAAAAAAAAAAAAAAAAEAAAAZHJzL1BLAwQUAAAACACHTuJAMlFZr9wAAAAN&#10;AQAADwAAAGRycy9kb3ducmV2LnhtbE2PwU7DMAyG70i8Q2QkbiwJFYWVpjuARg9IDApC4pY2pi1r&#10;nKrJtu7tyU5w/O1Pvz/nq9kObI+T7x0pkAsBDKlxpqdWwcf7+uoOmA+ajB4coYIjelgV52e5zow7&#10;0Bvuq9CyWEI+0wq6EMaMc990aLVfuBEp7r7dZHWIcWq5mfQhltuBXwuRcqt7ihc6PeJDh8222lkF&#10;9fHp5XVdlp/z/LOpHqfn7fhVCqUuL6S4BxZwDn8wnPSjOhTRqXY7Mp4NMYtlchtZBWkiUmAnRC5l&#10;AqyOo5tUAi9y/v+L4hdQSwMEFAAAAAgAh07iQLzXqqtvAgAA9gQAAA4AAABkcnMvZTJvRG9jLnht&#10;bK1UzW4TMRC+I/EOlu90syFpadSkihoFIVW0UkGcHa9315L/sJ1sykvwElzhAq9U8Rp89m5/4dAD&#10;e7BmPDPfzHye2ZPTvVZkJ3yQ1sxpeTCiRBhuK2maOf34Yf3qDSUhMlMxZY2Y02sR6Oni5YuTzs3E&#10;2LZWVcITgJgw69yctjG6WVEE3grNwoF1wsBYW69ZhOqbovKsA7pWxXg0Oiw66yvnLRch4HbVG+mA&#10;6J8DaOtacrGyfKuFiT2qF4pFtBRa6QJd5GrrWvB4UddBRKLmFJ3GfCIJ5E06i8UJmzWeuVbyoQT2&#10;nBKe9KSZNEh6B7VikZGtl39Bacm9DbaOB9zqom8kM4IuytETbq5a5kTuBVQHd0d6+H+w/P3u0hNZ&#10;zem0pMQwjRe/+frz94/vN99+EdyBoM6FGfyu3KUftAAxdbuvvSbegtVx+XqUvkwC2iL7zPH1Hcdi&#10;HwnH5WF5fHQI9jlMJZTxNKUoeqyE6XyIb4XVJAlz6mXTxqX3tsvQbHceYh9w65iCglWyWkulsuKb&#10;zZnyZMfw6Gt8KKsPeeSmDOlQ+HQCM+EMo1xjhCBqBzqCaShhqsGO8Ohz7kfR4XlJUpErFtq+mIww&#10;1KIM2k7U9mQmaWOra7xGJhQ1BcfXEvHnLMRL5jGXuMTmxgsctbKo3g4SJa31X/51n/wxLrBS0mHO&#10;0dnnLfOCEvXOYJCOy8kEsDErk+nRGIp/aNk8tJitPrNgFbOC6rKY/KO6FWtv9Scs+DJlhYkZjtw9&#10;h4NyFvv9wy+Ci+Uyu2EZHIvn5srxBJ5e0djlNtpa5te+Z2cgDeuQp2ZY3bRvD/Xsdf+7Wvw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MlFZr9wAAAANAQAADwAAAAAAAAABACAAAAAiAAAAZHJzL2Rv&#10;d25yZXYueG1sUEsBAhQAFAAAAAgAh07iQLzXqqtvAgAA9gQAAA4AAAAAAAAAAQAgAAAAKwEAAGRy&#10;cy9lMm9Eb2MueG1sUEsFBgAAAAAGAAYAWQEAAAwGA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82816" behindDoc="0" locked="0" layoutInCell="1" allowOverlap="1">
                <wp:simplePos x="0" y="0"/>
                <wp:positionH relativeFrom="column">
                  <wp:posOffset>5938520</wp:posOffset>
                </wp:positionH>
                <wp:positionV relativeFrom="paragraph">
                  <wp:posOffset>1014730</wp:posOffset>
                </wp:positionV>
                <wp:extent cx="619760" cy="161925"/>
                <wp:effectExtent l="15240" t="32385" r="12700" b="15240"/>
                <wp:wrapNone/>
                <wp:docPr id="49" name="右箭头 49"/>
                <wp:cNvGraphicFramePr/>
                <a:graphic xmlns:a="http://schemas.openxmlformats.org/drawingml/2006/main">
                  <a:graphicData uri="http://schemas.microsoft.com/office/word/2010/wordprocessingShape">
                    <wps:wsp>
                      <wps:cNvSpPr/>
                      <wps:spPr>
                        <a:xfrm rot="2130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467.6pt;margin-top:79.9pt;height:12.75pt;width:48.8pt;rotation:-327680f;z-index:251682816;v-text-anchor:middle;mso-width-relative:page;mso-height-relative:page;" fillcolor="#FFFF00" filled="t" stroked="t" coordsize="21600,21600" o:gfxdata="UEsDBAoAAAAAAIdO4kAAAAAAAAAAAAAAAAAEAAAAZHJzL1BLAwQUAAAACACHTuJAPg2o4NsAAAAM&#10;AQAADwAAAGRycy9kb3ducmV2LnhtbE2PzU7DMBCE70i8g7VI3KjdREFtiNMDqOSAxE9ASNyc2CSh&#10;8Tqy3TZ9e7YnuM1qRrPfFJvZjuxgfBgcSlguBDCDrdMDdhI+3rc3K2AhKtRqdGgknEyATXl5Uahc&#10;uyO+mUMdO0YlGHIloY9xyjkPbW+sCgs3GSTv23mrIp2+49qrI5XbkSdC3HKrBqQPvZrMfW/aXb23&#10;EprT4/Prtqo+5/nnpX7wT7vpqxJSXl8txR2waOb4F4YzPqFDSUyN26MObJSwTrOEomRka9pwTog0&#10;IdWQWmUp8LLg/0eUv1BLAwQUAAAACACHTuJAM3JkF24CAAD2BAAADgAAAGRycy9lMm9Eb2MueG1s&#10;rVTNbhMxEL4j8Q6W73SzIW1p1KSKGgUhVTRSQZwdr3fXkv+wnWzKS/ASXOECr1TxGnz2bn/h0AN7&#10;sGY8M9/MfJ7Z07O9VmQnfJDWzGh5MKJEGG4raZoZ/fhh9eoNJSEyUzFljZjRaxHo2fzli9POTcXY&#10;tlZVwhOAmDDt3Iy2MbppUQTeCs3CgXXCwFhbr1mE6pui8qwDulbFeDQ6KjrrK+ctFyHgdtkb6YDo&#10;nwNo61pysbR8q4WJPaoXikW0FFrpAp3nauta8HhZ10FEomYUncZ8IgnkTTqL+SmbNp65VvKhBPac&#10;Ep70pJk0SHoHtWSRka2Xf0Fpyb0Nto4H3OqibyQzgi7K0RNurlrmRO4FVAd3R3r4f7D8/W7tiaxm&#10;dHJCiWEaL37z9efvH99vvv0iuANBnQtT+F25tR+0ADF1u6+9Jt6C1XH5epS+TALaIvvM8fUdx2If&#10;CcflUXlyfAT2OUwllPFhSlH0WAnT+RDfCqtJEmbUy6aNC+9tl6HZ7iLEPuDWMQUFq2S1kkplxTeb&#10;c+XJjuHRV/hQVh/yyE0Z0qHwwwnMhDOMco0Rgqgd6AimoYSpBjvCo8+5H0WH5yVJRS5ZaPtiMsJQ&#10;izJoO1Hbk5mkja2u8RqZUNQUHF9JxF+wENfMYy5xic2NlzhqZVG9HSRKWuu//Os++WNcYKWkw5yj&#10;s89b5gUl6p3BIJ2UkwlgY1Ymh8djKP6hZfPQYrb63ILVMleXxeQf1a1Ye6s/YcEXKStMzHDk7jkc&#10;lPPY7x9+EVwsFtkNy+BYvDBXjifw9IrGLrbR1jK/9j07A2lYhzw1w+qmfXuoZ6/739X8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4NqODbAAAADAEAAA8AAAAAAAAAAQAgAAAAIgAAAGRycy9kb3du&#10;cmV2LnhtbFBLAQIUABQAAAAIAIdO4kAzcmQXbgIAAPYEAAAOAAAAAAAAAAEAIAAAACoBAABkcnMv&#10;ZTJvRG9jLnhtbFBLBQYAAAAABgAGAFkBAAAKBg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83840" behindDoc="0" locked="0" layoutInCell="1" allowOverlap="1">
                <wp:simplePos x="0" y="0"/>
                <wp:positionH relativeFrom="column">
                  <wp:posOffset>7181850</wp:posOffset>
                </wp:positionH>
                <wp:positionV relativeFrom="paragraph">
                  <wp:posOffset>881380</wp:posOffset>
                </wp:positionV>
                <wp:extent cx="619760" cy="161925"/>
                <wp:effectExtent l="15240" t="32385" r="12700" b="15240"/>
                <wp:wrapNone/>
                <wp:docPr id="50" name="右箭头 50"/>
                <wp:cNvGraphicFramePr/>
                <a:graphic xmlns:a="http://schemas.openxmlformats.org/drawingml/2006/main">
                  <a:graphicData uri="http://schemas.microsoft.com/office/word/2010/wordprocessingShape">
                    <wps:wsp>
                      <wps:cNvSpPr/>
                      <wps:spPr>
                        <a:xfrm rot="2130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565.5pt;margin-top:69.4pt;height:12.75pt;width:48.8pt;rotation:-327680f;z-index:251683840;v-text-anchor:middle;mso-width-relative:page;mso-height-relative:page;" fillcolor="#FFFF00" filled="t" stroked="t" coordsize="21600,21600" o:gfxdata="UEsDBAoAAAAAAIdO4kAAAAAAAAAAAAAAAAAEAAAAZHJzL1BLAwQUAAAACACHTuJAVB1XNNwAAAAN&#10;AQAADwAAAGRycy9kb3ducmV2LnhtbE2PzW6DMBCE75X6DtZW6q2xgQohismhVcqhUn9oFSk3g7dA&#10;g22EnYS8fTen9jajHc3OV6wXM7Ijzn5wVkK0EsDQtk4PtpPw9bm5y4D5oKxWo7Mo4Ywe1uX1VaFy&#10;7U72A4916BiVWJ8rCX0IU865b3s0yq/chJZu3242KpCdO65ndaJyM/JYiJQbNVj60KsJH3ts9/XB&#10;SGjOz6/vm6raLsvPW/00v+ynXSWkvL2JxAOwgEv4C8NlPk2HkjY17mC1ZyP5KIkIJpBKMoK4ROI4&#10;S4E1pNL7BHhZ8P8U5S9QSwMEFAAAAAgAh07iQL2HuYltAgAA9gQAAA4AAABkcnMvZTJvRG9jLnht&#10;bK1UzW4TMRC+I/EOlu90syFpadSkihoFIVW0UkGcHa9315L/sJ1sykvwElzhAq9U8Rp89m5/4dAD&#10;e7BmPDPfzHye2ZPTvVZkJ3yQ1sxpeTCiRBhuK2maOf34Yf3qDSUhMlMxZY2Y02sR6Oni5YuTzs3E&#10;2LZWVcITgJgw69yctjG6WVEE3grNwoF1wsBYW69ZhOqbovKsA7pWxXg0Oiw66yvnLRch4HbVG+mA&#10;6J8DaOtacrGyfKuFiT2qF4pFtBRa6QJd5GrrWvB4UddBRKLmFJ3GfCIJ5E06i8UJmzWeuVbyoQT2&#10;nBKe9KSZNEh6B7VikZGtl39Bacm9DbaOB9zqom8kM4IuytETbq5a5kTuBVQHd0d6+H+w/P3u0hNZ&#10;zekUlBim8eI3X3/+/vH95tsvgjsQ1Lkwg9+Vu/SDFiCmbve118RbsDouX4/Sl0lAW2SfOb6+41js&#10;I+G4PCyPjw6RisNUQhlPU4qix0qYzof4VlhNkjCnXjZtXHpvuwzNduch9gG3jikoWCWrtVQqK77Z&#10;nClPdgyPvsaHsvqQR27KkA6FTycwE84wyjVGCKJ2oCOYhhKmGuwIjz7nfhQdnpckFblioe2LyQhD&#10;Lcqg7URtT2aSNra6xmtkQlFTcHwtEX/OQrxkHnOJS2xuvMBRK4vq7SBR0lr/5V/3yR/jAislHeYc&#10;nX3eMi8oUe8MBum4nEwAG7MymR6NofiHls1Di9nqMwtWy1xdFpN/VLdi7a3+hAVfpqwwMcORu+dw&#10;UM5iv3/4RXCxXGY3LINj8dxcOZ7A0ysau9xGW8v82vfsDKRhHfLUDKub9u2hnr3uf1e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QdVzTcAAAADQEAAA8AAAAAAAAAAQAgAAAAIgAAAGRycy9kb3du&#10;cmV2LnhtbFBLAQIUABQAAAAIAIdO4kC9h7mJbQIAAPYEAAAOAAAAAAAAAAEAIAAAACsBAABkcnMv&#10;ZTJvRG9jLnhtbFBLBQYAAAAABgAGAFkBAAAKBg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81792" behindDoc="0" locked="0" layoutInCell="1" allowOverlap="1">
                <wp:simplePos x="0" y="0"/>
                <wp:positionH relativeFrom="column">
                  <wp:posOffset>4522470</wp:posOffset>
                </wp:positionH>
                <wp:positionV relativeFrom="paragraph">
                  <wp:posOffset>1130935</wp:posOffset>
                </wp:positionV>
                <wp:extent cx="619760" cy="161925"/>
                <wp:effectExtent l="15240" t="32385" r="12700" b="15240"/>
                <wp:wrapNone/>
                <wp:docPr id="48" name="右箭头 48"/>
                <wp:cNvGraphicFramePr/>
                <a:graphic xmlns:a="http://schemas.openxmlformats.org/drawingml/2006/main">
                  <a:graphicData uri="http://schemas.microsoft.com/office/word/2010/wordprocessingShape">
                    <wps:wsp>
                      <wps:cNvSpPr/>
                      <wps:spPr>
                        <a:xfrm rot="2130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356.1pt;margin-top:89.05pt;height:12.75pt;width:48.8pt;rotation:-327680f;z-index:251681792;v-text-anchor:middle;mso-width-relative:page;mso-height-relative:page;" fillcolor="#FFFF00" filled="t" stroked="t" coordsize="21600,21600" o:gfxdata="UEsDBAoAAAAAAIdO4kAAAAAAAAAAAAAAAAAEAAAAZHJzL1BLAwQUAAAACACHTuJAJkVKs9wAAAAL&#10;AQAADwAAAGRycy9kb3ducmV2LnhtbE2Py07DMBBF90j8gzVI7KidILUhxOkCVLJA4hFQpe6ceEhC&#10;Yzuy3Tb9e4YVLEf36M65xXo2IzuiD4OzEpKFAIa2dXqwnYTPj81NBixEZbUanUUJZwywLi8vCpVr&#10;d7LveKxjx6jEhlxJ6GOccs5D26NRYeEmtJR9OW9UpNN3XHt1onIz8lSIJTdqsPShVxM+9Nju64OR&#10;0JyfXt42VbWd5+/X+tE/76ddJaS8vkrEPbCIc/yD4Vef1KEkp8YdrA5slLBK0pRQClZZAoyITNzR&#10;mEZCKm6XwMuC/99Q/gBQSwMEFAAAAAgAh07iQDIidzVuAgAA9gQAAA4AAABkcnMvZTJvRG9jLnht&#10;bK1UzW4TMRC+I/EOlu90syFtadSkihoFIVW0UkCcHa9315L/sJ1sykvwElzhAq9U8Rp89m5/4dAD&#10;e7BmPONvZr6Z2dOzvVZkJ3yQ1sxoeTCiRBhuK2maGf34YfXqDSUhMlMxZY2Y0WsR6Nn85YvTzk3F&#10;2LZWVcITgJgw7dyMtjG6aVEE3grNwoF1wsBYW69ZhOqbovKsA7pWxXg0Oio66yvnLRch4HbZG+mA&#10;6J8DaOtacrG0fKuFiT2qF4pFlBRa6QKd52zrWvB4WddBRKJmFJXGfCII5E06i/kpmzaeuVbyIQX2&#10;nBSe1KSZNAh6B7VkkZGtl39Bacm9DbaOB9zqoi8kM4IqytETbtYtcyLXAqqDuyM9/D9Y/n535Yms&#10;ZnSCvhum0fGbrz9///h+8+0XwR0I6lyYwm/trvygBYip2n3tNfEWrI7L16P0ZRJQFtlnjq/vOBb7&#10;SDguj8qT4yOwz2EqoYwPU4iix0qYzof4VlhNkjCjXjZtXHhvuwzNdhch9g9uHdOjYJWsVlKprPhm&#10;c6482TE0fYUPafVPHrkpQzokfjiBmXCGUa4xQhC1Ax3BNJQw1WBHePQ59qPX4XlBUpJLFto+mYww&#10;5KIMyk7U9mQmaWOra3QjE4qcguMrifcXLMQr5jGXuMTmxksctbLI3g4SJa31X/51n/wxLrBS0mHO&#10;UdnnLfOCEvXOYJBOyskEsDErk8PjMRT/0LJ5aDFbfW7Bapmzy2Lyj+pWrL3Vn7DgixQVJmY4Yvcc&#10;Dsp57PcPvwguFovshmVwLF6YteMJPHXR2MU22lrmbt+zM5CGdchTM6xu2reHeva6/13N/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mRUqz3AAAAAsBAAAPAAAAAAAAAAEAIAAAACIAAABkcnMvZG93&#10;bnJldi54bWxQSwECFAAUAAAACACHTuJAMiJ3NW4CAAD2BAAADgAAAAAAAAABACAAAAArAQAAZHJz&#10;L2Uyb0RvYy54bWxQSwUGAAAAAAYABgBZAQAACwY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80768" behindDoc="0" locked="0" layoutInCell="1" allowOverlap="1">
                <wp:simplePos x="0" y="0"/>
                <wp:positionH relativeFrom="column">
                  <wp:posOffset>6827520</wp:posOffset>
                </wp:positionH>
                <wp:positionV relativeFrom="paragraph">
                  <wp:posOffset>1673860</wp:posOffset>
                </wp:positionV>
                <wp:extent cx="619760" cy="161925"/>
                <wp:effectExtent l="28575" t="12065" r="0" b="15875"/>
                <wp:wrapNone/>
                <wp:docPr id="46" name="右箭头 46"/>
                <wp:cNvGraphicFramePr/>
                <a:graphic xmlns:a="http://schemas.openxmlformats.org/drawingml/2006/main">
                  <a:graphicData uri="http://schemas.microsoft.com/office/word/2010/wordprocessingShape">
                    <wps:wsp>
                      <wps:cNvSpPr/>
                      <wps:spPr>
                        <a:xfrm rot="1596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537.6pt;margin-top:131.8pt;height:12.75pt;width:48.8pt;rotation:-6160384f;z-index:251680768;v-text-anchor:middle;mso-width-relative:page;mso-height-relative:page;" fillcolor="#FFFF00" filled="t" stroked="t" coordsize="21600,21600" o:gfxdata="UEsDBAoAAAAAAIdO4kAAAAAAAAAAAAAAAAAEAAAAZHJzL1BLAwQUAAAACACHTuJAcC+kYtgAAAAN&#10;AQAADwAAAGRycy9kb3ducmV2LnhtbE2PwU7DMBBE70j8g7VI3KjtoKYhxOkBhOBKWxBHJzZJhL2O&#10;YrcJf8/2RI+zO5p5U20X79jJTnEIqECuBDCLbTADdgoO+5e7AlhMGo12Aa2CXxthW19fVbo0YcZ3&#10;e9qljlEIxlIr6FMaS85j21uv4yqMFun3HSavE8mp42bSM4V7xzMhcu71gNTQ69E+9bb92R099cp9&#10;aA6v81eRd/HzLSxu/fzhlLq9keIRWLJL+jfDGZ/QoSamJhzRROZIi806I6+CLL/PgZ0tcpPRnIZO&#10;xYMEXlf8ckX9B1BLAwQUAAAACACHTuJAvZcyJW8CAAD2BAAADgAAAGRycy9lMm9Eb2MueG1srVTN&#10;bhMxEL4j8Q6W73SzUZLSqJsqahSEVEGlgjg7Xm/Wkv+wnWzKS/ASXOECr1TxGnz2bn/h0AN7sGY8&#10;M9/MfJ7Z07ODVmQvfJDWVLQ8GlEiDLe1NNuKfvywfvWakhCZqZmyRlT0WgR6tnj54rRzczG2rVW1&#10;8AQgJsw7V9E2RjcvisBboVk4sk4YGBvrNYtQ/baoPeuArlUxHo1mRWd97bzlIgTcrnojHRD9cwBt&#10;00guVpbvtDCxR/VCsYiWQitdoItcbdMIHt83TRCRqIqi05hPJIG8SWexOGXzrWeulXwogT2nhCc9&#10;aSYNkt5BrVhkZOflX1Bacm+DbeIRt7roG8mMoIty9ISbq5Y5kXsB1cHdkR7+Hyx/t7/0RNYVncwo&#10;MUzjxW++/vz94/vNt18EdyCoc2EOvyt36QctQEzdHhqvibdgtZyezEb4Mgloixwyx9d3HItDJByX&#10;s/LkeAb2OUwllPE0pSh6rITpfIhvhNUkCRX1ctvGpfe2y9BsfxFiH3DrmIKCVbJeS6Wy4rebc+XJ&#10;nuHR1/hQVh/yyE0Z0lV0PJ3ATDjDKDcYIYjagY5gtpQwtcWO8Ohz7kfR4XlJUpErFtq+mIww1KIM&#10;2k7U9mQmaWPra7xGJhQ1BcfXEvEXLMRL5jGXuMTmxvc4GmVRvR0kSlrrv/zrPvljXGClpMOco7PP&#10;O+YFJeqtwSCdlJMJYGNWJtPjMRT/0LJ5aDE7fW7Bapmry2Lyj+pWbLzVn7Dgy5QVJmY4cvccDsp5&#10;7PcPvwgulsvshmVwLF6YK8cTeHpFY5e7aBuZX/uenYE0rEOemmF107491LPX/e9q8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wL6Ri2AAAAA0BAAAPAAAAAAAAAAEAIAAAACIAAABkcnMvZG93bnJl&#10;di54bWxQSwECFAAUAAAACACHTuJAvZcyJW8CAAD2BAAADgAAAAAAAAABACAAAAAnAQAAZHJzL2Uy&#10;b0RvYy54bWxQSwUGAAAAAAYABgBZAQAACAY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78720" behindDoc="0" locked="0" layoutInCell="1" allowOverlap="1">
                <wp:simplePos x="0" y="0"/>
                <wp:positionH relativeFrom="column">
                  <wp:posOffset>6141720</wp:posOffset>
                </wp:positionH>
                <wp:positionV relativeFrom="paragraph">
                  <wp:posOffset>2350135</wp:posOffset>
                </wp:positionV>
                <wp:extent cx="619760" cy="161925"/>
                <wp:effectExtent l="15240" t="32385" r="12700" b="15240"/>
                <wp:wrapNone/>
                <wp:docPr id="44" name="右箭头 44"/>
                <wp:cNvGraphicFramePr/>
                <a:graphic xmlns:a="http://schemas.openxmlformats.org/drawingml/2006/main">
                  <a:graphicData uri="http://schemas.microsoft.com/office/word/2010/wordprocessingShape">
                    <wps:wsp>
                      <wps:cNvSpPr/>
                      <wps:spPr>
                        <a:xfrm rot="21300000">
                          <a:off x="0" y="0"/>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483.6pt;margin-top:185.05pt;height:12.75pt;width:48.8pt;rotation:-327680f;z-index:251678720;v-text-anchor:middle;mso-width-relative:page;mso-height-relative:page;" fillcolor="#FFFF00" filled="t" stroked="t" coordsize="21600,21600" o:gfxdata="UEsDBAoAAAAAAIdO4kAAAAAAAAAAAAAAAAAEAAAAZHJzL1BLAwQUAAAACACHTuJAlWv/dNwAAAAM&#10;AQAADwAAAGRycy9kb3ducmV2LnhtbE2PwU7DMAyG70i8Q2QkbizpgI6VpjuARg9IAwpC4pY2pi1r&#10;nCrJtu7tyU5wtP3p9/fnq8kMbI/O95YkJDMBDKmxuqdWwsf7+uoOmA+KtBosoYQjelgV52e5yrQ9&#10;0Bvuq9CyGEI+UxK6EMaMc990aJSf2REp3r6tMyrE0bVcO3WI4WbgcyFSblRP8UOnRnzosNlWOyOh&#10;Pj5tXtdl+TlNPy/Vo3vejl+lkPLyIhH3wAJO4Q+Gk35UhyI61XZH2rNBwjJdzCMq4XohEmAnQqQ3&#10;sU0dV8vbFHiR8/8lil9QSwMEFAAAAAgAh07iQH/k0XZuAgAA9gQAAA4AAABkcnMvZTJvRG9jLnht&#10;bK1UzW4TMRC+I/EOlu90syFtadSkihoFIVW0UkCcHa9315L/sJ1sykvwElzhAq9U8Rp89m5/4dAD&#10;e7BmPDPfzHye2dOzvVZkJ3yQ1sxoeTCiRBhuK2maGf34YfXqDSUhMlMxZY2Y0WsR6Nn85YvTzk3F&#10;2LZWVcITgJgw7dyMtjG6aVEE3grNwoF1wsBYW69ZhOqbovKsA7pWxXg0Oio66yvnLRch4HbZG+mA&#10;6J8DaOtacrG0fKuFiT2qF4pFtBRa6QKd52rrWvB4WddBRKJmFJ3GfCIJ5E06i/kpmzaeuVbyoQT2&#10;nBKe9KSZNEh6B7VkkZGtl39Bacm9DbaOB9zqom8kM4IuytETbtYtcyL3AqqDuyM9/D9Y/n535Yms&#10;ZnQyocQwjRe/+frz94/vN99+EdyBoM6FKfzW7soPWoCYut3XXhNvweq4fD1KXyYBbZF95vj6jmOx&#10;j4Tj8qg8OT4C+xymEsr4MKUoeqyE6XyIb4XVJAkz6mXTxoX3tsvQbHcRYh9w65iCglWyWkmlsuKb&#10;zbnyZMfw6Ct8KKsPeeSmDOlQ+OEEZsIZRrnGCEHUDnQE01DCVIMd4dHn3I+iw/OSpCKXLLR9MRlh&#10;qEUZtJ2o7clM0sZW13iNTChqCo6vJOIvWIhXzGMucYnNjZc4amVRvR0kSlrrv/zrPvljXGClpMOc&#10;o7PPW+YFJeqdwSCdlJMJYGNWJofHYyj+oWXz0GK2+tyC1TJXl8XkH9WtWHurP2HBFykrTMxw5O45&#10;HJTz2O8ffhFcLBbZDcvgWLwwa8cTeHpFYxfbaGuZX/uenYE0rEOemmF107491LPX/e9q/g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Va/903AAAAAwBAAAPAAAAAAAAAAEAIAAAACIAAABkcnMvZG93&#10;bnJldi54bWxQSwECFAAUAAAACACHTuJAf+TRdm4CAAD2BAAADgAAAAAAAAABACAAAAArAQAAZHJz&#10;L2Uyb0RvYy54bWxQSwUGAAAAAAYABgBZAQAACwYAAAAA&#10;" adj="18779,5400">
                <v:fill on="t" focussize="0,0"/>
                <v:stroke weight="2pt" color="#FFFF00 [2404]" joinstyle="round"/>
                <v:imagedata o:title=""/>
                <o:lock v:ext="edit" aspectratio="f"/>
              </v:shape>
            </w:pict>
          </mc:Fallback>
        </mc:AlternateContent>
      </w:r>
      <w:r>
        <w:rPr>
          <w:sz w:val="24"/>
          <w:u w:val="none" w:color="auto"/>
        </w:rPr>
        <mc:AlternateContent>
          <mc:Choice Requires="wps">
            <w:drawing>
              <wp:anchor distT="0" distB="0" distL="114300" distR="114300" simplePos="0" relativeHeight="251677696" behindDoc="0" locked="0" layoutInCell="1" allowOverlap="1">
                <wp:simplePos x="0" y="0"/>
                <wp:positionH relativeFrom="column">
                  <wp:posOffset>4770120</wp:posOffset>
                </wp:positionH>
                <wp:positionV relativeFrom="paragraph">
                  <wp:posOffset>2464435</wp:posOffset>
                </wp:positionV>
                <wp:extent cx="619760" cy="161925"/>
                <wp:effectExtent l="15240" t="32385" r="12700" b="15240"/>
                <wp:wrapNone/>
                <wp:docPr id="43" name="右箭头 43"/>
                <wp:cNvGraphicFramePr/>
                <a:graphic xmlns:a="http://schemas.openxmlformats.org/drawingml/2006/main">
                  <a:graphicData uri="http://schemas.microsoft.com/office/word/2010/wordprocessingShape">
                    <wps:wsp>
                      <wps:cNvSpPr/>
                      <wps:spPr>
                        <a:xfrm rot="21300000">
                          <a:off x="2638425" y="4460875"/>
                          <a:ext cx="619760" cy="161925"/>
                        </a:xfrm>
                        <a:prstGeom prst="rightArrow">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375.6pt;margin-top:194.05pt;height:12.75pt;width:48.8pt;rotation:-327680f;z-index:251677696;v-text-anchor:middle;mso-width-relative:page;mso-height-relative:page;" fillcolor="#FFFF00" filled="t" stroked="t" coordsize="21600,21600" o:gfxdata="UEsDBAoAAAAAAIdO4kAAAAAAAAAAAAAAAAAEAAAAZHJzL1BLAwQUAAAACACHTuJAuSZEL90AAAAL&#10;AQAADwAAAGRycy9kb3ducmV2LnhtbE2Py07DMBBF90j8gzVI7KjtthQrxOkCVLJA4pFWSOyc2CSh&#10;8Tiy3Tb9e8wKlqM5uvfcfD3ZgRyND71DCXzGgBhsnO6xlbDbbm4EkBAVajU4NBLOJsC6uLzIVabd&#10;Cd/NsYotSSEYMiWhi3HMKA1NZ6wKMzcaTL8v562K6fQt1V6dUrgd6JyxFbWqx9TQqdE8dKbZVwcr&#10;oT4/vbxtyvJjmr5fq0f/vB8/Sybl9RVn90CimeIfDL/6SR2K5FS7A+pABgl3t3yeUAkLITiQRIil&#10;SGNqCUu+WAEtcvp/Q/EDUEsDBBQAAAAIAIdO4kDON9qSfAIAAAIFAAAOAAAAZHJzL2Uyb0RvYy54&#10;bWytVM1u2zAMvg/YOwi6r45TJ22DJkXQIMOAYi3QDTsrsmwLkCVNUuJ0L7GX2HW7bK9U7DX2SXZ/&#10;t0MP80EgRfIj+Yn06dm+VWQnnJdGz2l+MKJEaG5Kqes5/fhh/eaYEh+YLpkyWszpjfD0bPH61Wln&#10;Z2JsGqNK4QhAtJ91dk6bEOwsyzxvRMv8gbFCw1gZ17IA1dVZ6VgH9FZl49FomnXGldYZLrzH7ao3&#10;0gHRvQTQVJXkYmX4thU69KhOKBbQkm+k9XSRqq0qwcNlVXkRiJpTdBrSiSSQN/HMFqdsVjtmG8mH&#10;EthLSnjWU8ukRtJ7qBULjGyd/AuqldwZb6pwwE2b9Y0kRtBFPnrGzXXDrEi9gGpv70n3/w+Wv99d&#10;OSLLOS0OKdGsxYvffv35+8f322+/CO5AUGf9DH7X9soNmocYu91XriXOgNVxfjiKXyIBbZE97qaH&#10;x8V4QskN0Ivp6Pho0vMt9oFwOEzzk6MpXoLDIYcCXyTIetyIb50Pb4VpSRTm1Mm6CUvnTJfSsN2F&#10;D33AnWMM8kbJci2VSoqrN+fKkR3DAKzxocQ+5Imb0qRDwZMCZsIZxrrCOEFsLajxuqaEqRr7woNL&#10;uZ9E+5cliUWumG/6YhLCUIvSaDvS3BMbpY0pb/AyiVzU5C1fS8RfMB+umMOM4hJbHC5xVMqgejNI&#10;lDTGffnXffTH6MBKSYeZR2eft8wJStQ7jaE6yYsCsCEpxeRoDMU9tmweW/S2PTdgNU/VJTH6B3Un&#10;Vs60n7Dsy5gVJqY5cvccDsp56HcRvwsulsvkhsWwLFzoa8sjeHxFbZbbYCqZXvuBnYE0rEaammGN&#10;4+491pPXw69r8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5JkQv3QAAAAsBAAAPAAAAAAAAAAEA&#10;IAAAACIAAABkcnMvZG93bnJldi54bWxQSwECFAAUAAAACACHTuJAzjfaknwCAAACBQAADgAAAAAA&#10;AAABACAAAAAsAQAAZHJzL2Uyb0RvYy54bWxQSwUGAAAAAAYABgBZAQAAGgYAAAAA&#10;" adj="18779,5400">
                <v:fill on="t" focussize="0,0"/>
                <v:stroke weight="2pt" color="#FFFF00 [2404]" joinstyle="round"/>
                <v:imagedata o:title=""/>
                <o:lock v:ext="edit" aspectratio="f"/>
              </v:shape>
            </w:pict>
          </mc:Fallback>
        </mc:AlternateContent>
      </w:r>
      <w:r>
        <w:rPr>
          <w:sz w:val="24"/>
          <w:u w:val="none" w:color="auto"/>
        </w:rPr>
        <w:drawing>
          <wp:anchor distT="0" distB="0" distL="114300" distR="114300" simplePos="0" relativeHeight="251676672" behindDoc="0" locked="0" layoutInCell="1" allowOverlap="1">
            <wp:simplePos x="0" y="0"/>
            <wp:positionH relativeFrom="column">
              <wp:posOffset>8068310</wp:posOffset>
            </wp:positionH>
            <wp:positionV relativeFrom="paragraph">
              <wp:posOffset>-85725</wp:posOffset>
            </wp:positionV>
            <wp:extent cx="892175" cy="784860"/>
            <wp:effectExtent l="0" t="0" r="3175" b="1524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175" cy="784860"/>
                    </a:xfrm>
                    <a:prstGeom prst="rect">
                      <a:avLst/>
                    </a:prstGeom>
                  </pic:spPr>
                </pic:pic>
              </a:graphicData>
            </a:graphic>
          </wp:anchor>
        </w:drawing>
      </w:r>
      <w:r>
        <w:rPr>
          <w:rFonts w:hint="eastAsia" w:ascii="Times New Roman" w:hAnsi="Times New Roman" w:eastAsia="宋体" w:cs="Times New Roman"/>
          <w:color w:val="000000" w:themeColor="text1"/>
          <w:u w:val="none" w:color="auto"/>
          <w:lang w:val="en-US" w:eastAsia="zh-CN"/>
          <w14:textFill>
            <w14:solidFill>
              <w14:schemeClr w14:val="tx1"/>
            </w14:solidFill>
          </w14:textFill>
        </w:rPr>
        <w:object>
          <v:shape id="_x0000_i1037" o:spt="75" type="#_x0000_t75" style="height:381.6pt;width:629.3pt;" o:ole="t" filled="f" o:preferrelative="t" stroked="f" coordsize="21600,21600">
            <v:path/>
            <v:fill on="f" focussize="0,0"/>
            <v:stroke on="f"/>
            <v:imagedata r:id="rId69" o:title=""/>
            <o:lock v:ext="edit" aspectratio="f"/>
            <w10:wrap type="none"/>
            <w10:anchorlock/>
          </v:shape>
          <o:OLEObject Type="Embed" ProgID="Visio.Drawing.11" ShapeID="_x0000_i1037" DrawAspect="Content" ObjectID="_1468075737" r:id="rId68">
            <o:LockedField>false</o:LockedField>
          </o:OLEObject>
        </w:object>
      </w:r>
    </w:p>
    <w:p w14:paraId="772EFFC6">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26" w:name="_Toc15534"/>
      <w:bookmarkStart w:id="727" w:name="_Toc844"/>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附图14  厂区疏散示意图</w:t>
      </w:r>
      <w:bookmarkEnd w:id="726"/>
      <w:bookmarkEnd w:id="727"/>
    </w:p>
    <w:p w14:paraId="06912262">
      <w:pPr>
        <w:keepNext w:val="0"/>
        <w:keepLines w:val="0"/>
        <w:pageBreakBefore w:val="0"/>
        <w:widowControl w:val="0"/>
        <w:kinsoku/>
        <w:wordWrap/>
        <w:overflowPunct/>
        <w:topLinePunct w:val="0"/>
        <w:autoSpaceDE w:val="0"/>
        <w:autoSpaceDN w:val="0"/>
        <w:bidi w:val="0"/>
        <w:spacing w:line="360" w:lineRule="auto"/>
        <w:jc w:val="left"/>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sz w:val="24"/>
          <w:u w:val="none" w:color="auto"/>
        </w:rPr>
        <mc:AlternateContent>
          <mc:Choice Requires="wpg">
            <w:drawing>
              <wp:anchor distT="0" distB="0" distL="114300" distR="114300" simplePos="0" relativeHeight="251707392" behindDoc="0" locked="0" layoutInCell="1" allowOverlap="1">
                <wp:simplePos x="0" y="0"/>
                <wp:positionH relativeFrom="column">
                  <wp:posOffset>7274560</wp:posOffset>
                </wp:positionH>
                <wp:positionV relativeFrom="paragraph">
                  <wp:posOffset>3595370</wp:posOffset>
                </wp:positionV>
                <wp:extent cx="1428750" cy="895350"/>
                <wp:effectExtent l="0" t="0" r="0" b="0"/>
                <wp:wrapNone/>
                <wp:docPr id="95" name="组合 95"/>
                <wp:cNvGraphicFramePr/>
                <a:graphic xmlns:a="http://schemas.openxmlformats.org/drawingml/2006/main">
                  <a:graphicData uri="http://schemas.microsoft.com/office/word/2010/wordprocessingGroup">
                    <wpg:wgp>
                      <wpg:cNvGrpSpPr/>
                      <wpg:grpSpPr>
                        <a:xfrm>
                          <a:off x="0" y="0"/>
                          <a:ext cx="1428750" cy="895350"/>
                          <a:chOff x="13179" y="3430319"/>
                          <a:chExt cx="2250" cy="1410"/>
                        </a:xfrm>
                      </wpg:grpSpPr>
                      <wps:wsp>
                        <wps:cNvPr id="91" name="文本框 91"/>
                        <wps:cNvSpPr txBox="1"/>
                        <wps:spPr>
                          <a:xfrm>
                            <a:off x="13179" y="3430319"/>
                            <a:ext cx="2251" cy="1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BB4536">
                              <w:pPr>
                                <w:spacing w:line="360" w:lineRule="auto"/>
                                <w:rPr>
                                  <w:rFonts w:hint="eastAsia"/>
                                  <w:lang w:val="en-US" w:eastAsia="zh-CN"/>
                                </w:rPr>
                              </w:pPr>
                              <w:r>
                                <w:rPr>
                                  <w:rFonts w:hint="eastAsia"/>
                                  <w:lang w:val="en-US" w:eastAsia="zh-CN"/>
                                </w:rPr>
                                <w:t>图例：</w:t>
                              </w:r>
                            </w:p>
                            <w:p w14:paraId="3301842D">
                              <w:pPr>
                                <w:spacing w:line="360" w:lineRule="auto"/>
                                <w:ind w:firstLine="480"/>
                                <w:rPr>
                                  <w:rFonts w:hint="eastAsia"/>
                                  <w:lang w:val="en-US" w:eastAsia="zh-CN"/>
                                </w:rPr>
                              </w:pPr>
                              <w:r>
                                <w:rPr>
                                  <w:rFonts w:hint="eastAsia"/>
                                  <w:lang w:val="en-US" w:eastAsia="zh-CN"/>
                                </w:rPr>
                                <w:t>雨水走向</w:t>
                              </w:r>
                            </w:p>
                            <w:p w14:paraId="5FAA018B">
                              <w:pPr>
                                <w:spacing w:line="360" w:lineRule="auto"/>
                                <w:ind w:firstLine="480"/>
                                <w:rPr>
                                  <w:rFonts w:hint="default"/>
                                  <w:lang w:val="en-US" w:eastAsia="zh-CN"/>
                                </w:rPr>
                              </w:pPr>
                              <w:r>
                                <w:rPr>
                                  <w:rFonts w:hint="eastAsia"/>
                                  <w:lang w:val="en-US" w:eastAsia="zh-CN"/>
                                </w:rPr>
                                <w:t>封堵位置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3" name="直接箭头连接符 93"/>
                        <wps:cNvCnPr/>
                        <wps:spPr>
                          <a:xfrm flipV="1">
                            <a:off x="13368" y="3431039"/>
                            <a:ext cx="360" cy="27"/>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pic:pic xmlns:pic="http://schemas.openxmlformats.org/drawingml/2006/picture">
                        <pic:nvPicPr>
                          <pic:cNvPr id="94" name="图片 94" descr="10787477654"/>
                          <pic:cNvPicPr>
                            <a:picLocks noChangeAspect="1"/>
                          </pic:cNvPicPr>
                        </pic:nvPicPr>
                        <pic:blipFill>
                          <a:blip r:embed="rId70">
                            <a:extLst>
                              <a:ext uri="{96DAC541-7B7A-43D3-8B79-37D633B846F1}">
                                <asvg:svgBlip xmlns:asvg="http://schemas.microsoft.com/office/drawing/2016/SVG/main" r:embed="rId71"/>
                              </a:ext>
                            </a:extLst>
                          </a:blip>
                          <a:stretch>
                            <a:fillRect/>
                          </a:stretch>
                        </pic:blipFill>
                        <pic:spPr>
                          <a:xfrm>
                            <a:off x="13373" y="3431314"/>
                            <a:ext cx="351" cy="351"/>
                          </a:xfrm>
                          <a:prstGeom prst="rect">
                            <a:avLst/>
                          </a:prstGeom>
                        </pic:spPr>
                      </pic:pic>
                    </wpg:wgp>
                  </a:graphicData>
                </a:graphic>
              </wp:anchor>
            </w:drawing>
          </mc:Choice>
          <mc:Fallback>
            <w:pict>
              <v:group id="_x0000_s1026" o:spid="_x0000_s1026" o:spt="203" style="position:absolute;left:0pt;margin-left:572.8pt;margin-top:283.1pt;height:70.5pt;width:112.5pt;z-index:251707392;mso-width-relative:page;mso-height-relative:page;" coordorigin="13179,3430319" coordsize="2250,1410" o:gfxdata="UEsDBAoAAAAAAIdO4kAAAAAAAAAAAAAAAAAEAAAAZHJzL1BLAwQUAAAACACHTuJAXLNj69sAAAAN&#10;AQAADwAAAGRycy9kb3ducmV2LnhtbE2PwU7DMAyG70i8Q2QkbixJR1tUmk5oAk4TEhsS4uY1Xlut&#10;Saoma7e3JzvB8bc//f5crs6mZxONvnNWgVwIYGRrpzvbKPjavT08AfMBrcbeWVJwIQ+r6vamxEK7&#10;2X7StA0NiyXWF6igDWEoOPd1Swb9wg1k4+7gRoMhxrHhesQ5lpueJ0Jk3GBn44UWB1q3VB+3J6Pg&#10;fcb5ZSlfp83xsL787NKP740kpe7vpHgGFugc/mC46kd1qKLT3p2s9qyPWT6mWWQVpFmWALsiy1zE&#10;0V5BLvIEeFXy/19Uv1BLAwQUAAAACACHTuJAd7N1oIAEAAB7CgAADgAAAGRycy9lMm9Eb2MueG1s&#10;vVZLbyQ1EL4j8R+svmdnerpneqaVyWoys4lWitiIwHL2uN0P0W0b2/PIIm6IhQvixGUREhJwWjjt&#10;DQl+TRJ+BlXudt4rIkBEmk61y67HV1+5evfxtqnJmmtTSTENwkf9gHDBZFaJYhp8+MHBzjggxlKR&#10;0VoKPg1OuQke7737zu5GpXwgS1lnXBMwIky6UdOgtFalvZ5hJW+oeSQVF6DMpW6ohVdd9DJNN2C9&#10;qXuDfn/U20idKS0ZNwZWF60y6CzqhxiUeV4xvpBs1XBhW6ua19RCSqaslAn2XLR5zpl9lueGW1JP&#10;A8jUuic4AXmJz97eLk0LTVVZsS4E+pAQbuXU0EqA00tTC2opWenqjqmmYloamdtHTDa9NhGHCGQR&#10;9m9hc6jlSrlcinRTqEvQoVC3UP/HZtl762NNqmwaTIYBEbSBil/89vnZN18SWAB0NqpIYdOhVifq&#10;WHcLRfuGCW9z3eB/SIVsHa6nl7jyrSUMFsN4ME6GADkD3XgyjEB2wLMSqoPHwihMJgEBdRRH/Sic&#10;eP2TzsRg4M+HcehO97zvHoZ4GdFGAS3NFVbm32F1UlLFXQkMwuCxCj1W59++PP/u9fkPX5BJ2MLl&#10;9iFWxG73Jebm1w0s3gPZW3L34EHm4A2Ru5M5TZU29pDLhqAwDTTw3dGQro+MBYgBJL8FPQt5UNW1&#10;g74WZDMNRliKGxo4UQs4iDi2AaNkt8utq71JlzI7heS0bHvJKHZQgfMjauwx1dA8UGe4XuwzeOS1&#10;BCeykwJSSv3ivnXcD3UCbUA20IzTwHyyopoHpH4qoIKTMI6xe91LPEwG8KKva5bXNWLVzCX0O8AG&#10;0TkR99vai7mWzUdwC83QK6ioYOB7Glgvzm17RcAtxvhs5jZBvypqj8SJYmi6BW22sjKvHNIIU4tN&#10;hx6wENvn/6Bj5Ol48erN+dc/Xfz6y9mPb/7843uUX/9MJpGnIFB4Lro29vVt+4jkdaWe+8y6bg6j&#10;aATjoG3LsB91bempGY0APGTmIEEHlx15RbqOl8ZqWhWlnUshgKJSt/g9lKWDYdxHT0iMHK55EBuV&#10;AUlEARWrC5hjzGpXEiPrKkOSY32MLpbzWpM1BTYcuL8uzhvbsEMW1JTtPqfCbTS1tKqfiIzYUwXX&#10;ItVabrrz97RIW3uEoav53q6qWAq/7t4G6c5d9PfTEk7ZFXRCa02sjyuGtwgsX7+PYk+As1e/X3z1&#10;kkxgIeOGAY3DfjJO4iQZDWMM3h9szUClKnYk2ceGCDkvqSj4zCgoERIBc7m53b3eiGEJrPFwo/zf&#10;jnGiU94sOZRaP81azgD34GrD6iAL3Yj9dDJazObDONxJ9pPZThwtop3xfjLZiZLFKIr2x/HoIPwM&#10;6WHWRQq//atAcelOVe6dpt3Exzk96p08P+y5mX8jwkHHDojMdYOPFRoDsXGUtJpbVqKYA0vfB6gR&#10;ZuCqVziMr2DFArx1cEQJdH7XnVHo6tviglM38nMDhdaJH9Z+JjxobLiA2hCcCBE5krtvEhd79/2E&#10;Hz3X392uq2/Gvb8AUEsDBAoAAAAAAIdO4kAAAAAAAAAAAAAAAAAKAAAAZHJzL21lZGlhL1BLAwQU&#10;AAAACACHTuJADUXOsgcBAAA6AgAAFAAAAGRycy9tZWRpYS9pbWFnZTIuc3ZnzZHBToQwEIbvPkUz&#10;nqFlxY1sKJt48KSJB32ASgvUxZbQSpe3dwrErMYHMJlMmr9/5v+mLY/nj55ManTaGg5ZyoAoU1up&#10;Tcvh9eUhuQPivDBS9NYoDrNycKxKN7Wk0X3PwaAMBKcYx6HzfjhQGkJIw01qx5buGGMU3ZvlcO61&#10;Of1lzIqioMstXPLsgLwJp55Hi3GY77WZcRYHBJ2XHrT0HYd9DqRTuu38ep60Cvc2Ggkj+xwLqlKq&#10;xtGqHITvNvzrpkFCHBa3Sewgau1xbha3Hu0JE78dq5BseRi3CbiRercan2+0n0b+0Gsx/JYvMySH&#10;J5KxWI/kNseCf4eHWAsethUvfmd19QVQSwMEFAAAAAgAh07iQB456hGPAgAAigIAABQAAABkcnMv&#10;bWVkaWEvaW1hZ2UxLnBuZwGKAnX9iVBORw0KGgoAAAANSUhEUgAAAE4AAABOCAYAAACOqiAdAAAA&#10;CXBIWXMAACHVAAAh1QEEnLSdAAACPElEQVR4nO2cS47CQAxES7PhEMCw5AjckOOx4DdnYRF5No6E&#10;ojRJf9J2h3pSdqPY3W2XC8gEIIQQQgghhIwjwFGAkwAb61xKIcBG13RcKsBZgJcAnQAXAbaLBKqI&#10;AFtdS6drO5cOcNQby9v1EOC3aKCKCPCra3hf06to5Wkpd4MgIsBVgEOxQJUQ4KC5D9fTCXAqGWij&#10;JT0MJALcBNgVC7YwAuw057G1XIrrt+rBsLT769nC5ummPQNreCym26oLYyXeV57bttX2DFXadXG9&#10;Nk8gATcHblbyCbiTmAmRdWFVApbDfqh9GOvmVsVzbn2C7k61hW4A4EtHWtJfAD4mV4sTH4Bt4h4O&#10;LguLVvEkFVnUFGePwymLGnagRgwTZlTDPuPe+1pVbcIM/YnWPL1nO5YjlYmJd49pKW3Pu8XkNkEK&#10;WJWJA/BvOVJRXQq12P1Ti2l7hirtmaOXTZCyATkbvipibETM334FqlehyrtplX2yHPfVDYK5TNiK&#10;P72K2ZhVoVUVasVQe657EMxlwqp8h+VIRSsv1Jp967qptB/rBEgGbNUEOBwSoB1JgAY4AeFHrniE&#10;H/LjydmAlA1fBROWg19kjjGxYH51Pobwx5p4hD8PxlPDRtSIURXhIxDxCB+6iUf4mFc8HhK3PLgk&#10;PLWKhVQk4VGcaw6n1ATd2gG3ubk/VTjshmZ0BI70t7nJBQcT3zyBDMwO3E3JZ1BdYoT/Wp4cjC8z&#10;SAzE12dkBOILWzIC8RVBhBBCCCGEfCP/Ele0SbjxnIU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IlYO7sEAAAClAQAAGQAA&#10;AGRycy9fcmVscy9lMm9Eb2MueG1sLnJlbHO9kLFqAzEMhvdC3sFo7/nuhlJKfFlKIWtIH0DYOp/J&#10;WTaWG5q3j2mWBgLdOkri//4PbXffcVVnKhISGxi6HhSxTS6wN/B5/Hh+BSUV2eGamAxcSGA3bZ62&#10;B1qxtpAsIYtqFBYDS635TWuxC0WULmXidplTiVjbWLzOaE/oSY99/6LLbwZMd0y1dwbK3o2gjpfc&#10;mv9mp3kOlt6T/YrE9UGFDrF1NyAWT9VAJBfwthw7OXvQjx2G/3EYusw/DvruudMVUEsDBBQAAAAI&#10;AIdO4kBq8Iz3FAEAAFsCAAATAAAAW0NvbnRlbnRfVHlwZXNdLnhtbJWSy07DMBBF90j8g+Utih2y&#10;QAg16YKUJSBUPsCyJ4lF/JDHhPbvsdNWgqqlYunxnDvHj8VyY0YyQUDtbE1vWUkJWOmUtn1N39dP&#10;xT0lGIVVYnQWaroFpMvm+mqx3npAkmiLNR1i9A+coxzACGTOg007nQtGxLQMPfdCfogeeFWWd1w6&#10;G8HGIuYM2ixa6MTnGMlqk8o7E297Sh53fXlUTbXJfK7zk0SAEY8Q4f2opYjpbHyy6sir2DuxRM49&#10;OGiPN0n8zIS889vp54A995IuM2gF5FWE+CxMMucqIFfuywaY2N8h2dJg4bpOS2BtwDZhbzAdrM6l&#10;Q+VaJ/8bvpqpS9kGlBZ8vv6K4XT6XVL9kMPnr9F8A1BLAQIUABQAAAAIAIdO4kBq8Iz3FAEAAFsC&#10;AAATAAAAAAAAAAEAIAAAADYMAABbQ29udGVudF9UeXBlc10ueG1sUEsBAhQACgAAAAAAh07iQAAA&#10;AAAAAAAAAAAAAAYAAAAAAAAAAAAQAAAA+AkAAF9yZWxzL1BLAQIUABQAAAAIAIdO4kCKFGY80QAA&#10;AJQBAAALAAAAAAAAAAEAIAAAABwKAABfcmVscy8ucmVsc1BLAQIUAAoAAAAAAIdO4kAAAAAAAAAA&#10;AAAAAAAEAAAAAAAAAAAAEAAAAAAAAABkcnMvUEsBAhQACgAAAAAAh07iQAAAAAAAAAAAAAAAAAoA&#10;AAAAAAAAAAAQAAAAFgsAAGRycy9fcmVscy9QSwECFAAUAAAACACHTuJAIlYO7sEAAAClAQAAGQAA&#10;AAAAAAABACAAAAA+CwAAZHJzL19yZWxzL2Uyb0RvYy54bWwucmVsc1BLAQIUABQAAAAIAIdO4kBc&#10;s2Pr2wAAAA0BAAAPAAAAAAAAAAEAIAAAACIAAABkcnMvZG93bnJldi54bWxQSwECFAAUAAAACACH&#10;TuJAd7N1oIAEAAB7CgAADgAAAAAAAAABACAAAAAqAQAAZHJzL2Uyb0RvYy54bWxQSwECFAAKAAAA&#10;AACHTuJAAAAAAAAAAAAAAAAACgAAAAAAAAAAABAAAADWBQAAZHJzL21lZGlhL1BLAQIUABQAAAAI&#10;AIdO4kAeOeoRjwIAAIoCAAAUAAAAAAAAAAEAIAAAADcHAABkcnMvbWVkaWEvaW1hZ2UxLnBuZ1BL&#10;AQIUABQAAAAIAIdO4kANRc6yBwEAADoCAAAUAAAAAAAAAAEAIAAAAP4FAABkcnMvbWVkaWEvaW1h&#10;Z2UyLnN2Z1BLBQYAAAAACwALAJQCAAB7DQAAAAA=&#10;">
                <o:lock v:ext="edit" aspectratio="f"/>
                <v:shape id="_x0000_s1026" o:spid="_x0000_s1026" o:spt="202" type="#_x0000_t202" style="position:absolute;left:13179;top:3430319;height:1410;width:2251;" filled="f" stroked="f" coordsize="21600,21600" o:gfxdata="UEsDBAoAAAAAAIdO4kAAAAAAAAAAAAAAAAAEAAAAZHJzL1BLAwQUAAAACACHTuJAybvvQb8AAADb&#10;AAAADwAAAGRycy9kb3ducmV2LnhtbEWPQWvCQBSE7wX/w/IKvTWbCC0as4YSEEuxBzWX3l6zzySY&#10;fRuza9T++m6h4HGYmW+YLL+aTow0uNaygiSKQRBXVrdcKyj3q+cZCOeRNXaWScGNHOTLyUOGqbYX&#10;3tK487UIEHYpKmi871MpXdWQQRfZnjh4BzsY9EEOtdQDXgLcdHIax6/SYMthocGeioaq4+5sFHwU&#10;q0/cfk/N7Kcr1pvDW38qv16UenpM4gUIT1d/D/+337WCeQJ/X8IP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770G/&#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40BB4536">
                        <w:pPr>
                          <w:spacing w:line="360" w:lineRule="auto"/>
                          <w:rPr>
                            <w:rFonts w:hint="eastAsia"/>
                            <w:lang w:val="en-US" w:eastAsia="zh-CN"/>
                          </w:rPr>
                        </w:pPr>
                        <w:r>
                          <w:rPr>
                            <w:rFonts w:hint="eastAsia"/>
                            <w:lang w:val="en-US" w:eastAsia="zh-CN"/>
                          </w:rPr>
                          <w:t>图例：</w:t>
                        </w:r>
                      </w:p>
                      <w:p w14:paraId="3301842D">
                        <w:pPr>
                          <w:spacing w:line="360" w:lineRule="auto"/>
                          <w:ind w:firstLine="480"/>
                          <w:rPr>
                            <w:rFonts w:hint="eastAsia"/>
                            <w:lang w:val="en-US" w:eastAsia="zh-CN"/>
                          </w:rPr>
                        </w:pPr>
                        <w:r>
                          <w:rPr>
                            <w:rFonts w:hint="eastAsia"/>
                            <w:lang w:val="en-US" w:eastAsia="zh-CN"/>
                          </w:rPr>
                          <w:t>雨水走向</w:t>
                        </w:r>
                      </w:p>
                      <w:p w14:paraId="5FAA018B">
                        <w:pPr>
                          <w:spacing w:line="360" w:lineRule="auto"/>
                          <w:ind w:firstLine="480"/>
                          <w:rPr>
                            <w:rFonts w:hint="default"/>
                            <w:lang w:val="en-US" w:eastAsia="zh-CN"/>
                          </w:rPr>
                        </w:pPr>
                        <w:r>
                          <w:rPr>
                            <w:rFonts w:hint="eastAsia"/>
                            <w:lang w:val="en-US" w:eastAsia="zh-CN"/>
                          </w:rPr>
                          <w:t>封堵位置</w:t>
                        </w:r>
                      </w:p>
                    </w:txbxContent>
                  </v:textbox>
                </v:shape>
                <v:shape id="_x0000_s1026" o:spid="_x0000_s1026" o:spt="32" type="#_x0000_t32" style="position:absolute;left:13368;top:3431039;flip:y;height:27;width:360;" filled="f" stroked="t" coordsize="21600,21600" o:gfxdata="UEsDBAoAAAAAAIdO4kAAAAAAAAAAAAAAAAAEAAAAZHJzL1BLAwQUAAAACACHTuJAMTWFZb8AAADb&#10;AAAADwAAAGRycy9kb3ducmV2LnhtbEWPS4vCQBCE78L+h6EFL6ITHyyadfSwICiC60ZBvPVm2iSY&#10;6YmZ8fXvdwTBY1FVX1GT2d2U4kq1Kywr6HUjEMSp1QVnCnbbeWcEwnlkjaVlUvAgB7PpR2OCsbY3&#10;/qVr4jMRIOxiVJB7X8VSujQng65rK+LgHW1t0AdZZ1LXeAtwU8p+FH1KgwWHhRwr+s4pPSUXo6C/&#10;Gcq/6rya/6wzszztDm3a01qpVrMXfYHwdPfv8Ku90ArGA3h+CT9AT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1hWW/&#10;AAAA2wAAAA8AAAAAAAAAAQAgAAAAIgAAAGRycy9kb3ducmV2LnhtbFBLAQIUABQAAAAIAIdO4kAz&#10;LwWeOwAAADkAAAAQAAAAAAAAAAEAIAAAAA4BAABkcnMvc2hhcGV4bWwueG1sUEsFBgAAAAAGAAYA&#10;WwEAALgDAAAAAA==&#10;">
                  <v:fill on="f" focussize="0,0"/>
                  <v:stroke weight="2pt" color="#4F81BD [3204]" joinstyle="round" endarrow="open"/>
                  <v:imagedata o:title=""/>
                  <o:lock v:ext="edit" aspectratio="f"/>
                </v:shape>
                <v:shape id="_x0000_s1026" o:spid="_x0000_s1026" o:spt="75" alt="10787477654" type="#_x0000_t75" style="position:absolute;left:13373;top:3431314;height:351;width:351;" filled="f" o:preferrelative="t" stroked="f" coordsize="21600,21600" o:gfxdata="UEsDBAoAAAAAAIdO4kAAAAAAAAAAAAAAAAAEAAAAZHJzL1BLAwQUAAAACACHTuJAsB1pErwAAADb&#10;AAAADwAAAGRycy9kb3ducmV2LnhtbEWPQYvCMBSE7wv+h/CEvRRNK7JoNXpwWfCioLsHj4/k2Rab&#10;l9rE2v33RhA8DjPzDbNc97YWHbW+cqwgG6cgiLUzFRcK/n5/RjMQPiAbrB2Tgn/ysF4NPpaYG3fn&#10;A3XHUIgIYZ+jgjKEJpfS65Is+rFriKN3dq3FEGVbSNPiPcJtLSdp+iUtVhwXSmxoU5K+HG9WQeKx&#10;N93udMsuUid62iS76/deqc9hli5ABOrDO/xqb42C+RSeX+IPkK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daRK8AAAA&#10;2wAAAA8AAAAAAAAAAQAgAAAAIgAAAGRycy9kb3ducmV2LnhtbFBLAQIUABQAAAAIAIdO4kAzLwWe&#10;OwAAADkAAAAQAAAAAAAAAAEAIAAAAAsBAABkcnMvc2hhcGV4bWwueG1sUEsFBgAAAAAGAAYAWwEA&#10;ALUDAAAAAA==&#10;">
                  <v:fill on="f" focussize="0,0"/>
                  <v:stroke on="f"/>
                  <v:imagedata r:id="rId72" o:title=""/>
                  <o:lock v:ext="edit" aspectratio="t"/>
                </v:shape>
              </v:group>
            </w:pict>
          </mc:Fallback>
        </mc:AlternateContent>
      </w:r>
      <w:r>
        <w:rPr>
          <w:sz w:val="24"/>
          <w:u w:val="none" w:color="auto"/>
        </w:rPr>
        <mc:AlternateContent>
          <mc:Choice Requires="wps">
            <w:drawing>
              <wp:anchor distT="0" distB="0" distL="114300" distR="114300" simplePos="0" relativeHeight="251706368" behindDoc="0" locked="0" layoutInCell="1" allowOverlap="1">
                <wp:simplePos x="0" y="0"/>
                <wp:positionH relativeFrom="column">
                  <wp:posOffset>3670300</wp:posOffset>
                </wp:positionH>
                <wp:positionV relativeFrom="paragraph">
                  <wp:posOffset>2414905</wp:posOffset>
                </wp:positionV>
                <wp:extent cx="2349500" cy="1274445"/>
                <wp:effectExtent l="6350" t="6350" r="6350" b="14605"/>
                <wp:wrapNone/>
                <wp:docPr id="89" name="任意多边形 89"/>
                <wp:cNvGraphicFramePr/>
                <a:graphic xmlns:a="http://schemas.openxmlformats.org/drawingml/2006/main">
                  <a:graphicData uri="http://schemas.microsoft.com/office/word/2010/wordprocessingShape">
                    <wps:wsp>
                      <wps:cNvSpPr/>
                      <wps:spPr>
                        <a:xfrm>
                          <a:off x="4613275" y="3556000"/>
                          <a:ext cx="2349500" cy="1274445"/>
                        </a:xfrm>
                        <a:custGeom>
                          <a:avLst/>
                          <a:gdLst>
                            <a:gd name="connisteX0" fmla="*/ 114300 w 2590800"/>
                            <a:gd name="connsiteY0" fmla="*/ 1409700 h 1409700"/>
                            <a:gd name="connisteX1" fmla="*/ 2590800 w 2590800"/>
                            <a:gd name="connsiteY1" fmla="*/ 1200150 h 1409700"/>
                            <a:gd name="connisteX2" fmla="*/ 2495550 w 2590800"/>
                            <a:gd name="connsiteY2" fmla="*/ 0 h 1409700"/>
                            <a:gd name="connisteX3" fmla="*/ 0 w 2590800"/>
                            <a:gd name="connsiteY3" fmla="*/ 219075 h 1409700"/>
                            <a:gd name="connisteX4" fmla="*/ 114300 w 2590800"/>
                            <a:gd name="connsiteY4" fmla="*/ 1409700 h 14097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590800" h="1409700">
                              <a:moveTo>
                                <a:pt x="114300" y="1409700"/>
                              </a:moveTo>
                              <a:lnTo>
                                <a:pt x="2590800" y="1200150"/>
                              </a:lnTo>
                              <a:lnTo>
                                <a:pt x="2495550" y="0"/>
                              </a:lnTo>
                              <a:lnTo>
                                <a:pt x="0" y="219075"/>
                              </a:lnTo>
                              <a:lnTo>
                                <a:pt x="114300" y="1409700"/>
                              </a:lnTo>
                              <a:close/>
                            </a:path>
                          </a:pathLst>
                        </a:custGeom>
                        <a:noFill/>
                        <a:ln w="12700" cmpd="sng">
                          <a:solidFill>
                            <a:srgbClr val="FF0000"/>
                          </a:solidFill>
                          <a:prstDash val="solid"/>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9pt;margin-top:190.15pt;height:100.35pt;width:185pt;z-index:251706368;mso-width-relative:page;mso-height-relative:page;" filled="f" stroked="t" coordsize="2590800,1409700" o:gfxdata="UEsDBAoAAAAAAIdO4kAAAAAAAAAAAAAAAAAEAAAAZHJzL1BLAwQUAAAACACHTuJAVs/2HtwAAAAL&#10;AQAADwAAAGRycy9kb3ducmV2LnhtbE2PwU7DMBBE70j8g7VIXBC10xIaQpweEAguRTTthZubLElE&#10;vI5iJ235erYnOO7MaPZNtjraTkw4+NaRhmimQCCVrmqp1rDbvtwmIHwwVJnOEWo4oYdVfnmRmbRy&#10;B9rgVIRacAn51GhoQuhTKX3ZoDV+5nok9r7cYE3gc6hlNZgDl9tOzpW6l9a0xB8a0+NTg+V3MVoN&#10;xfPnPNr9bF7jt1O8nYr1uPy4edf6+ipSjyACHsNfGM74jA45M+3dSJUXnYZ4mfCWoGGRqAUITjzc&#10;nZU9W0mkQOaZ/L8h/wVQSwMEFAAAAAgAh07iQGCzKH8eAwAAWQgAAA4AAABkcnMvZTJvRG9jLnht&#10;bK1Wy24TMRTdI/EPlpdIdB6ZaZqoSRdEYYMAqUWCpePxPCSPPbLdJN2zZ88S8ROogq+hiM/g2uNJ&#10;3fJIKrHJeMb33Mfxvcc5Pdu2HK2Z0o0UM5wcxRgxQWXRiGqG31wsn55gpA0RBeFSsBm+YhqfzR8/&#10;Ot10U5bKWvKCKQROhJ5uuhmujemmUaRpzVqij2THBGyWUrXEwKuqokKRDXhveZTG8XG0karolKRM&#10;a/i66Dex96gOcSjLsqFsIelly4TpvSrGiYGSdN10Gs9dtmXJqHlVlpoZxGcYKjXuF4LAemV/o/kp&#10;mVaKdHVDfQrkkBTu1dSSRkDQnasFMQRdquY3V21DldSyNEdUtlFfiGMEqkjie9yc16RjrhagWnc7&#10;0vX/c0tfrl8r1BQzfDLBSJAWTvz79fWP9x9uPn/8+e3LzddPCHaApk2np2B93r1W/k3D0ta8LVVr&#10;n1AN2s5wdpyM0nGO0dUMj/L8OI49zWxrEAWDdJRNcviIKFgk6TjLstxGiG5d0UttnjPp3JL1C236&#10;cypg5VgufKpUCtFow96Ct7LlcHRPIpQk2SiO0Qal+SQ+GaJXIUY3hr27g8niyRhANUr6le+MEOQC&#10;JUEg739/pBCUwBAk+QGR0jASMJYDaG9NIeiAGKMgxgHeQ/M0mcTjfD9hWRDi0JO5g/nTyUCrVEMz&#10;kHroD7oVvkFghYgVtNhNZSe17cywW6D17KtvhL77AGW7aw8YDjMEJ751DwPD+YTg9EFgoD8Ejx4E&#10;Bk5DcBaCgU5I33OnQDStXHInlwYjkEvl5HJlMWTaEWMpH5ZoAyPtJw3VMNF+gOx+K9fsQjpLY0+g&#10;bwCXyWDWU39ryEUI2DmG3P3k+MQHu+HZuQBpPygugpMdKG2wGJ69JUw/+Oy7+J8u/5rz4I9yqVlf&#10;hqXGCdmOI0ttIGZCLhvOHY1cWOZA/5wUErhKS7jCQBXbDuRYiwojwiu4o6lRrou15E1h4ZZPrarV&#10;M67QmsBRLZcgskO5d8w6pc2C6Lq3c1u7YiFRK+q9jNvVShZXTt3dd7hxXCn+drRXWvju0Lf/COa/&#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FbP9h7cAAAACwEAAA8AAAAAAAAAAQAgAAAAIgAAAGRy&#10;cy9kb3ducmV2LnhtbFBLAQIUABQAAAAIAIdO4kBgsyh/HgMAAFkIAAAOAAAAAAAAAAEAIAAAACsB&#10;AABkcnMvZTJvRG9jLnhtbFBLBQYAAAAABgAGAFkBAAC7BgAAAAA=&#10;" path="m114300,1409700l2590800,1200150,2495550,0,0,219075,114300,1409700xe">
                <v:path o:connectlocs="103654,1274445;2349500,1085000;2263121,0;0,198055;103654,1274445" o:connectangles="0,0,0,0,0"/>
                <v:fill on="f" focussize="0,0"/>
                <v:stroke weight="1pt" color="#FF0000 [2404]" joinstyle="round"/>
                <v:imagedata o:title=""/>
                <o:lock v:ext="edit" aspectratio="f"/>
              </v:shape>
            </w:pict>
          </mc:Fallback>
        </mc:AlternateContent>
      </w:r>
      <w:r>
        <w:rPr>
          <w:rFonts w:hint="eastAsia" w:ascii="Times New Roman" w:hAnsi="Times New Roman" w:eastAsia="宋体" w:cs="Times New Roman"/>
          <w:color w:val="000000" w:themeColor="text1"/>
          <w:u w:val="none" w:color="auto"/>
          <w:lang w:val="en-US" w:eastAsia="zh-CN"/>
          <w14:textFill>
            <w14:solidFill>
              <w14:schemeClr w14:val="tx1"/>
            </w14:solidFill>
          </w14:textFill>
        </w:rPr>
        <w:drawing>
          <wp:anchor distT="0" distB="0" distL="114300" distR="114300" simplePos="0" relativeHeight="251692032" behindDoc="0" locked="0" layoutInCell="1" allowOverlap="1">
            <wp:simplePos x="0" y="0"/>
            <wp:positionH relativeFrom="column">
              <wp:posOffset>5665470</wp:posOffset>
            </wp:positionH>
            <wp:positionV relativeFrom="paragraph">
              <wp:posOffset>3512820</wp:posOffset>
            </wp:positionV>
            <wp:extent cx="270510" cy="270510"/>
            <wp:effectExtent l="0" t="0" r="15240" b="15240"/>
            <wp:wrapNone/>
            <wp:docPr id="87" name="图片 87" descr="10787477654"/>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icons&quot;,&quot;user&quot;:&quot;211900405&quot;}"/>
                  </s:tag>
                </a:ext>
              </a:extLst>
            </wp:cNvGraphicFramePr>
            <a:graphic xmlns:a="http://schemas.openxmlformats.org/drawingml/2006/main">
              <a:graphicData uri="http://schemas.openxmlformats.org/drawingml/2006/picture">
                <pic:pic xmlns:pic="http://schemas.openxmlformats.org/drawingml/2006/picture">
                  <pic:nvPicPr>
                    <pic:cNvPr id="87" name="图片 87" descr="10787477654"/>
                    <pic:cNvPicPr>
                      <a:picLocks noChangeAspect="1"/>
                    </pic:cNvPicPr>
                  </pic:nvPicPr>
                  <pic:blipFill>
                    <a:blip r:embed="rId70">
                      <a:extLst>
                        <a:ext uri="{96DAC541-7B7A-43D3-8B79-37D633B846F1}">
                          <asvg:svgBlip xmlns:asvg="http://schemas.microsoft.com/office/drawing/2016/SVG/main" r:embed="rId71"/>
                        </a:ext>
                      </a:extLst>
                    </a:blip>
                    <a:stretch>
                      <a:fillRect/>
                    </a:stretch>
                  </pic:blipFill>
                  <pic:spPr>
                    <a:xfrm>
                      <a:off x="0" y="0"/>
                      <a:ext cx="270510" cy="270510"/>
                    </a:xfrm>
                    <a:prstGeom prst="rect">
                      <a:avLst/>
                    </a:prstGeom>
                  </pic:spPr>
                </pic:pic>
              </a:graphicData>
            </a:graphic>
          </wp:anchor>
        </w:drawing>
      </w:r>
      <w:r>
        <w:rPr>
          <w:sz w:val="24"/>
          <w:u w:val="none" w:color="auto"/>
        </w:rPr>
        <w:drawing>
          <wp:anchor distT="0" distB="0" distL="114300" distR="114300" simplePos="0" relativeHeight="251705344" behindDoc="0" locked="0" layoutInCell="1" allowOverlap="1">
            <wp:simplePos x="0" y="0"/>
            <wp:positionH relativeFrom="column">
              <wp:posOffset>5803900</wp:posOffset>
            </wp:positionH>
            <wp:positionV relativeFrom="paragraph">
              <wp:posOffset>2751455</wp:posOffset>
            </wp:positionV>
            <wp:extent cx="325120" cy="325120"/>
            <wp:effectExtent l="0" t="0" r="17780" b="17780"/>
            <wp:wrapNone/>
            <wp:docPr id="88" name="图片 88" descr="10787477654"/>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icons&quot;,&quot;user&quot;:&quot;211900405&quot;}"/>
                  </s:tag>
                </a:ext>
              </a:extLst>
            </wp:cNvGraphicFramePr>
            <a:graphic xmlns:a="http://schemas.openxmlformats.org/drawingml/2006/main">
              <a:graphicData uri="http://schemas.openxmlformats.org/drawingml/2006/picture">
                <pic:pic xmlns:pic="http://schemas.openxmlformats.org/drawingml/2006/picture">
                  <pic:nvPicPr>
                    <pic:cNvPr id="88" name="图片 88" descr="10787477654"/>
                    <pic:cNvPicPr>
                      <a:picLocks noChangeAspect="1"/>
                    </pic:cNvPicPr>
                  </pic:nvPicPr>
                  <pic:blipFill>
                    <a:blip r:embed="rId70">
                      <a:extLst>
                        <a:ext uri="{96DAC541-7B7A-43D3-8B79-37D633B846F1}">
                          <asvg:svgBlip xmlns:asvg="http://schemas.microsoft.com/office/drawing/2016/SVG/main" r:embed="rId71"/>
                        </a:ext>
                      </a:extLst>
                    </a:blip>
                    <a:stretch>
                      <a:fillRect/>
                    </a:stretch>
                  </pic:blipFill>
                  <pic:spPr>
                    <a:xfrm>
                      <a:off x="6718300" y="3892550"/>
                      <a:ext cx="325120" cy="325120"/>
                    </a:xfrm>
                    <a:prstGeom prst="rect">
                      <a:avLst/>
                    </a:prstGeom>
                  </pic:spPr>
                </pic:pic>
              </a:graphicData>
            </a:graphic>
          </wp:anchor>
        </w:drawing>
      </w:r>
      <w:r>
        <w:rPr>
          <w:sz w:val="24"/>
          <w:u w:val="none" w:color="auto"/>
        </w:rPr>
        <w:drawing>
          <wp:anchor distT="0" distB="0" distL="114300" distR="114300" simplePos="0" relativeHeight="251704320" behindDoc="0" locked="0" layoutInCell="1" allowOverlap="1">
            <wp:simplePos x="0" y="0"/>
            <wp:positionH relativeFrom="column">
              <wp:posOffset>7000240</wp:posOffset>
            </wp:positionH>
            <wp:positionV relativeFrom="paragraph">
              <wp:posOffset>714375</wp:posOffset>
            </wp:positionV>
            <wp:extent cx="325120" cy="325120"/>
            <wp:effectExtent l="0" t="0" r="17780" b="17780"/>
            <wp:wrapNone/>
            <wp:docPr id="86" name="图片 86" descr="10787477654"/>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icons&quot;,&quot;user&quot;:&quot;211900405&quot;}"/>
                  </s:tag>
                </a:ext>
              </a:extLst>
            </wp:cNvGraphicFramePr>
            <a:graphic xmlns:a="http://schemas.openxmlformats.org/drawingml/2006/main">
              <a:graphicData uri="http://schemas.openxmlformats.org/drawingml/2006/picture">
                <pic:pic xmlns:pic="http://schemas.openxmlformats.org/drawingml/2006/picture">
                  <pic:nvPicPr>
                    <pic:cNvPr id="86" name="图片 86" descr="10787477654"/>
                    <pic:cNvPicPr>
                      <a:picLocks noChangeAspect="1"/>
                    </pic:cNvPicPr>
                  </pic:nvPicPr>
                  <pic:blipFill>
                    <a:blip r:embed="rId70">
                      <a:extLst>
                        <a:ext uri="{96DAC541-7B7A-43D3-8B79-37D633B846F1}">
                          <asvg:svgBlip xmlns:asvg="http://schemas.microsoft.com/office/drawing/2016/SVG/main" r:embed="rId71"/>
                        </a:ext>
                      </a:extLst>
                    </a:blip>
                    <a:stretch>
                      <a:fillRect/>
                    </a:stretch>
                  </pic:blipFill>
                  <pic:spPr>
                    <a:xfrm>
                      <a:off x="7914640" y="1855470"/>
                      <a:ext cx="325120" cy="325120"/>
                    </a:xfrm>
                    <a:prstGeom prst="rect">
                      <a:avLst/>
                    </a:prstGeom>
                  </pic:spPr>
                </pic:pic>
              </a:graphicData>
            </a:graphic>
          </wp:anchor>
        </w:drawing>
      </w:r>
      <w:r>
        <w:rPr>
          <w:sz w:val="24"/>
          <w:u w:val="none" w:color="auto"/>
        </w:rPr>
        <mc:AlternateContent>
          <mc:Choice Requires="wps">
            <w:drawing>
              <wp:anchor distT="0" distB="0" distL="114300" distR="114300" simplePos="0" relativeHeight="251703296" behindDoc="0" locked="0" layoutInCell="1" allowOverlap="1">
                <wp:simplePos x="0" y="0"/>
                <wp:positionH relativeFrom="column">
                  <wp:posOffset>1109345</wp:posOffset>
                </wp:positionH>
                <wp:positionV relativeFrom="paragraph">
                  <wp:posOffset>2601595</wp:posOffset>
                </wp:positionV>
                <wp:extent cx="678815" cy="738505"/>
                <wp:effectExtent l="9525" t="0" r="16510" b="23495"/>
                <wp:wrapNone/>
                <wp:docPr id="85" name="直接箭头连接符 85"/>
                <wp:cNvGraphicFramePr/>
                <a:graphic xmlns:a="http://schemas.openxmlformats.org/drawingml/2006/main">
                  <a:graphicData uri="http://schemas.microsoft.com/office/word/2010/wordprocessingShape">
                    <wps:wsp>
                      <wps:cNvCnPr/>
                      <wps:spPr>
                        <a:xfrm flipV="1">
                          <a:off x="2023745" y="3742690"/>
                          <a:ext cx="678815" cy="73850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7.35pt;margin-top:204.85pt;height:58.15pt;width:53.45pt;z-index:251703296;mso-width-relative:page;mso-height-relative:page;" filled="f" stroked="t" coordsize="21600,21600" o:gfxdata="UEsDBAoAAAAAAIdO4kAAAAAAAAAAAAAAAAAEAAAAZHJzL1BLAwQUAAAACACHTuJA/bNf9NsAAAAL&#10;AQAADwAAAGRycy9kb3ducmV2LnhtbE2PTU/DMAyG70j8h8hIXBBLWpVulKY7IO2AkMYYkxC3tDFt&#10;tcYpTfbBv8ec4OZXfvT6cbk8u0EccQq9Jw3JTIFAarztqdWwe1vdLkCEaMiawRNq+MYAy+ryojSF&#10;9Sd6xeM2toJLKBRGQxfjWEgZmg6dCTM/IvHu00/ORI5TK+1kTlzuBpkqlUtneuILnRnxscNmvz04&#10;Dekmk/X49bx6Wbfuab/7uMF3XGt9fZWoBxARz/EPhl99VoeKnWp/IBvEwHmezRnVkKl7HphIF0kO&#10;otZwl+YKZFXK/z9UP1BLAwQUAAAACACHTuJACRxBjhUCAADkAwAADgAAAGRycy9lMm9Eb2MueG1s&#10;rVNLjhMxEN0jcQfLe9KdTD5NlM5IJIQNgpH47B23u9uSfyp70skluAASK2AFrGbPaWA4BmV3M8Cw&#10;mQUbq+yqelXvVXl1ftSKHAR4aU1Jx6OcEmG4raRpSvrq5e5BQYkPzFRMWSNKehKenq/v31t1bikm&#10;trWqEkAQxPhl50rahuCWWeZ5KzTzI+uEQWdtQbOAV2iyCliH6FplkzyfZ52FyoHlwnt83fZOOiDC&#10;XQBtXUsutpZfamFCjwpCsYCUfCudp+vUbV0LHp7XtReBqJIi05BOLIL2Pp7ZesWWDTDXSj60wO7S&#10;wi1OmkmDRW+gtiwwcgnyHygtOVhv6zDiVmc9kaQIshjnt7R50TInEheU2rsb0f3/g+XPDhdAZFXS&#10;YkaJYRonfv326vubD9dfPn97f/Xj67tof/pI0I9idc4vMWdjLmC4eXcBkfmxBk1qJd1r3KqkBbIj&#10;x5JO8snZYorop5KiMZk/HGQXx0A4BswXRTFGP8eAxVkxy1OlrIeM0A58eCKsJtEoqQ/AZNOGjTUG&#10;B2yhL8cOT33ApjDxV0JMNnYnlUpzVoZ02M9smuP4OcPlrXFp0NQOBfCmoYSpBn8FD5AYeKtkFdMj&#10;kIdmv1FADgx3aborxo+2UREs91dYrL1lvu3jkqvfssCkemwqEk4ORWYAthvylUGYqGyvZbT2tjol&#10;idM7Dj8VGhY1btef95T9+3Ou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9s1/02wAAAAsBAAAP&#10;AAAAAAAAAAEAIAAAACIAAABkcnMvZG93bnJldi54bWxQSwECFAAUAAAACACHTuJACRxBjhUCAADk&#10;AwAADgAAAAAAAAABACAAAAAqAQAAZHJzL2Uyb0RvYy54bWxQSwUGAAAAAAYABgBZAQAAsQUAAA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702272" behindDoc="0" locked="0" layoutInCell="1" allowOverlap="1">
                <wp:simplePos x="0" y="0"/>
                <wp:positionH relativeFrom="column">
                  <wp:posOffset>4827270</wp:posOffset>
                </wp:positionH>
                <wp:positionV relativeFrom="paragraph">
                  <wp:posOffset>971550</wp:posOffset>
                </wp:positionV>
                <wp:extent cx="899795" cy="59690"/>
                <wp:effectExtent l="635" t="50165" r="13970" b="23495"/>
                <wp:wrapNone/>
                <wp:docPr id="78" name="直接箭头连接符 78"/>
                <wp:cNvGraphicFramePr/>
                <a:graphic xmlns:a="http://schemas.openxmlformats.org/drawingml/2006/main">
                  <a:graphicData uri="http://schemas.microsoft.com/office/word/2010/wordprocessingShape">
                    <wps:wsp>
                      <wps:cNvCnPr/>
                      <wps:spPr>
                        <a:xfrm flipV="1">
                          <a:off x="5741670" y="2112645"/>
                          <a:ext cx="899795" cy="5969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80.1pt;margin-top:76.5pt;height:4.7pt;width:70.85pt;z-index:251702272;mso-width-relative:page;mso-height-relative:page;" filled="f" stroked="t" coordsize="21600,21600" o:gfxdata="UEsDBAoAAAAAAIdO4kAAAAAAAAAAAAAAAAAEAAAAZHJzL1BLAwQUAAAACACHTuJA2/7nVtsAAAAL&#10;AQAADwAAAGRycy9kb3ducmV2LnhtbE2PzU7DMBCE70i8g7VIXFBrJ5RAQ5wekHpASC20lRA3J16S&#10;qPE6xO4Pb89yguPOfJqdKRZn14sjjqHzpCGZKhBItbcdNRp22+XkAUSIhqzpPaGGbwywKC8vCpNb&#10;f6I3PG5iIziEQm40tDEOuZShbtGZMPUDEnuffnQm8jk20o7mxOGul6lSmXSmI/7QmgGfWqz3m4PT&#10;kL7OZDV8vSzXq8Y973cfN/iOK62vrxL1CCLiOf7B8Fufq0PJnSp/IBtEr+E+UymjbNzd8igm5iqZ&#10;g6hYydIZyLKQ/zeUP1BLAwQUAAAACACHTuJARCRsOBYCAADjAwAADgAAAGRycy9lMm9Eb2MueG1s&#10;rVNLjhMxEN0jcQfLe9LpKL+O0hmJhLBBEInP3nG7uy35p7InnVyCCyCxAlYDq9lzGhiOQdkdBhg2&#10;s2BjlV1Vr+q9Ki8vjlqRgwAvrSlpPhhSIgy3lTRNSV+/2j6aU+IDMxVT1oiSnoSnF6uHD5adW4iR&#10;ba2qBBAEMX7RuZK2IbhFlnneCs38wDph0Flb0CzgFZqsAtYhulbZaDicZp2FyoHlwnt83fROekaE&#10;+wDaupZcbCy/1MKEHhWEYgEp+VY6T1ep27oWPLyoay8CUSVFpiGdWATtfTyz1ZItGmCulfzcArtP&#10;C3c4aSYNFr2F2rDAyCXIf6C05GC9rcOAW531RJIiyCIf3tHmZcucSFxQau9uRff/D5Y/P+yAyKqk&#10;M5y7YRonfvPu+vvbjzdfPn/7cP3j6/toX30i6EexOucXmLM2OzjfvNtBZH6sQZNaSfcGtyppgezI&#10;saST2TifzlDwU0lHeT6ajie97OIYCMeAeVHMigklHAMmxbRIU8l6xIjswIenwmoSjZL6AEw2bVhb&#10;Y3C+Fvpq7PDMB+wJE38lxGRjt1KpNGZlSIctTMZDbIYz3N0adwZN7ZC/Nw0lTDX4KXiARMBbJauY&#10;HoE8NPu1AnJguErj7Tx/vIk0sNxfYbH2hvm2j0uunm1gUj0xFQknhxozANud85VBmChsL2W09rY6&#10;JYXTO84+FTrvaVyuP+8p+/ffXP0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2/7nVtsAAAALAQAA&#10;DwAAAAAAAAABACAAAAAiAAAAZHJzL2Rvd25yZXYueG1sUEsBAhQAFAAAAAgAh07iQEQkbDgWAgAA&#10;4wMAAA4AAAAAAAAAAQAgAAAAKgEAAGRycy9lMm9Eb2MueG1sUEsFBgAAAAAGAAYAWQEAALIFAAAA&#10;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701248" behindDoc="0" locked="0" layoutInCell="1" allowOverlap="1">
                <wp:simplePos x="0" y="0"/>
                <wp:positionH relativeFrom="column">
                  <wp:posOffset>3324225</wp:posOffset>
                </wp:positionH>
                <wp:positionV relativeFrom="paragraph">
                  <wp:posOffset>1107440</wp:posOffset>
                </wp:positionV>
                <wp:extent cx="899795" cy="59690"/>
                <wp:effectExtent l="635" t="50165" r="13970" b="23495"/>
                <wp:wrapNone/>
                <wp:docPr id="79" name="直接箭头连接符 79"/>
                <wp:cNvGraphicFramePr/>
                <a:graphic xmlns:a="http://schemas.openxmlformats.org/drawingml/2006/main">
                  <a:graphicData uri="http://schemas.microsoft.com/office/word/2010/wordprocessingShape">
                    <wps:wsp>
                      <wps:cNvCnPr/>
                      <wps:spPr>
                        <a:xfrm flipV="1">
                          <a:off x="4238625" y="2248535"/>
                          <a:ext cx="899795" cy="5969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1.75pt;margin-top:87.2pt;height:4.7pt;width:70.85pt;z-index:251701248;mso-width-relative:page;mso-height-relative:page;" filled="f" stroked="t" coordsize="21600,21600" o:gfxdata="UEsDBAoAAAAAAIdO4kAAAAAAAAAAAAAAAAAEAAAAZHJzL1BLAwQUAAAACACHTuJAGkzKR9wAAAAL&#10;AQAADwAAAGRycy9kb3ducmV2LnhtbE2PTU/DMAyG70j8h8hIXNCWrmtLVZrugLQDQhowJk3c0sa0&#10;1RqnNNkH/x5zgqP9Pnr9uFxd7CBOOPnekYLFPAKB1DjTU6tg976e5SB80GT04AgVfKOHVXV9VerC&#10;uDO94WkbWsEl5AutoAthLKT0TYdW+7kbkTj7dJPVgceplWbSZy63g4yjKJNW98QXOj3iY4fNYXu0&#10;CuLXRNbj1/P6ZdPap8Pu4w73uFHq9mYRPYAIeAl/MPzqszpU7FS7IxkvBgVpvEwZ5eA+SUAwkWVp&#10;DKLmTb7MQVal/P9D9QNQSwMEFAAAAAgAh07iQICjvbMXAgAA4wMAAA4AAABkcnMvZTJvRG9jLnht&#10;bK1TvY4TMRDukXgHyz3ZZC/JZaNsTiIhNAgi8dM7Xu+uJf9p7MsmL8ELIFHBVUB1PU8Dx2Mw9oYD&#10;juYKGmvsmflmvm/Gi4uDVmQvwEtrSjoaDCkRhttKmqakr19tHs0o8YGZiilrREmPwtOL5cMHi87N&#10;RW5bqyoBBEGMn3eupG0Ibp5lnrdCMz+wThh01hY0C3iFJquAdYiuVZYPh9Oss1A5sFx4j6/r3klP&#10;iHAfQFvXkou15ZdamNCjglAsICXfSufpMnVb14KHF3XtRSCqpMg0pBOLoL2LZ7ZcsHkDzLWSn1pg&#10;92nhDifNpMGit1BrFhi5BPkPlJYcrLd1GHCrs55IUgRZjIZ3tHnZMicSF5Tau1vR/f+D5c/3WyCy&#10;Kul5QYlhGid+8+76+9uPN18+f/tw/ePr+2h/uiLoR7E65+eYszJbON2820JkfqhBk1pJ9wa3KmmB&#10;7MihpOP8bDbNJ5QcS5rn49nkbNLLLg6BcAyYFcV5gX6OAZNiWqSpZD1iRHbgw1NhNYlGSX0AJps2&#10;rKwxOF8LfTW2f+YD9oSJvxJisrEbqVQaszKkwxYm4yFOnzPc3Rp3Bk3tkL83DSVMNfgpeIBEwFsl&#10;q5gegTw0u5UCsme4SuPNbPR4HWlgub/CYu01820fl1w928CkemIqEo4ONWYAtjvlK4MwUdheymjt&#10;bHVMCqd3nH0qdNrTuFx/3lP277+5/A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aTMpH3AAAAAsB&#10;AAAPAAAAAAAAAAEAIAAAACIAAABkcnMvZG93bnJldi54bWxQSwECFAAUAAAACACHTuJAgKO9sxcC&#10;AADjAwAADgAAAAAAAAABACAAAAArAQAAZHJzL2Uyb0RvYy54bWxQSwUGAAAAAAYABgBZAQAAtAUA&#10;AA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700224" behindDoc="0" locked="0" layoutInCell="1" allowOverlap="1">
                <wp:simplePos x="0" y="0"/>
                <wp:positionH relativeFrom="column">
                  <wp:posOffset>6227445</wp:posOffset>
                </wp:positionH>
                <wp:positionV relativeFrom="paragraph">
                  <wp:posOffset>869950</wp:posOffset>
                </wp:positionV>
                <wp:extent cx="899795" cy="59690"/>
                <wp:effectExtent l="635" t="50165" r="13970" b="23495"/>
                <wp:wrapNone/>
                <wp:docPr id="77" name="直接箭头连接符 77"/>
                <wp:cNvGraphicFramePr/>
                <a:graphic xmlns:a="http://schemas.openxmlformats.org/drawingml/2006/main">
                  <a:graphicData uri="http://schemas.microsoft.com/office/word/2010/wordprocessingShape">
                    <wps:wsp>
                      <wps:cNvCnPr/>
                      <wps:spPr>
                        <a:xfrm flipV="1">
                          <a:off x="7141845" y="2011045"/>
                          <a:ext cx="899795" cy="5969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90.35pt;margin-top:68.5pt;height:4.7pt;width:70.85pt;z-index:251700224;mso-width-relative:page;mso-height-relative:page;" filled="f" stroked="t" coordsize="21600,21600" o:gfxdata="UEsDBAoAAAAAAIdO4kAAAAAAAAAAAAAAAAAEAAAAZHJzL1BLAwQUAAAACACHTuJA37zQINwAAAAM&#10;AQAADwAAAGRycy9kb3ducmV2LnhtbE2PzU7DMBCE70i8g7VIXBC1E6K2hDg9IPWAkAqUSoibEy9J&#10;1HgdYvfv7bs9wW1H82l2plgcXS/2OIbOk4ZkokAg1d521GjYfC7v5yBCNGRN7wk1nDDAory+Kkxu&#10;/YE+cL+OjeAQCrnR0MY45FKGukVnwsQPSOz9+NGZyHJspB3NgcNdL1OlptKZjvhDawZ8brHerndO&#10;Q/qeyWr4fV2+rRr3st183+EXrrS+vUnUE4iIx/gHw6U+V4eSO1V+RzaIXsPjXM0YZeNhxqMuRJKm&#10;GYiKr2yagSwL+X9EeQZQSwMEFAAAAAgAh07iQG5x1ZMUAgAA4wMAAA4AAABkcnMvZTJvRG9jLnht&#10;bK1TzY7TMBC+I/EOlu80yardNlXTlWgpFwSV+Lm7jpNY8p/G3qZ9CV4AiRNwWjjtnaeB5TEYO2WB&#10;5bIHLtbYM/PNfN+MFxcHrchegJfWVLQY5ZQIw20tTVvR1682j2aU+MBMzZQ1oqJH4enF8uGDRe/m&#10;4sx2VtUCCIIYP+9dRbsQ3DzLPO+EZn5knTDobCxoFvAKbVYD6xFdq+wsz8+z3kLtwHLhPb6uByc9&#10;IcJ9AG3TSC7Wll9qYcKACkKxgJR8J52ny9Rt0wgeXjSNF4GoiiLTkE4sgvYuntlyweYtMNdJfmqB&#10;3aeFO5w0kwaL3kKtWWDkEuQ/UFpysN42YcStzgYiSRFkUeR3tHnZMScSF5Tau1vR/f+D5c/3WyCy&#10;ruh0SolhGid+8+76+9uPN18+f/tw/ePr+2hffSLoR7F65+eYszJbON2820JkfmhAk0ZJ9wa3KmmB&#10;7MgBgYtxMRtPKDlWFEkWOdpJdnEIhGPArCynJfo5BkzK8zJNJRsQI7IDH54Kq0k0KuoDMNl2YWWN&#10;wflaGKqx/TMfEBcTfyXEZGM3UqlUTxnSYwuTcY7T5wx3t8GdQVM75O9NSwlTLX4KHiAR8FbJOqZH&#10;IA/tbqWA7Bmu0ngzKx6vIw0s91dYrL1mvhvikmtgG5hUT0xNwtGhxgzA9qd8ZRAmCjtIGa2drY9J&#10;4fSOs0+FTnsal+vPe8r+/Te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fvNAg3AAAAAwBAAAP&#10;AAAAAAAAAAEAIAAAACIAAABkcnMvZG93bnJldi54bWxQSwECFAAUAAAACACHTuJAbnHVkxQCAADj&#10;AwAADgAAAAAAAAABACAAAAArAQAAZHJzL2Uyb0RvYy54bWxQSwUGAAAAAAYABgBZAQAAsQUAAA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699200" behindDoc="0" locked="0" layoutInCell="1" allowOverlap="1">
                <wp:simplePos x="0" y="0"/>
                <wp:positionH relativeFrom="column">
                  <wp:posOffset>2272030</wp:posOffset>
                </wp:positionH>
                <wp:positionV relativeFrom="paragraph">
                  <wp:posOffset>1362075</wp:posOffset>
                </wp:positionV>
                <wp:extent cx="755650" cy="662305"/>
                <wp:effectExtent l="8255" t="0" r="17145" b="23495"/>
                <wp:wrapNone/>
                <wp:docPr id="82" name="直接箭头连接符 82"/>
                <wp:cNvGraphicFramePr/>
                <a:graphic xmlns:a="http://schemas.openxmlformats.org/drawingml/2006/main">
                  <a:graphicData uri="http://schemas.microsoft.com/office/word/2010/wordprocessingShape">
                    <wps:wsp>
                      <wps:cNvCnPr/>
                      <wps:spPr>
                        <a:xfrm flipV="1">
                          <a:off x="3186430" y="2503170"/>
                          <a:ext cx="755650" cy="66230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8.9pt;margin-top:107.25pt;height:52.15pt;width:59.5pt;z-index:251699200;mso-width-relative:page;mso-height-relative:page;" filled="f" stroked="t" coordsize="21600,21600" o:gfxdata="UEsDBAoAAAAAAIdO4kAAAAAAAAAAAAAAAAAEAAAAZHJzL1BLAwQUAAAACACHTuJAkycq9dwAAAAL&#10;AQAADwAAAGRycy9kb3ducmV2LnhtbE2Py07DMBBF90j8gzWV2CDqpKRtlMbpAqkLhFToQ0LdOfE0&#10;iRqPQ+w++HuGFSxn7tWZM/nyZjtxwcG3jhTE4wgEUuVMS7WC/W71lILwQZPRnSNU8I0elsX9Xa4z&#10;4660wcs21IIh5DOtoAmhz6T0VYNW+7HrkTg7usHqwONQSzPoK8NtJydRNJNWt8QXGt3jS4PVaXu2&#10;CiYfiSz7r7fV+7q2r6f94RE/ca3UwyiOFiAC3sJfGX71WR0KdirdmYwXnYLn6ZzVA8PiZAqCG8l8&#10;xpuSozhNQRa5/P9D8QNQSwMEFAAAAAgAh07iQHBrYa0UAgAA5AMAAA4AAABkcnMvZTJvRG9jLnht&#10;bK1TzY7TMBC+I/EOlu806e9WUdOVaCkXBCvxc586TmLJsa2xt2lfghdA4gScFk5752lgeQzGSVhg&#10;ueyBSzT2zPfNfJ8nq/Njo9lBolfW5Hw8SjmTRthCmSrnr1/tHi058wFMAdoamfOT9Px8/fDBqnWZ&#10;nNja6kIiIxLjs9blvA7BZUniRS0b8CPrpKFkabGBQEeskgKhJfZGJ5M0XSStxcKhFdJ7ut32ST4w&#10;4n0IbVkqIbdWXDbShJ4VpYZAknytnOfrbtqylCK8KEsvA9M5J6Wh+1ITivfxm6xXkFUIrlZiGAHu&#10;M8IdTQ0oQ01vqbYQgF2i+oeqUQKtt2UYCdskvZDOEVIxTu9487IGJzstZLV3t6b7/0crnh8ukKki&#10;58sJZwYaevGbd9ff3368+fL524frH1/fx/jqE6M8mdU6nxFmYy5wOHl3gVH5scSGlVq5N7RVnRek&#10;jh1zPh0vF7MpGX7K+WSeTsdng+3yGJiggrP5fDGnvKCCxWIyTeexU9JTRmqHPjyVtmExyLkPCKqq&#10;w8YaQw9ssW8Hh2c+9MBfgAg2dqe0pnvItGFtnGGWxm5Ay1vS0lDYODLAm4oz0BX9FSJgp8BbrYoI&#10;j2iP1X6jkR2Admm2W44fb4c5/yqLvbfg676uS8UyyAIo/cQULJwcmQyIth3w2pDc6GzvZYz2tjh1&#10;Fnf39PidIcOixu3689yhf/+c6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TJyr13AAAAAsBAAAP&#10;AAAAAAAAAAEAIAAAACIAAABkcnMvZG93bnJldi54bWxQSwECFAAUAAAACACHTuJAcGthrRQCAADk&#10;AwAADgAAAAAAAAABACAAAAArAQAAZHJzL2Uyb0RvYy54bWxQSwUGAAAAAAYABgBZAQAAsQUAAA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698176" behindDoc="0" locked="0" layoutInCell="1" allowOverlap="1">
                <wp:simplePos x="0" y="0"/>
                <wp:positionH relativeFrom="column">
                  <wp:posOffset>6771005</wp:posOffset>
                </wp:positionH>
                <wp:positionV relativeFrom="paragraph">
                  <wp:posOffset>1192530</wp:posOffset>
                </wp:positionV>
                <wp:extent cx="93345" cy="925195"/>
                <wp:effectExtent l="46990" t="0" r="31115" b="8255"/>
                <wp:wrapNone/>
                <wp:docPr id="76" name="直接箭头连接符 76"/>
                <wp:cNvGraphicFramePr/>
                <a:graphic xmlns:a="http://schemas.openxmlformats.org/drawingml/2006/main">
                  <a:graphicData uri="http://schemas.microsoft.com/office/word/2010/wordprocessingShape">
                    <wps:wsp>
                      <wps:cNvCnPr/>
                      <wps:spPr>
                        <a:xfrm flipH="1" flipV="1">
                          <a:off x="7685405" y="2333625"/>
                          <a:ext cx="93345" cy="92519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533.15pt;margin-top:93.9pt;height:72.85pt;width:7.35pt;z-index:251698176;mso-width-relative:page;mso-height-relative:page;" filled="f" stroked="t" coordsize="21600,21600" o:gfxdata="UEsDBAoAAAAAAIdO4kAAAAAAAAAAAAAAAAAEAAAAZHJzL1BLAwQUAAAACACHTuJArrVif9cAAAAN&#10;AQAADwAAAGRycy9kb3ducmV2LnhtbE2Py26DMBBF95X6D9ZU6q6xCYISiskCqfuW9LV08BRQ/EDY&#10;IfTvO1m1u7mao/uo9qs1bME5jN5JSDYCGLrO69H1Et4Ozw8FsBCV08p4hxJ+MMC+vr2pVKn9xb3i&#10;0saekYkLpZIwxDiVnIduQKvCxk/o6PftZ6siybnnelYXMreGb4XIuVWjo4RBTdgM2J3as5XQDP3a&#10;Ttnn+4s5LNnH7mSb3ddWyvu7RDwBi7jGPxiu9ak61NTp6M9OB2ZIizxPiaWreKQRV0QUCe07SkjT&#10;NANeV/z/ivoXUEsDBBQAAAAIAIdO4kB1wMFEFwIAAO0DAAAOAAAAZHJzL2Uyb0RvYy54bWytU0uO&#10;EzEQ3SNxB8t70vkOSZTOSCQEFggi8dk7brvbkn8qe9LJJbgAEiuGFbCaPaeB4RiU3WGAYTMLNlbZ&#10;z/Wq3nN5cX4wmuwFBOVsSQe9PiXCclcpW5f09avNgyklITJbMe2sKOlRBHq+vH9v0fq5GLrG6UoA&#10;QRIb5q0vaROjnxdF4I0wLPScFxZB6cCwiFuoiwpYi+xGF8N+/6xoHVQeHBch4Om6A+mJEe5C6KRU&#10;XKwdvzDCxo4VhGYRJYVG+UCXuVspBY8vpAwiEl1SVBrzikUw3qW1WC7YvAbmG8VPLbC7tHBLk2HK&#10;YtEbqjWLjFyA+ofKKA4uOBl73JmiE5IdQRWD/i1vXjbMi6wFrQ7+xvTw/2j58/0WiKpK+vCMEssM&#10;vvj1u6vvby+vv3z+9uHqx9f3Kf70kSCOZrU+zDFnZbdw2gW/haT8IMEQqZV/ilNFc/QmRQlDneSQ&#10;Skwn4/6EkmNJh6PR6Gw46R5AHCLheGE2Go0R5ojPhpPBLMNFx514PIT4RDhDUlDSEIGpuokrZy2+&#10;tIOuGts/CxG7w8RfCSnZuo3SOj+4tqTFFrAZnAPOcIolTg+GxqMTwdaUMF3j9+ARsoDgtKpSeiIK&#10;UO9WGsie4VCNN9PBo3WSgeX+upZqr1lounsZ6tRGpvRjW5F49Og2A3DtKV9bpEkWd6amaOeqY/Y6&#10;n+MU5EKniU1j9uc+Z//+pc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rVif9cAAAANAQAADwAA&#10;AAAAAAABACAAAAAiAAAAZHJzL2Rvd25yZXYueG1sUEsBAhQAFAAAAAgAh07iQHXAwUQXAgAA7QMA&#10;AA4AAAAAAAAAAQAgAAAAJgEAAGRycy9lMm9Eb2MueG1sUEsFBgAAAAAGAAYAWQEAAK8FAAAA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697152" behindDoc="0" locked="0" layoutInCell="1" allowOverlap="1">
                <wp:simplePos x="0" y="0"/>
                <wp:positionH relativeFrom="column">
                  <wp:posOffset>5786120</wp:posOffset>
                </wp:positionH>
                <wp:positionV relativeFrom="paragraph">
                  <wp:posOffset>3637280</wp:posOffset>
                </wp:positionV>
                <wp:extent cx="1094740" cy="110490"/>
                <wp:effectExtent l="1270" t="46990" r="8890" b="13970"/>
                <wp:wrapNone/>
                <wp:docPr id="74" name="直接箭头连接符 74"/>
                <wp:cNvGraphicFramePr/>
                <a:graphic xmlns:a="http://schemas.openxmlformats.org/drawingml/2006/main">
                  <a:graphicData uri="http://schemas.microsoft.com/office/word/2010/wordprocessingShape">
                    <wps:wsp>
                      <wps:cNvCnPr/>
                      <wps:spPr>
                        <a:xfrm flipV="1">
                          <a:off x="6700520" y="4778375"/>
                          <a:ext cx="1094740" cy="11049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55.6pt;margin-top:286.4pt;height:8.7pt;width:86.2pt;z-index:251697152;mso-width-relative:page;mso-height-relative:page;" filled="f" stroked="t" coordsize="21600,21600" o:gfxdata="UEsDBAoAAAAAAIdO4kAAAAAAAAAAAAAAAAAEAAAAZHJzL1BLAwQUAAAACACHTuJA9n4BOdwAAAAM&#10;AQAADwAAAGRycy9kb3ducmV2LnhtbE2PTU/DMAyG70j8h8hIXBBLGmBspekOSDsgpAFjEuKWNqat&#10;1jilyT7493gnONp+9Pp5i8XR92KPY+wCGcgmCgRSHVxHjYHN+/J6BiImS872gdDAD0ZYlOdnhc1d&#10;ONAb7tepERxCMbcG2pSGXMpYt+htnIQBiW9fYfQ28Tg20o32wOG+l1qpqfS2I/7Q2gEfW6y36503&#10;oF9vZTV8Py9fVo1/2m4+r/ADV8ZcXmTqAUTCY/qD4aTP6lCyUxV25KLoDcyzTDNq4O5ec4cToWY3&#10;UxAVr+ZKgywL+b9E+QtQSwMEFAAAAAgAh07iQCD/UY8XAgAA5QMAAA4AAABkcnMvZTJvRG9jLnht&#10;bK1TzY7TMBC+I/EOlu80SUm33arpSrSUC4JK/Nxdx0ks+U9jb9O+BC+AxAk4Aae98zSwPAZjpyyw&#10;XPbAxRp7Zr6Z75vx4uKgFdkL8NKaihajnBJhuK2laSv66uXmwYwSH5ipmbJGVPQoPL1Y3r+36N1c&#10;jG1nVS2AIIjx895VtAvBzbPM805o5kfWCYPOxoJmAa/QZjWwHtG1ysZ5fpb1FmoHlgvv8XU9OOkJ&#10;Ee4CaJtGcrG2/FILEwZUEIoFpOQ76Txdpm6bRvDwvGm8CERVFJmGdGIRtHfxzJYLNm+BuU7yUwvs&#10;Li3c4qSZNFj0BmrNAiOXIP+B0pKD9bYJI251NhBJiiCLIr+lzYuOOZG4oNTe3Yju/x8sf7bfApF1&#10;RaclJYZpnPj126vvbz5cf/n87f3Vj6/vov3pI0E/itU7P8ecldnC6ebdFiLzQwOaNEq617hVSQtk&#10;Rw4VPZvm+WSMgh8rWk6ns4fTySC7OATCMaDIz8tpiQEcI4oiL8/TXLIBM2I78OGJsJpEo6I+AJNt&#10;F1bWGJywhaEe2z/1AbvCxF8JMdnYjVQqDVoZ0ld0PCnzWI3h9ja4NWhqhwp401LCVIvfggdIFLxV&#10;so7pEchDu1spIHuGy1RuZsWjdSSC5f4Ki7XXzHdDXHINfAOT6rGpSTg6VJkB2P6UrwzCRGkHMaO1&#10;s/UxaZzecfqp0GlT43r9eU/Zv3/n8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2fgE53AAAAAwB&#10;AAAPAAAAAAAAAAEAIAAAACIAAABkcnMvZG93bnJldi54bWxQSwECFAAUAAAACACHTuJAIP9RjxcC&#10;AADlAwAADgAAAAAAAAABACAAAAArAQAAZHJzL2Uyb0RvYy54bWxQSwUGAAAAAAYABgBZAQAAtAUA&#10;AA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696128" behindDoc="0" locked="0" layoutInCell="1" allowOverlap="1">
                <wp:simplePos x="0" y="0"/>
                <wp:positionH relativeFrom="column">
                  <wp:posOffset>6923405</wp:posOffset>
                </wp:positionH>
                <wp:positionV relativeFrom="paragraph">
                  <wp:posOffset>2533650</wp:posOffset>
                </wp:positionV>
                <wp:extent cx="93345" cy="925195"/>
                <wp:effectExtent l="46990" t="0" r="31115" b="8255"/>
                <wp:wrapNone/>
                <wp:docPr id="75" name="直接箭头连接符 75"/>
                <wp:cNvGraphicFramePr/>
                <a:graphic xmlns:a="http://schemas.openxmlformats.org/drawingml/2006/main">
                  <a:graphicData uri="http://schemas.microsoft.com/office/word/2010/wordprocessingShape">
                    <wps:wsp>
                      <wps:cNvCnPr/>
                      <wps:spPr>
                        <a:xfrm flipH="1" flipV="1">
                          <a:off x="7837805" y="3674745"/>
                          <a:ext cx="93345" cy="92519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545.15pt;margin-top:199.5pt;height:72.85pt;width:7.35pt;z-index:251696128;mso-width-relative:page;mso-height-relative:page;" filled="f" stroked="t" coordsize="21600,21600" o:gfxdata="UEsDBAoAAAAAAIdO4kAAAAAAAAAAAAAAAAAEAAAAZHJzL1BLAwQUAAAACACHTuJA1ry10NgAAAAN&#10;AQAADwAAAGRycy9kb3ducmV2LnhtbE2Py07DMBBF90j8gzVI7KidtgES4nQRiT2kvJZubOKo9jiK&#10;3TT8PdMV7OZqju6j2i3esdlMcQgoIVsJYAa7oAfsJbztn+8egcWkUCsX0Ej4MRF29fVVpUodzvhq&#10;5jb1jEwwlkqCTWksOY+dNV7FVRgN0u87TF4lklPP9aTOZO4dXwtxz70akBKsGk1jTXdsT15CY/ul&#10;HfPP9xe3n/OP4uib4mst5e1NJp6AJbOkPxgu9ak61NTpEE6oI3OkRSE2xErYFAWtuiCZyOk6SMi3&#10;2wfgdcX/r6h/AVBLAwQUAAAACACHTuJA8kQ/qBoCAADtAwAADgAAAGRycy9lMm9Eb2MueG1srVNL&#10;jhMxEN0jcQfLe9Kd3yRppTMSCYEFgpH47B23u9uSfyp70skluAASK2AFrGbPaWA4BmV3GGDYzIKN&#10;VXa5XtV7fl6eH7QiewFeWlPS4SCnRBhuK2makr56uX0wp8QHZiqmrBElPQpPz1f37y07V4iRba2q&#10;BBAEMb7oXEnbEFyRZZ63QjM/sE4YTNYWNAu4hSargHWIrlU2yvOzrLNQObBceI+nmz5JT4hwF0Bb&#10;15KLjeWXWpjQo4JQLCAl30rn6SpNW9eCh+d17UUgqqTINKQVm2C8i2u2WrKiAeZayU8jsLuMcIuT&#10;ZtJg0xuoDQuMXIL8B0pLDtbbOgy41VlPJCmCLIb5LW1etMyJxAWl9u5GdP//YPmz/QUQWZV0NqXE&#10;MI0vfv326vubD9dfPn97f/Xj67sYf/pIMI9idc4XWLM2F3DaeXcBkfmhBk1qJd0TdBVN0esYxRzy&#10;JAdsMR/P5jn2OZZ0fDabzCYJkxXiEAjHC4vxGI8Ix/xiNB0uUjrrsSOOAx8eC6tJDErqAzDZtGFt&#10;jcGXttB3Y/unPuB0WPirIBYbu5VKpQdXhnQlHU0nOfqAM3Rxje7BUDtUwpuGEqYa/B48QCLgrZJV&#10;LI9AHprdWgHZMzTVZDsfPtxEabDdX9di7w3zbX8vpXq7BSbVI1ORcHSoNgOw3aleGYSJEveixmhn&#10;q2PSOp2jC1Kjk2Ojzf7cp+rfv3T1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a8tdDYAAAADQEA&#10;AA8AAAAAAAAAAQAgAAAAIgAAAGRycy9kb3ducmV2LnhtbFBLAQIUABQAAAAIAIdO4kDyRD+oGgIA&#10;AO0DAAAOAAAAAAAAAAEAIAAAACcBAABkcnMvZTJvRG9jLnhtbFBLBQYAAAAABgAGAFkBAACzBQAA&#10;A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695104" behindDoc="0" locked="0" layoutInCell="1" allowOverlap="1">
                <wp:simplePos x="0" y="0"/>
                <wp:positionH relativeFrom="column">
                  <wp:posOffset>3103880</wp:posOffset>
                </wp:positionH>
                <wp:positionV relativeFrom="paragraph">
                  <wp:posOffset>3883660</wp:posOffset>
                </wp:positionV>
                <wp:extent cx="1120775" cy="93345"/>
                <wp:effectExtent l="1270" t="48260" r="1905" b="29845"/>
                <wp:wrapNone/>
                <wp:docPr id="72" name="直接箭头连接符 72"/>
                <wp:cNvGraphicFramePr/>
                <a:graphic xmlns:a="http://schemas.openxmlformats.org/drawingml/2006/main">
                  <a:graphicData uri="http://schemas.microsoft.com/office/word/2010/wordprocessingShape">
                    <wps:wsp>
                      <wps:cNvCnPr/>
                      <wps:spPr>
                        <a:xfrm flipV="1">
                          <a:off x="4018280" y="5024755"/>
                          <a:ext cx="1120775" cy="9334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4.4pt;margin-top:305.8pt;height:7.35pt;width:88.25pt;z-index:251695104;mso-width-relative:page;mso-height-relative:page;" filled="f" stroked="t" coordsize="21600,21600" o:gfxdata="UEsDBAoAAAAAAIdO4kAAAAAAAAAAAAAAAAAEAAAAZHJzL1BLAwQUAAAACACHTuJAwtdqftwAAAAL&#10;AQAADwAAAGRycy9kb3ducmV2LnhtbE2PzU7DMBCE70i8g7VIXFDrJC1WFOL0gNQDQipQKlXcnHhJ&#10;osbrELs/vD3LCW472tHMN+Xq4gZxwin0njSk8wQEUuNtT62G3ft6loMI0ZA1gyfU8I0BVtX1VWkK&#10;68/0hqdtbAWHUCiMhi7GsZAyNB06E+Z+ROLfp5+ciSynVtrJnDncDTJLEiWd6YkbOjPiY4fNYXt0&#10;GrLXpazHr+f1y6Z1T4fdxx3ucaP17U2aPICIeIl/ZvjFZ3SomKn2R7JBDBqWec7oUYNKUwWCHUrd&#10;L0DUfGRqAbIq5f8N1Q9QSwMEFAAAAAgAh07iQB9r2JsXAgAA5AMAAA4AAABkcnMvZTJvRG9jLnht&#10;bK1TS44TMRDdI3EHy3vSn0lIiNIZiYSwQRCJz95xu7st+aeyJ51cggsgsYJZAavZcxoYjkHZHQYY&#10;NrNgY5VdVa/qvSovzg9akb0AL62paDHKKRGG21qatqKvX20ezCjxgZmaKWtERY/C0/Pl/XuL3s1F&#10;aTuragEEQYyf966iXQhunmWed0IzP7JOGHQ2FjQLeIU2q4H1iK5VVub5w6y3UDuwXHiPr+vBSU+I&#10;cBdA2zSSi7XlF1qYMKCCUCwgJd9J5+kydds0gocXTeNFIKqiyDSkE4ugvYtntlyweQvMdZKfWmB3&#10;aeEWJ82kwaI3UGsWGLkA+Q+Ulhyst00YcauzgUhSBFkU+S1tXnbMicQFpfbuRnT//2D58/0WiKwr&#10;Oi0pMUzjxK/fXX1/+/H6y+dvH65+fH0f7U+XBP0oVu/8HHNWZgunm3dbiMwPDWjSKOne4FYlLZAd&#10;OVR0nBezcoaCHys6ycvxdDIZZBeHQDgGFEWZT6cTSjhGPDo7Gyd/NkBGaAc+PBVWk2hU1Adgsu3C&#10;yhqDA7YwlGP7Zz5gU5j4KyEmG7uRSqU5K0P6ipaTcY7dcIbL2+DSoKkdCuBNSwlTLf4KHiAx8FbJ&#10;OqZHIA/tbqWA7Bnu0ngzKx6vIw8s91dYrL1mvhvikmugG5hUT0xNwtGhyAzA9qd8ZRAmKjtoGa2d&#10;rY9J4vSOw0+FTosat+vPe8r+/TmX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C12p+3AAAAAsB&#10;AAAPAAAAAAAAAAEAIAAAACIAAABkcnMvZG93bnJldi54bWxQSwECFAAUAAAACACHTuJAH2vYmxcC&#10;AADkAwAADgAAAAAAAAABACAAAAArAQAAZHJzL2Uyb0RvYy54bWxQSwUGAAAAAAYABgBZAQAAtAUA&#10;AAAA&#10;">
                <v:fill on="f" focussize="0,0"/>
                <v:stroke weight="2pt" color="#4F81BD [3204]" joinstyle="round" endarrow="open"/>
                <v:imagedata o:title=""/>
                <o:lock v:ext="edit" aspectratio="f"/>
              </v:shape>
            </w:pict>
          </mc:Fallback>
        </mc:AlternateContent>
      </w:r>
      <w:r>
        <w:rPr>
          <w:sz w:val="24"/>
          <w:u w:val="none" w:color="auto"/>
        </w:rPr>
        <mc:AlternateContent>
          <mc:Choice Requires="wps">
            <w:drawing>
              <wp:anchor distT="0" distB="0" distL="114300" distR="114300" simplePos="0" relativeHeight="251694080" behindDoc="0" locked="0" layoutInCell="1" allowOverlap="1">
                <wp:simplePos x="0" y="0"/>
                <wp:positionH relativeFrom="column">
                  <wp:posOffset>4847590</wp:posOffset>
                </wp:positionH>
                <wp:positionV relativeFrom="paragraph">
                  <wp:posOffset>249555</wp:posOffset>
                </wp:positionV>
                <wp:extent cx="1403350" cy="453390"/>
                <wp:effectExtent l="12700" t="12700" r="622300" b="29210"/>
                <wp:wrapNone/>
                <wp:docPr id="58" name="矩形标注 58"/>
                <wp:cNvGraphicFramePr/>
                <a:graphic xmlns:a="http://schemas.openxmlformats.org/drawingml/2006/main">
                  <a:graphicData uri="http://schemas.microsoft.com/office/word/2010/wordprocessingShape">
                    <wps:wsp>
                      <wps:cNvSpPr/>
                      <wps:spPr>
                        <a:xfrm>
                          <a:off x="5761990" y="1390650"/>
                          <a:ext cx="1403350" cy="453390"/>
                        </a:xfrm>
                        <a:prstGeom prst="wedgeRectCallout">
                          <a:avLst>
                            <a:gd name="adj1" fmla="val 92701"/>
                            <a:gd name="adj2" fmla="val 41011"/>
                          </a:avLst>
                        </a:prstGeom>
                        <a:ln>
                          <a:solidFill>
                            <a:srgbClr val="C00000"/>
                          </a:solidFill>
                        </a:ln>
                      </wps:spPr>
                      <wps:style>
                        <a:lnRef idx="2">
                          <a:schemeClr val="dk1"/>
                        </a:lnRef>
                        <a:fillRef idx="1">
                          <a:schemeClr val="lt1"/>
                        </a:fillRef>
                        <a:effectRef idx="0">
                          <a:schemeClr val="dk1"/>
                        </a:effectRef>
                        <a:fontRef idx="minor">
                          <a:schemeClr val="dk1"/>
                        </a:fontRef>
                      </wps:style>
                      <wps:txbx>
                        <w:txbxContent>
                          <w:p w14:paraId="5A0D01CE">
                            <w:pPr>
                              <w:spacing w:line="240" w:lineRule="auto"/>
                              <w:ind w:firstLine="0" w:firstLineChars="0"/>
                              <w:jc w:val="center"/>
                              <w:rPr>
                                <w:rFonts w:hint="default" w:eastAsiaTheme="minorEastAsia"/>
                                <w:lang w:val="en-US" w:eastAsia="zh-CN"/>
                              </w:rPr>
                            </w:pPr>
                            <w:r>
                              <w:rPr>
                                <w:rFonts w:hint="eastAsia"/>
                                <w:sz w:val="28"/>
                                <w:szCs w:val="28"/>
                                <w:lang w:val="en-US" w:eastAsia="zh-CN"/>
                              </w:rPr>
                              <w:t>厂区出入口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1.7pt;margin-top:19.65pt;height:35.7pt;width:110.5pt;z-index:251694080;v-text-anchor:middle;mso-width-relative:page;mso-height-relative:page;" fillcolor="#FFFFFF [3201]" filled="t" stroked="t" coordsize="21600,21600" o:gfxdata="UEsDBAoAAAAAAIdO4kAAAAAAAAAAAAAAAAAEAAAAZHJzL1BLAwQUAAAACACHTuJAhiYtbtkAAAAK&#10;AQAADwAAAGRycy9kb3ducmV2LnhtbE2PwU7DMAyG70i8Q2QkbiwpHd1Wmk4C1AMHDgwkxC1tTVvR&#10;OKVJ1vH2mBMcbX/6/f3F/mRHccTZD440JCsFAqlx7UCdhteX6moLwgdDrRkdoYZv9LAvz88Kk7du&#10;oWc8HkInOIR8bjT0IUy5lL7p0Rq/chMS3z7cbE3gce5kO5uFw+0or5XKpDUD8YfeTHjfY/N5iFaD&#10;uuuesuGmjhXa6m15/4qP7iFqfXmRqFsQAU/hD4ZffVaHkp1qF6n1YtSwydI1oxrSXQqCgd12zYua&#10;yURtQJaF/F+h/AFQSwMEFAAAAAgAh07iQOZWGAesAgAAWQUAAA4AAABkcnMvZTJvRG9jLnhtbK1U&#10;zW4TMRC+I/EOlu90d/PTkqibKkoUhFTRioI4O15vdpHXNrbTTXkBHgPECc6ceRzKa/DZu23T0gMH&#10;9uDM2F++mfnG4+OTXSPJpbCu1iqn2UFKiVBcF7Xa5PTtm9Wz55Q4z1TBpFYip1fC0ZPZ0yfHrZmK&#10;ga60LIQlIFFu2pqcVt6baZI4XomGuQNthMJhqW3DPFy7SQrLWrA3Mhmk6WHSalsYq7lwDrvL7pD2&#10;jPZfCHVZ1lwsNd82QvmO1QrJPEpyVW0cncVsy1Jwf1aWTngic4pKfVwRBPY6rMnsmE03lpmq5n0K&#10;7F9SeFBTw2qFoLdUS+YZ2dr6L6qm5lY7XfoDrpukKyQqgiqy9IE2FxUzItYCqZ25Fd39P1r+6vLc&#10;krrI6Rh9V6xBx39//v7r59frL5+uf3wj2IZGrXFTQC/Mue09BzMUvCttE35RCtmB5egwm0yg7hXu&#10;1nCSHo57jcXOEw5ANkqHQ2wSDsRoPAQmBEjumIx1/oXQDQlGTltRbMRrNHLBpNRbH2Vml6fOR72L&#10;PmlWvM8oKRuJ9l0ySSaDozTr27uHGexjRlmaRQyi94ywbuIHeqdlXaxqKaNjN+uFtAT0OV3Fr0/9&#10;Hkwq0uZ0MB6loUqGESlxNWE2BjI7taGEyQ1mj3sbi7n3b7cfZJGG77EgIcklc1WXTGToYVJBzdCv&#10;rkPB8rv1rm/bWhdXaLjV3SQ4w1c1qE6Z8+fMQjvkjMfBn2EppUYhurcoqbT9+Nh+wONG4pSSFqOE&#10;Ij9smRWUyJcKd3WSjUag9dEZjY8GcOz+yXr/RG2bhYbA6Cayi2bAe3ljllY37/CGzENUHDHFEbuT&#10;s3cWvhtxvEJczOcRhnkzzJ+qC8MDeWio0vOt12XtwwUMQnXq9A4mLt7L/nUII73vR9Tdizj7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YmLW7ZAAAACgEAAA8AAAAAAAAAAQAgAAAAIgAAAGRycy9k&#10;b3ducmV2LnhtbFBLAQIUABQAAAAIAIdO4kDmVhgHrAIAAFkFAAAOAAAAAAAAAAEAIAAAACgBAABk&#10;cnMvZTJvRG9jLnhtbFBLBQYAAAAABgAGAFkBAABGBgAAAAA=&#10;" adj="30823,19658">
                <v:fill on="t" focussize="0,0"/>
                <v:stroke weight="2pt" color="#C00000 [3200]" joinstyle="round"/>
                <v:imagedata o:title=""/>
                <o:lock v:ext="edit" aspectratio="f"/>
                <v:textbox>
                  <w:txbxContent>
                    <w:p w14:paraId="5A0D01CE">
                      <w:pPr>
                        <w:spacing w:line="240" w:lineRule="auto"/>
                        <w:ind w:firstLine="0" w:firstLineChars="0"/>
                        <w:jc w:val="center"/>
                        <w:rPr>
                          <w:rFonts w:hint="default" w:eastAsiaTheme="minorEastAsia"/>
                          <w:lang w:val="en-US" w:eastAsia="zh-CN"/>
                        </w:rPr>
                      </w:pPr>
                      <w:r>
                        <w:rPr>
                          <w:rFonts w:hint="eastAsia"/>
                          <w:sz w:val="28"/>
                          <w:szCs w:val="28"/>
                          <w:lang w:val="en-US" w:eastAsia="zh-CN"/>
                        </w:rPr>
                        <w:t>厂区出入口</w:t>
                      </w:r>
                    </w:p>
                  </w:txbxContent>
                </v:textbox>
              </v:shape>
            </w:pict>
          </mc:Fallback>
        </mc:AlternateContent>
      </w:r>
      <w:r>
        <w:rPr>
          <w:sz w:val="24"/>
          <w:u w:val="none" w:color="auto"/>
        </w:rPr>
        <mc:AlternateContent>
          <mc:Choice Requires="wps">
            <w:drawing>
              <wp:anchor distT="0" distB="0" distL="114300" distR="114300" simplePos="0" relativeHeight="251693056" behindDoc="0" locked="0" layoutInCell="1" allowOverlap="1">
                <wp:simplePos x="0" y="0"/>
                <wp:positionH relativeFrom="column">
                  <wp:posOffset>727075</wp:posOffset>
                </wp:positionH>
                <wp:positionV relativeFrom="paragraph">
                  <wp:posOffset>4010660</wp:posOffset>
                </wp:positionV>
                <wp:extent cx="1094740" cy="110490"/>
                <wp:effectExtent l="1270" t="46990" r="8890" b="13970"/>
                <wp:wrapNone/>
                <wp:docPr id="71" name="直接箭头连接符 71"/>
                <wp:cNvGraphicFramePr/>
                <a:graphic xmlns:a="http://schemas.openxmlformats.org/drawingml/2006/main">
                  <a:graphicData uri="http://schemas.microsoft.com/office/word/2010/wordprocessingShape">
                    <wps:wsp>
                      <wps:cNvCnPr/>
                      <wps:spPr>
                        <a:xfrm flipV="1">
                          <a:off x="1641475" y="5151755"/>
                          <a:ext cx="1094740" cy="11049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57.25pt;margin-top:315.8pt;height:8.7pt;width:86.2pt;z-index:251693056;mso-width-relative:page;mso-height-relative:page;" filled="f" stroked="t" coordsize="21600,21600" o:gfxdata="UEsDBAoAAAAAAIdO4kAAAAAAAAAAAAAAAAAEAAAAZHJzL1BLAwQUAAAACACHTuJAD/eAr9sAAAAL&#10;AQAADwAAAGRycy9kb3ducmV2LnhtbE2PTU/DMAyG70j8h8hIXBBLWkq1laY7IO2AkMYYkxC3tDFt&#10;tcYpTfbBv8ec4Pjaj14/LpdnN4gjTqH3pCGZKRBIjbc9tRp2b6vbOYgQDVkzeEIN3xhgWV1elKaw&#10;/kSveNzGVnAJhcJo6GIcCylD06EzYeZHJN59+smZyHFqpZ3MicvdIFOlculMT3yhMyM+dtjstwen&#10;Id1ksh6/nlcv69Y97XcfN/iOa62vrxL1ACLiOf7B8KvP6lCxU+0PZIMYOCfZPaMa8rskB8FEOs8X&#10;IGqeZAsFsirl/x+qH1BLAwQUAAAACACHTuJAyA1JOBYCAADlAwAADgAAAGRycy9lMm9Eb2MueG1s&#10;rVPNjtMwEL4j8Q6W7zRJlWx3q6Yr0VIuCFbi5+46TmLJfxp7m/YleAEkTsBp4bR3ngaWx2DslAWW&#10;yx64WGPPzDfzfTNenO+1IjsBXlpT02KSUyIMt400XU1fv9o8OqXEB2YapqwRNT0IT8+XDx8sBjcX&#10;U9tb1QggCGL8fHA17UNw8yzzvBea+Yl1wqCztaBZwCt0WQNsQHStsmmen2SDhcaB5cJ7fF2PTnpE&#10;hPsA2raVXKwtv9TChBEVhGIBKfleOk+Xqdu2FTy8aFsvAlE1RaYhnVgE7W08s+WCzTtgrpf82AK7&#10;Twt3OGkmDRa9hVqzwMglyH+gtORgvW3DhFudjUSSIsiiyO9o87JnTiQuKLV3t6L7/wfLn+8ugMim&#10;prOCEsM0Tvzm3fX3tx9vvnz+9uH6x9f30b76RNCPYg3OzzFnZS7gePPuAiLzfQuatEq6N7hVSQtk&#10;R/Z4OSmLclZRcqhpVVTFrKpG2cU+EB4D8rNyVuJEOEYURV6epblkI2bEduDDU2E1iUZNfQAmuz6s&#10;rDE4YQtjPbZ75gN2hYm/EmKysRupVBq0MmSo6bQq81iN4fa2uDVoaocKeNNRwlSH34IHSBS8VbKJ&#10;6RHIQ7ddKSA7hstUbk6Lx+tIBMv9FRZrr5nvx7jkGvkGJtUT05BwcKgyA7DDMV8ZhInSjmJGa2ub&#10;Q9I4veP0U6Hjpsb1+vOesn//zu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D/eAr9sAAAALAQAA&#10;DwAAAAAAAAABACAAAAAiAAAAZHJzL2Rvd25yZXYueG1sUEsBAhQAFAAAAAgAh07iQMgNSTgWAgAA&#10;5QMAAA4AAAAAAAAAAQAgAAAAKgEAAGRycy9lMm9Eb2MueG1sUEsFBgAAAAAGAAYAWQEAALIFAAAA&#10;AA==&#10;">
                <v:fill on="f" focussize="0,0"/>
                <v:stroke weight="2pt" color="#4F81BD [3204]" joinstyle="round" endarrow="open"/>
                <v:imagedata o:title=""/>
                <o:lock v:ext="edit" aspectratio="f"/>
              </v:shape>
            </w:pict>
          </mc:Fallback>
        </mc:AlternateContent>
      </w:r>
      <w:r>
        <w:rPr>
          <w:sz w:val="24"/>
          <w:u w:val="none" w:color="auto"/>
        </w:rPr>
        <w:drawing>
          <wp:anchor distT="0" distB="0" distL="114300" distR="114300" simplePos="0" relativeHeight="251691008" behindDoc="0" locked="0" layoutInCell="1" allowOverlap="1">
            <wp:simplePos x="0" y="0"/>
            <wp:positionH relativeFrom="column">
              <wp:posOffset>8068310</wp:posOffset>
            </wp:positionH>
            <wp:positionV relativeFrom="paragraph">
              <wp:posOffset>-85725</wp:posOffset>
            </wp:positionV>
            <wp:extent cx="892175" cy="784860"/>
            <wp:effectExtent l="0" t="0" r="3175" b="15240"/>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892175" cy="784860"/>
                    </a:xfrm>
                    <a:prstGeom prst="rect">
                      <a:avLst/>
                    </a:prstGeom>
                  </pic:spPr>
                </pic:pic>
              </a:graphicData>
            </a:graphic>
          </wp:anchor>
        </w:drawing>
      </w:r>
      <w:r>
        <w:rPr>
          <w:rFonts w:hint="eastAsia" w:ascii="Times New Roman" w:hAnsi="Times New Roman" w:eastAsia="宋体" w:cs="Times New Roman"/>
          <w:color w:val="000000" w:themeColor="text1"/>
          <w:u w:val="none" w:color="auto"/>
          <w:lang w:val="en-US" w:eastAsia="zh-CN"/>
          <w14:textFill>
            <w14:solidFill>
              <w14:schemeClr w14:val="tx1"/>
            </w14:solidFill>
          </w14:textFill>
        </w:rPr>
        <w:object>
          <v:shape id="_x0000_i1038" o:spt="75" type="#_x0000_t75" style="height:344.15pt;width:567.5pt;" o:ole="t" filled="f" o:preferrelative="t" stroked="f" coordsize="21600,21600">
            <v:path/>
            <v:fill on="f" focussize="0,0"/>
            <v:stroke on="f"/>
            <v:imagedata r:id="rId69" o:title=""/>
            <o:lock v:ext="edit" aspectratio="f"/>
            <w10:wrap type="none"/>
            <w10:anchorlock/>
          </v:shape>
          <o:OLEObject Type="Embed" ProgID="Visio.Drawing.11" ShapeID="_x0000_i1038" DrawAspect="Content" ObjectID="_1468075738" r:id="rId73">
            <o:LockedField>false</o:LockedField>
          </o:OLEObject>
        </w:object>
      </w:r>
    </w:p>
    <w:p w14:paraId="24B96573">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bookmarkStart w:id="728" w:name="_Toc28545"/>
      <w:bookmarkStart w:id="729" w:name="_Toc23124"/>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附图15  封堵示意图</w:t>
      </w:r>
      <w:bookmarkEnd w:id="728"/>
      <w:bookmarkEnd w:id="729"/>
    </w:p>
    <w:tbl>
      <w:tblPr>
        <w:tblStyle w:val="3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87"/>
        <w:gridCol w:w="7087"/>
      </w:tblGrid>
      <w:tr w14:paraId="37B995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7" w:type="dxa"/>
            <w:tcBorders>
              <w:tl2br w:val="nil"/>
              <w:tr2bl w:val="nil"/>
            </w:tcBorders>
            <w:vAlign w:val="center"/>
          </w:tcPr>
          <w:p w14:paraId="14FEB952">
            <w:pPr>
              <w:keepNext w:val="0"/>
              <w:keepLines w:val="0"/>
              <w:pageBreakBefore w:val="0"/>
              <w:widowControl w:val="0"/>
              <w:kinsoku/>
              <w:wordWrap/>
              <w:overflowPunct/>
              <w:topLinePunct w:val="0"/>
              <w:autoSpaceDE/>
              <w:autoSpaceDN/>
              <w:bidi w:val="0"/>
              <w:adjustRightInd/>
              <w:snapToGrid/>
              <w:spacing w:before="66" w:beforeLines="20" w:after="66" w:afterLines="20" w:line="240" w:lineRule="auto"/>
              <w:jc w:val="center"/>
              <w:textAlignment w:val="auto"/>
              <w:rPr>
                <w:rFonts w:hint="eastAsia"/>
                <w:vertAlign w:val="baseline"/>
                <w:lang w:val="en-US" w:eastAsia="zh-CN"/>
              </w:rPr>
            </w:pPr>
            <w:r>
              <w:rPr>
                <w:rFonts w:hint="eastAsia"/>
                <w:vertAlign w:val="baseline"/>
                <w:lang w:val="en-US" w:eastAsia="zh-CN"/>
              </w:rPr>
              <w:drawing>
                <wp:inline distT="0" distB="0" distL="114300" distR="114300">
                  <wp:extent cx="3519805" cy="1979930"/>
                  <wp:effectExtent l="0" t="0" r="4445" b="1270"/>
                  <wp:docPr id="108" name="图片 108" descr="微信图片_20260127171311_276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微信图片_20260127171311_276_176"/>
                          <pic:cNvPicPr>
                            <a:picLocks noChangeAspect="1"/>
                          </pic:cNvPicPr>
                        </pic:nvPicPr>
                        <pic:blipFill>
                          <a:blip r:embed="rId74"/>
                          <a:stretch>
                            <a:fillRect/>
                          </a:stretch>
                        </pic:blipFill>
                        <pic:spPr>
                          <a:xfrm>
                            <a:off x="0" y="0"/>
                            <a:ext cx="3519805" cy="1979930"/>
                          </a:xfrm>
                          <a:prstGeom prst="rect">
                            <a:avLst/>
                          </a:prstGeom>
                        </pic:spPr>
                      </pic:pic>
                    </a:graphicData>
                  </a:graphic>
                </wp:inline>
              </w:drawing>
            </w:r>
          </w:p>
        </w:tc>
        <w:tc>
          <w:tcPr>
            <w:tcW w:w="7087" w:type="dxa"/>
            <w:tcBorders>
              <w:tl2br w:val="nil"/>
              <w:tr2bl w:val="nil"/>
            </w:tcBorders>
            <w:vAlign w:val="center"/>
          </w:tcPr>
          <w:p w14:paraId="78E97868">
            <w:pPr>
              <w:keepNext w:val="0"/>
              <w:keepLines w:val="0"/>
              <w:pageBreakBefore w:val="0"/>
              <w:widowControl w:val="0"/>
              <w:kinsoku/>
              <w:wordWrap/>
              <w:overflowPunct/>
              <w:topLinePunct w:val="0"/>
              <w:autoSpaceDE/>
              <w:autoSpaceDN/>
              <w:bidi w:val="0"/>
              <w:adjustRightInd/>
              <w:snapToGrid/>
              <w:spacing w:before="66" w:beforeLines="20" w:after="66" w:afterLines="20" w:line="240" w:lineRule="auto"/>
              <w:jc w:val="center"/>
              <w:textAlignment w:val="auto"/>
              <w:rPr>
                <w:rFonts w:hint="eastAsia"/>
                <w:vertAlign w:val="baseline"/>
                <w:lang w:val="en-US" w:eastAsia="zh-CN"/>
              </w:rPr>
            </w:pPr>
            <w:r>
              <w:rPr>
                <w:rFonts w:hint="eastAsia"/>
                <w:vertAlign w:val="baseline"/>
                <w:lang w:val="en-US" w:eastAsia="zh-CN"/>
              </w:rPr>
              <w:drawing>
                <wp:inline distT="0" distB="0" distL="114300" distR="114300">
                  <wp:extent cx="3519805" cy="1979930"/>
                  <wp:effectExtent l="0" t="0" r="4445" b="1270"/>
                  <wp:docPr id="109" name="图片 109" descr="微信图片_20260127171315_277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微信图片_20260127171315_277_176"/>
                          <pic:cNvPicPr>
                            <a:picLocks noChangeAspect="1"/>
                          </pic:cNvPicPr>
                        </pic:nvPicPr>
                        <pic:blipFill>
                          <a:blip r:embed="rId75"/>
                          <a:stretch>
                            <a:fillRect/>
                          </a:stretch>
                        </pic:blipFill>
                        <pic:spPr>
                          <a:xfrm>
                            <a:off x="0" y="0"/>
                            <a:ext cx="3519805" cy="1979930"/>
                          </a:xfrm>
                          <a:prstGeom prst="rect">
                            <a:avLst/>
                          </a:prstGeom>
                        </pic:spPr>
                      </pic:pic>
                    </a:graphicData>
                  </a:graphic>
                </wp:inline>
              </w:drawing>
            </w:r>
          </w:p>
        </w:tc>
      </w:tr>
      <w:tr w14:paraId="1D3A40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7" w:type="dxa"/>
            <w:tcBorders>
              <w:tl2br w:val="nil"/>
              <w:tr2bl w:val="nil"/>
            </w:tcBorders>
            <w:vAlign w:val="center"/>
          </w:tcPr>
          <w:p w14:paraId="325C0F24">
            <w:pPr>
              <w:keepNext w:val="0"/>
              <w:keepLines w:val="0"/>
              <w:pageBreakBefore w:val="0"/>
              <w:widowControl w:val="0"/>
              <w:kinsoku/>
              <w:wordWrap/>
              <w:overflowPunct/>
              <w:topLinePunct w:val="0"/>
              <w:autoSpaceDE/>
              <w:autoSpaceDN/>
              <w:bidi w:val="0"/>
              <w:adjustRightInd/>
              <w:snapToGrid/>
              <w:spacing w:before="66" w:beforeLines="20" w:after="66" w:afterLines="20" w:line="240" w:lineRule="auto"/>
              <w:jc w:val="center"/>
              <w:textAlignment w:val="auto"/>
              <w:rPr>
                <w:rFonts w:hint="default"/>
                <w:vertAlign w:val="baseline"/>
                <w:lang w:val="en-US" w:eastAsia="zh-CN"/>
              </w:rPr>
            </w:pPr>
            <w:r>
              <w:rPr>
                <w:rFonts w:hint="eastAsia"/>
                <w:vertAlign w:val="baseline"/>
                <w:lang w:val="en-US" w:eastAsia="zh-CN"/>
              </w:rPr>
              <w:t>项目厂址</w:t>
            </w:r>
          </w:p>
        </w:tc>
        <w:tc>
          <w:tcPr>
            <w:tcW w:w="7087" w:type="dxa"/>
            <w:tcBorders>
              <w:tl2br w:val="nil"/>
              <w:tr2bl w:val="nil"/>
            </w:tcBorders>
            <w:vAlign w:val="center"/>
          </w:tcPr>
          <w:p w14:paraId="2D222952">
            <w:pPr>
              <w:keepNext w:val="0"/>
              <w:keepLines w:val="0"/>
              <w:pageBreakBefore w:val="0"/>
              <w:widowControl w:val="0"/>
              <w:kinsoku/>
              <w:wordWrap/>
              <w:overflowPunct/>
              <w:topLinePunct w:val="0"/>
              <w:autoSpaceDE/>
              <w:autoSpaceDN/>
              <w:bidi w:val="0"/>
              <w:adjustRightInd/>
              <w:snapToGrid/>
              <w:spacing w:before="66" w:beforeLines="20" w:after="66" w:afterLines="20" w:line="240" w:lineRule="auto"/>
              <w:jc w:val="center"/>
              <w:textAlignment w:val="auto"/>
              <w:rPr>
                <w:rFonts w:hint="default"/>
                <w:vertAlign w:val="baseline"/>
                <w:lang w:val="en-US" w:eastAsia="zh-CN"/>
              </w:rPr>
            </w:pPr>
            <w:r>
              <w:rPr>
                <w:rFonts w:hint="eastAsia"/>
                <w:vertAlign w:val="baseline"/>
                <w:lang w:val="en-US" w:eastAsia="zh-CN"/>
              </w:rPr>
              <w:t>项目西北侧公合村居民</w:t>
            </w:r>
          </w:p>
        </w:tc>
      </w:tr>
      <w:tr w14:paraId="4EFF8C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7" w:type="dxa"/>
            <w:tcBorders>
              <w:tl2br w:val="nil"/>
              <w:tr2bl w:val="nil"/>
            </w:tcBorders>
            <w:vAlign w:val="center"/>
          </w:tcPr>
          <w:p w14:paraId="09631D60">
            <w:pPr>
              <w:keepNext w:val="0"/>
              <w:keepLines w:val="0"/>
              <w:pageBreakBefore w:val="0"/>
              <w:widowControl w:val="0"/>
              <w:kinsoku/>
              <w:wordWrap/>
              <w:overflowPunct/>
              <w:topLinePunct w:val="0"/>
              <w:autoSpaceDE/>
              <w:autoSpaceDN/>
              <w:bidi w:val="0"/>
              <w:adjustRightInd/>
              <w:snapToGrid/>
              <w:spacing w:before="66" w:beforeLines="20" w:after="66" w:afterLines="20" w:line="240" w:lineRule="auto"/>
              <w:jc w:val="center"/>
              <w:textAlignment w:val="auto"/>
              <w:rPr>
                <w:rFonts w:hint="eastAsia"/>
                <w:vertAlign w:val="baseline"/>
                <w:lang w:val="en-US" w:eastAsia="zh-CN"/>
              </w:rPr>
            </w:pPr>
            <w:r>
              <w:rPr>
                <w:rFonts w:hint="eastAsia"/>
                <w:vertAlign w:val="baseline"/>
                <w:lang w:val="en-US" w:eastAsia="zh-CN"/>
              </w:rPr>
              <w:drawing>
                <wp:inline distT="0" distB="0" distL="114300" distR="114300">
                  <wp:extent cx="3515995" cy="1979930"/>
                  <wp:effectExtent l="0" t="0" r="0" b="0"/>
                  <wp:docPr id="110" name="图片 110" descr="微信图片_20260127171317_278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微信图片_20260127171317_278_176"/>
                          <pic:cNvPicPr>
                            <a:picLocks noChangeAspect="1"/>
                          </pic:cNvPicPr>
                        </pic:nvPicPr>
                        <pic:blipFill>
                          <a:blip r:embed="rId76"/>
                          <a:srcRect l="5529" r="26133" b="31591"/>
                          <a:stretch>
                            <a:fillRect/>
                          </a:stretch>
                        </pic:blipFill>
                        <pic:spPr>
                          <a:xfrm>
                            <a:off x="0" y="0"/>
                            <a:ext cx="3515995" cy="1979930"/>
                          </a:xfrm>
                          <a:prstGeom prst="rect">
                            <a:avLst/>
                          </a:prstGeom>
                        </pic:spPr>
                      </pic:pic>
                    </a:graphicData>
                  </a:graphic>
                </wp:inline>
              </w:drawing>
            </w:r>
          </w:p>
        </w:tc>
        <w:tc>
          <w:tcPr>
            <w:tcW w:w="7087" w:type="dxa"/>
            <w:tcBorders>
              <w:tl2br w:val="nil"/>
              <w:tr2bl w:val="nil"/>
            </w:tcBorders>
            <w:vAlign w:val="center"/>
          </w:tcPr>
          <w:p w14:paraId="291A3CC7">
            <w:pPr>
              <w:keepNext w:val="0"/>
              <w:keepLines w:val="0"/>
              <w:pageBreakBefore w:val="0"/>
              <w:widowControl w:val="0"/>
              <w:kinsoku/>
              <w:wordWrap/>
              <w:overflowPunct/>
              <w:topLinePunct w:val="0"/>
              <w:autoSpaceDE/>
              <w:autoSpaceDN/>
              <w:bidi w:val="0"/>
              <w:adjustRightInd/>
              <w:snapToGrid/>
              <w:spacing w:before="66" w:beforeLines="20" w:after="66" w:afterLines="20" w:line="240" w:lineRule="auto"/>
              <w:jc w:val="center"/>
              <w:textAlignment w:val="auto"/>
              <w:rPr>
                <w:rFonts w:hint="eastAsia"/>
                <w:vertAlign w:val="baseline"/>
                <w:lang w:val="en-US" w:eastAsia="zh-CN"/>
              </w:rPr>
            </w:pPr>
            <w:r>
              <w:rPr>
                <w:rFonts w:hint="eastAsia"/>
                <w:vertAlign w:val="baseline"/>
                <w:lang w:val="en-US" w:eastAsia="zh-CN"/>
              </w:rPr>
              <w:drawing>
                <wp:inline distT="0" distB="0" distL="114300" distR="114300">
                  <wp:extent cx="3518535" cy="1979930"/>
                  <wp:effectExtent l="0" t="0" r="0" b="0"/>
                  <wp:docPr id="111" name="图片 111" descr="微信图片_20260127171423_342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微信图片_20260127171423_342_176"/>
                          <pic:cNvPicPr>
                            <a:picLocks noChangeAspect="1"/>
                          </pic:cNvPicPr>
                        </pic:nvPicPr>
                        <pic:blipFill>
                          <a:blip r:embed="rId77"/>
                          <a:srcRect l="1054" t="25768"/>
                          <a:stretch>
                            <a:fillRect/>
                          </a:stretch>
                        </pic:blipFill>
                        <pic:spPr>
                          <a:xfrm>
                            <a:off x="0" y="0"/>
                            <a:ext cx="3518535" cy="1979930"/>
                          </a:xfrm>
                          <a:prstGeom prst="rect">
                            <a:avLst/>
                          </a:prstGeom>
                        </pic:spPr>
                      </pic:pic>
                    </a:graphicData>
                  </a:graphic>
                </wp:inline>
              </w:drawing>
            </w:r>
          </w:p>
        </w:tc>
      </w:tr>
      <w:tr w14:paraId="12F4EB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7" w:type="dxa"/>
            <w:tcBorders>
              <w:tl2br w:val="nil"/>
              <w:tr2bl w:val="nil"/>
            </w:tcBorders>
            <w:vAlign w:val="center"/>
          </w:tcPr>
          <w:p w14:paraId="12FC9E1E">
            <w:pPr>
              <w:keepNext w:val="0"/>
              <w:keepLines w:val="0"/>
              <w:pageBreakBefore w:val="0"/>
              <w:widowControl w:val="0"/>
              <w:kinsoku/>
              <w:wordWrap/>
              <w:overflowPunct/>
              <w:topLinePunct w:val="0"/>
              <w:autoSpaceDE/>
              <w:autoSpaceDN/>
              <w:bidi w:val="0"/>
              <w:adjustRightInd/>
              <w:snapToGrid/>
              <w:spacing w:before="66" w:beforeLines="20" w:after="66" w:afterLines="20" w:line="240" w:lineRule="auto"/>
              <w:jc w:val="center"/>
              <w:textAlignment w:val="auto"/>
              <w:rPr>
                <w:rFonts w:hint="default"/>
                <w:vertAlign w:val="baseline"/>
                <w:lang w:val="en-US" w:eastAsia="zh-CN"/>
              </w:rPr>
            </w:pPr>
            <w:r>
              <w:rPr>
                <w:rFonts w:hint="eastAsia"/>
                <w:vertAlign w:val="baseline"/>
                <w:lang w:val="en-US" w:eastAsia="zh-CN"/>
              </w:rPr>
              <w:t>项目东侧、南侧工业园区</w:t>
            </w:r>
          </w:p>
        </w:tc>
        <w:tc>
          <w:tcPr>
            <w:tcW w:w="7087" w:type="dxa"/>
            <w:tcBorders>
              <w:tl2br w:val="nil"/>
              <w:tr2bl w:val="nil"/>
            </w:tcBorders>
            <w:vAlign w:val="center"/>
          </w:tcPr>
          <w:p w14:paraId="39AA3E86">
            <w:pPr>
              <w:keepNext w:val="0"/>
              <w:keepLines w:val="0"/>
              <w:pageBreakBefore w:val="0"/>
              <w:widowControl w:val="0"/>
              <w:kinsoku/>
              <w:wordWrap/>
              <w:overflowPunct/>
              <w:topLinePunct w:val="0"/>
              <w:autoSpaceDE/>
              <w:autoSpaceDN/>
              <w:bidi w:val="0"/>
              <w:adjustRightInd/>
              <w:snapToGrid/>
              <w:spacing w:before="66" w:beforeLines="20" w:after="66" w:afterLines="20" w:line="240" w:lineRule="auto"/>
              <w:jc w:val="center"/>
              <w:textAlignment w:val="auto"/>
              <w:rPr>
                <w:rFonts w:hint="default"/>
                <w:vertAlign w:val="baseline"/>
                <w:lang w:val="en-US" w:eastAsia="zh-CN"/>
              </w:rPr>
            </w:pPr>
            <w:r>
              <w:rPr>
                <w:rFonts w:hint="eastAsia"/>
                <w:vertAlign w:val="baseline"/>
                <w:lang w:val="en-US" w:eastAsia="zh-CN"/>
              </w:rPr>
              <w:t>工程师看现场照片</w:t>
            </w:r>
          </w:p>
        </w:tc>
      </w:tr>
    </w:tbl>
    <w:p w14:paraId="371756F6">
      <w:pPr>
        <w:pStyle w:val="4"/>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0"/>
        <w:rPr>
          <w:rFonts w:hint="default"/>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附图16  现状照片</w:t>
      </w:r>
    </w:p>
    <w:p w14:paraId="17129DC2">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30" w:name="_Toc5968"/>
      <w:bookmarkStart w:id="731" w:name="_Toc5766"/>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附件1  环评委托书</w:t>
      </w:r>
      <w:bookmarkEnd w:id="730"/>
      <w:bookmarkEnd w:id="731"/>
    </w:p>
    <w:p w14:paraId="42641C6C">
      <w:pPr>
        <w:pStyle w:val="8"/>
        <w:keepNext w:val="0"/>
        <w:keepLines w:val="0"/>
        <w:pageBreakBefore w:val="0"/>
        <w:widowControl w:val="0"/>
        <w:kinsoku/>
        <w:wordWrap/>
        <w:overflowPunct/>
        <w:topLinePunct w:val="0"/>
        <w:bidi w:val="0"/>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19700" cy="8040370"/>
            <wp:effectExtent l="0" t="0" r="0" b="17780"/>
            <wp:docPr id="112" name="图片 112" descr="环评委托书.222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环评委托书.2222_01"/>
                    <pic:cNvPicPr>
                      <a:picLocks noChangeAspect="1"/>
                    </pic:cNvPicPr>
                  </pic:nvPicPr>
                  <pic:blipFill>
                    <a:blip r:embed="rId78"/>
                    <a:srcRect l="6939" t="5495" r="6299"/>
                    <a:stretch>
                      <a:fillRect/>
                    </a:stretch>
                  </pic:blipFill>
                  <pic:spPr>
                    <a:xfrm>
                      <a:off x="0" y="0"/>
                      <a:ext cx="5219700" cy="8040370"/>
                    </a:xfrm>
                    <a:prstGeom prst="rect">
                      <a:avLst/>
                    </a:prstGeom>
                  </pic:spPr>
                </pic:pic>
              </a:graphicData>
            </a:graphic>
          </wp:inline>
        </w:drawing>
      </w:r>
    </w:p>
    <w:p w14:paraId="2EFE5686">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附件2  建设项目环境影响报告书（表）编制情况承诺书、编制人员承诺书</w:t>
      </w:r>
    </w:p>
    <w:p w14:paraId="55749973">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77485" cy="7276465"/>
            <wp:effectExtent l="0" t="0" r="18415" b="635"/>
            <wp:docPr id="130" name="图片 130"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Scan"/>
                    <pic:cNvPicPr>
                      <a:picLocks noChangeAspect="1"/>
                    </pic:cNvPicPr>
                  </pic:nvPicPr>
                  <pic:blipFill>
                    <a:blip r:embed="rId79"/>
                    <a:stretch>
                      <a:fillRect/>
                    </a:stretch>
                  </pic:blipFill>
                  <pic:spPr>
                    <a:xfrm>
                      <a:off x="0" y="0"/>
                      <a:ext cx="5277485" cy="7276465"/>
                    </a:xfrm>
                    <a:prstGeom prst="rect">
                      <a:avLst/>
                    </a:prstGeom>
                  </pic:spPr>
                </pic:pic>
              </a:graphicData>
            </a:graphic>
          </wp:inline>
        </w:drawing>
      </w:r>
    </w:p>
    <w:p w14:paraId="023A7F19">
      <w:pPr>
        <w:ind w:firstLine="0" w:firstLineChars="0"/>
        <w:jc w:val="center"/>
        <w:outlineLvl w:val="0"/>
        <w:rPr>
          <w:rFonts w:hint="eastAsia" w:eastAsia="宋体"/>
          <w:color w:val="FF0000"/>
          <w:u w:val="none" w:color="auto"/>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color w:val="FF0000"/>
          <w:u w:val="none" w:color="auto"/>
          <w:lang w:eastAsia="zh-CN"/>
        </w:rPr>
        <w:drawing>
          <wp:inline distT="0" distB="0" distL="114300" distR="114300">
            <wp:extent cx="5277485" cy="7273925"/>
            <wp:effectExtent l="0" t="0" r="18415" b="3175"/>
            <wp:docPr id="128" name="图片 128" descr="Scan_22-04-202614524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Scan_22-04-2026145244179"/>
                    <pic:cNvPicPr>
                      <a:picLocks noChangeAspect="1"/>
                    </pic:cNvPicPr>
                  </pic:nvPicPr>
                  <pic:blipFill>
                    <a:blip r:embed="rId80"/>
                    <a:stretch>
                      <a:fillRect/>
                    </a:stretch>
                  </pic:blipFill>
                  <pic:spPr>
                    <a:xfrm>
                      <a:off x="0" y="0"/>
                      <a:ext cx="5277485" cy="7273925"/>
                    </a:xfrm>
                    <a:prstGeom prst="rect">
                      <a:avLst/>
                    </a:prstGeom>
                  </pic:spPr>
                </pic:pic>
              </a:graphicData>
            </a:graphic>
          </wp:inline>
        </w:drawing>
      </w:r>
      <w:r>
        <w:rPr>
          <w:rFonts w:hint="eastAsia" w:eastAsia="宋体"/>
          <w:color w:val="FF0000"/>
          <w:u w:val="none" w:color="auto"/>
          <w:lang w:eastAsia="zh-CN"/>
        </w:rPr>
        <w:drawing>
          <wp:inline distT="0" distB="0" distL="114300" distR="114300">
            <wp:extent cx="5277485" cy="7279640"/>
            <wp:effectExtent l="0" t="0" r="18415" b="16510"/>
            <wp:docPr id="129" name="图片 129"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Scan"/>
                    <pic:cNvPicPr>
                      <a:picLocks noChangeAspect="1"/>
                    </pic:cNvPicPr>
                  </pic:nvPicPr>
                  <pic:blipFill>
                    <a:blip r:embed="rId81"/>
                    <a:stretch>
                      <a:fillRect/>
                    </a:stretch>
                  </pic:blipFill>
                  <pic:spPr>
                    <a:xfrm>
                      <a:off x="0" y="0"/>
                      <a:ext cx="5277485" cy="7279640"/>
                    </a:xfrm>
                    <a:prstGeom prst="rect">
                      <a:avLst/>
                    </a:prstGeom>
                  </pic:spPr>
                </pic:pic>
              </a:graphicData>
            </a:graphic>
          </wp:inline>
        </w:drawing>
      </w:r>
    </w:p>
    <w:p w14:paraId="564B2D22">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附件3  建设单位环评申请批复、同意全文公示的报告、涉密事项的说明</w:t>
      </w:r>
    </w:p>
    <w:p w14:paraId="7AE4C03D">
      <w:pPr>
        <w:pStyle w:val="3"/>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02E83CC">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32" w:name="_Toc11132"/>
      <w:bookmarkStart w:id="733" w:name="_Toc15294"/>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附件4  建设单位营业执照及法人身份证</w:t>
      </w:r>
      <w:bookmarkEnd w:id="732"/>
      <w:bookmarkEnd w:id="733"/>
    </w:p>
    <w:p w14:paraId="01CCE0BB">
      <w:pPr>
        <w:keepNext w:val="0"/>
        <w:keepLines w:val="0"/>
        <w:pageBreakBefore w:val="0"/>
        <w:widowControl w:val="0"/>
        <w:kinsoku/>
        <w:wordWrap/>
        <w:overflowPunct/>
        <w:topLinePunct w:val="0"/>
        <w:autoSpaceDE w:val="0"/>
        <w:autoSpaceDN w:val="0"/>
        <w:bidi w:val="0"/>
        <w:spacing w:line="360" w:lineRule="auto"/>
        <w:jc w:val="center"/>
        <w:outlineLvl w:val="9"/>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6861175" cy="4928235"/>
            <wp:effectExtent l="0" t="0" r="15875" b="5715"/>
            <wp:docPr id="96" name="图片 96"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营业执照"/>
                    <pic:cNvPicPr>
                      <a:picLocks noChangeAspect="1"/>
                    </pic:cNvPicPr>
                  </pic:nvPicPr>
                  <pic:blipFill>
                    <a:blip r:embed="rId82"/>
                    <a:srcRect t="4201"/>
                    <a:stretch>
                      <a:fillRect/>
                    </a:stretch>
                  </pic:blipFill>
                  <pic:spPr>
                    <a:xfrm>
                      <a:off x="0" y="0"/>
                      <a:ext cx="6861175" cy="4928235"/>
                    </a:xfrm>
                    <a:prstGeom prst="rect">
                      <a:avLst/>
                    </a:prstGeom>
                  </pic:spPr>
                </pic:pic>
              </a:graphicData>
            </a:graphic>
          </wp:inline>
        </w:drawing>
      </w:r>
    </w:p>
    <w:p w14:paraId="08DE3C8F">
      <w:pPr>
        <w:keepNext w:val="0"/>
        <w:keepLines w:val="0"/>
        <w:pageBreakBefore w:val="0"/>
        <w:widowControl w:val="0"/>
        <w:kinsoku/>
        <w:wordWrap/>
        <w:overflowPunct/>
        <w:topLinePunct w:val="0"/>
        <w:autoSpaceDE/>
        <w:autoSpaceDN/>
        <w:bidi w:val="0"/>
        <w:adjustRightInd/>
        <w:snapToGrid/>
        <w:spacing w:before="0" w:beforeLines="0" w:after="164" w:afterLines="50" w:line="240" w:lineRule="auto"/>
        <w:jc w:val="left"/>
        <w:textAlignment w:val="auto"/>
        <w:outlineLvl w:val="9"/>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bookmarkStart w:id="734" w:name="_Toc9631"/>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7455535"/>
            <wp:effectExtent l="0" t="0" r="0" b="12065"/>
            <wp:docPr id="103" name="图片 103"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未标题-1"/>
                    <pic:cNvPicPr>
                      <a:picLocks noChangeAspect="1"/>
                    </pic:cNvPicPr>
                  </pic:nvPicPr>
                  <pic:blipFill>
                    <a:blip r:embed="rId83"/>
                    <a:srcRect l="8608" t="7317" r="7778" b="8287"/>
                    <a:stretch>
                      <a:fillRect/>
                    </a:stretch>
                  </pic:blipFill>
                  <pic:spPr>
                    <a:xfrm>
                      <a:off x="0" y="0"/>
                      <a:ext cx="5219700" cy="7455535"/>
                    </a:xfrm>
                    <a:prstGeom prst="rect">
                      <a:avLst/>
                    </a:prstGeom>
                  </pic:spPr>
                </pic:pic>
              </a:graphicData>
            </a:graphic>
          </wp:inline>
        </w:drawing>
      </w:r>
      <w:bookmarkEnd w:id="734"/>
    </w:p>
    <w:p w14:paraId="7E315A15">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35" w:name="_Toc26256"/>
      <w:bookmarkStart w:id="736" w:name="_Toc9955"/>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附件5  项目备案证明</w:t>
      </w:r>
      <w:bookmarkEnd w:id="735"/>
      <w:bookmarkEnd w:id="736"/>
    </w:p>
    <w:p w14:paraId="55358E4B">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19700" cy="7134225"/>
            <wp:effectExtent l="0" t="0" r="0" b="9525"/>
            <wp:docPr id="97" name="图片 97" descr="24d2e3767d7b8eb511fda85689e3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24d2e3767d7b8eb511fda85689e31073"/>
                    <pic:cNvPicPr>
                      <a:picLocks noChangeAspect="1"/>
                    </pic:cNvPicPr>
                  </pic:nvPicPr>
                  <pic:blipFill>
                    <a:blip r:embed="rId84"/>
                    <a:srcRect t="12017" r="4221" b="14341"/>
                    <a:stretch>
                      <a:fillRect/>
                    </a:stretch>
                  </pic:blipFill>
                  <pic:spPr>
                    <a:xfrm>
                      <a:off x="0" y="0"/>
                      <a:ext cx="5219700" cy="7134225"/>
                    </a:xfrm>
                    <a:prstGeom prst="rect">
                      <a:avLst/>
                    </a:prstGeom>
                  </pic:spPr>
                </pic:pic>
              </a:graphicData>
            </a:graphic>
          </wp:inline>
        </w:drawing>
      </w:r>
    </w:p>
    <w:p w14:paraId="754843FA">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19700" cy="7305675"/>
            <wp:effectExtent l="0" t="0" r="0" b="9525"/>
            <wp:docPr id="98" name="图片 98" descr="aa1a1912af5c63b232a818626927a8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aa1a1912af5c63b232a818626927a8f7"/>
                    <pic:cNvPicPr>
                      <a:picLocks noChangeAspect="1"/>
                    </pic:cNvPicPr>
                  </pic:nvPicPr>
                  <pic:blipFill>
                    <a:blip r:embed="rId85"/>
                    <a:srcRect l="1658" t="12626" r="3392" b="12619"/>
                    <a:stretch>
                      <a:fillRect/>
                    </a:stretch>
                  </pic:blipFill>
                  <pic:spPr>
                    <a:xfrm>
                      <a:off x="0" y="0"/>
                      <a:ext cx="5219700" cy="7305675"/>
                    </a:xfrm>
                    <a:prstGeom prst="rect">
                      <a:avLst/>
                    </a:prstGeom>
                  </pic:spPr>
                </pic:pic>
              </a:graphicData>
            </a:graphic>
          </wp:inline>
        </w:drawing>
      </w:r>
    </w:p>
    <w:p w14:paraId="051ED9F9">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37" w:name="_Toc15581"/>
      <w:bookmarkStart w:id="738" w:name="_Toc18032"/>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附件6  项目用地证明</w:t>
      </w:r>
      <w:bookmarkEnd w:id="737"/>
      <w:bookmarkEnd w:id="738"/>
    </w:p>
    <w:p w14:paraId="1EAF2BF5">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19700" cy="8056880"/>
            <wp:effectExtent l="0" t="0" r="0" b="1270"/>
            <wp:docPr id="99" name="图片 99" descr="2f1fb425f25ff5eba4fe57fef493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f1fb425f25ff5eba4fe57fef4932311"/>
                    <pic:cNvPicPr>
                      <a:picLocks noChangeAspect="1"/>
                    </pic:cNvPicPr>
                  </pic:nvPicPr>
                  <pic:blipFill>
                    <a:blip r:embed="rId86"/>
                    <a:srcRect t="3752" b="9420"/>
                    <a:stretch>
                      <a:fillRect/>
                    </a:stretch>
                  </pic:blipFill>
                  <pic:spPr>
                    <a:xfrm>
                      <a:off x="0" y="0"/>
                      <a:ext cx="5219700" cy="805688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19700" cy="8196580"/>
            <wp:effectExtent l="0" t="0" r="0" b="13970"/>
            <wp:docPr id="100" name="图片 100" descr="b8500ce28593a4b7cda456a9e54b73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b8500ce28593a4b7cda456a9e54b73ca"/>
                    <pic:cNvPicPr>
                      <a:picLocks noChangeAspect="1"/>
                    </pic:cNvPicPr>
                  </pic:nvPicPr>
                  <pic:blipFill>
                    <a:blip r:embed="rId87"/>
                    <a:srcRect t="5689" b="5976"/>
                    <a:stretch>
                      <a:fillRect/>
                    </a:stretch>
                  </pic:blipFill>
                  <pic:spPr>
                    <a:xfrm>
                      <a:off x="0" y="0"/>
                      <a:ext cx="5219700" cy="8196580"/>
                    </a:xfrm>
                    <a:prstGeom prst="rect">
                      <a:avLst/>
                    </a:prstGeom>
                  </pic:spPr>
                </pic:pic>
              </a:graphicData>
            </a:graphic>
          </wp:inline>
        </w:drawing>
      </w:r>
    </w:p>
    <w:p w14:paraId="375E9B52">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39" w:name="_Toc9066"/>
      <w:bookmarkStart w:id="740" w:name="_Toc4756"/>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附件7  招商引资合同书</w:t>
      </w:r>
    </w:p>
    <w:p w14:paraId="0919449E">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7566660"/>
            <wp:effectExtent l="0" t="0" r="0" b="15240"/>
            <wp:docPr id="123" name="图片 123" descr="招商引资合同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招商引资合同书_01"/>
                    <pic:cNvPicPr>
                      <a:picLocks noChangeAspect="1"/>
                    </pic:cNvPicPr>
                  </pic:nvPicPr>
                  <pic:blipFill>
                    <a:blip r:embed="rId88"/>
                    <a:srcRect l="7522" t="2935" r="2282" b="4684"/>
                    <a:stretch>
                      <a:fillRect/>
                    </a:stretch>
                  </pic:blipFill>
                  <pic:spPr>
                    <a:xfrm>
                      <a:off x="0" y="0"/>
                      <a:ext cx="5219700" cy="7566660"/>
                    </a:xfrm>
                    <a:prstGeom prst="rect">
                      <a:avLst/>
                    </a:prstGeom>
                  </pic:spPr>
                </pic:pic>
              </a:graphicData>
            </a:graphic>
          </wp:inline>
        </w:drawing>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7747635"/>
            <wp:effectExtent l="0" t="0" r="0" b="5715"/>
            <wp:docPr id="124" name="图片 124" descr="招商引资合同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招商引资合同书_02"/>
                    <pic:cNvPicPr>
                      <a:picLocks noChangeAspect="1"/>
                    </pic:cNvPicPr>
                  </pic:nvPicPr>
                  <pic:blipFill>
                    <a:blip r:embed="rId89"/>
                    <a:srcRect l="7160" t="2508" r="5035" b="5409"/>
                    <a:stretch>
                      <a:fillRect/>
                    </a:stretch>
                  </pic:blipFill>
                  <pic:spPr>
                    <a:xfrm>
                      <a:off x="0" y="0"/>
                      <a:ext cx="5219700" cy="7747635"/>
                    </a:xfrm>
                    <a:prstGeom prst="rect">
                      <a:avLst/>
                    </a:prstGeom>
                  </pic:spPr>
                </pic:pic>
              </a:graphicData>
            </a:graphic>
          </wp:inline>
        </w:drawing>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7593330"/>
            <wp:effectExtent l="0" t="0" r="0" b="7620"/>
            <wp:docPr id="125" name="图片 125" descr="招商引资合同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招商引资合同书_03"/>
                    <pic:cNvPicPr>
                      <a:picLocks noChangeAspect="1"/>
                    </pic:cNvPicPr>
                  </pic:nvPicPr>
                  <pic:blipFill>
                    <a:blip r:embed="rId90"/>
                    <a:srcRect l="6255" t="4120" r="6943" b="6663"/>
                    <a:stretch>
                      <a:fillRect/>
                    </a:stretch>
                  </pic:blipFill>
                  <pic:spPr>
                    <a:xfrm>
                      <a:off x="0" y="0"/>
                      <a:ext cx="5219700" cy="7593330"/>
                    </a:xfrm>
                    <a:prstGeom prst="rect">
                      <a:avLst/>
                    </a:prstGeom>
                  </pic:spPr>
                </pic:pic>
              </a:graphicData>
            </a:graphic>
          </wp:inline>
        </w:drawing>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7450455"/>
            <wp:effectExtent l="0" t="0" r="0" b="17145"/>
            <wp:docPr id="126" name="图片 126" descr="招商引资合同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招商引资合同书_04"/>
                    <pic:cNvPicPr>
                      <a:picLocks noChangeAspect="1"/>
                    </pic:cNvPicPr>
                  </pic:nvPicPr>
                  <pic:blipFill>
                    <a:blip r:embed="rId91"/>
                    <a:srcRect l="6025" t="3046" r="5180" b="7405"/>
                    <a:stretch>
                      <a:fillRect/>
                    </a:stretch>
                  </pic:blipFill>
                  <pic:spPr>
                    <a:xfrm>
                      <a:off x="0" y="0"/>
                      <a:ext cx="5219700" cy="7450455"/>
                    </a:xfrm>
                    <a:prstGeom prst="rect">
                      <a:avLst/>
                    </a:prstGeom>
                  </pic:spPr>
                </pic:pic>
              </a:graphicData>
            </a:graphic>
          </wp:inline>
        </w:drawing>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7197090"/>
            <wp:effectExtent l="0" t="0" r="0" b="3810"/>
            <wp:docPr id="127" name="图片 127" descr="招商引资合同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招商引资合同书_05"/>
                    <pic:cNvPicPr>
                      <a:picLocks noChangeAspect="1"/>
                    </pic:cNvPicPr>
                  </pic:nvPicPr>
                  <pic:blipFill>
                    <a:blip r:embed="rId92"/>
                    <a:srcRect l="1546" t="7217" r="8029" b="4692"/>
                    <a:stretch>
                      <a:fillRect/>
                    </a:stretch>
                  </pic:blipFill>
                  <pic:spPr>
                    <a:xfrm>
                      <a:off x="0" y="0"/>
                      <a:ext cx="5219700" cy="7197090"/>
                    </a:xfrm>
                    <a:prstGeom prst="rect">
                      <a:avLst/>
                    </a:prstGeom>
                  </pic:spPr>
                </pic:pic>
              </a:graphicData>
            </a:graphic>
          </wp:inline>
        </w:drawing>
      </w:r>
    </w:p>
    <w:p w14:paraId="53D805DE">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附件8  关于《平江高新技术产业园区总体规划环境影响报告书》审查意见的函</w:t>
      </w:r>
      <w:bookmarkEnd w:id="739"/>
      <w:bookmarkEnd w:id="740"/>
    </w:p>
    <w:p w14:paraId="60F39B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yellow"/>
          <w:u w:val="none" w:color="auto"/>
        </w:rPr>
      </w:pPr>
      <w:r>
        <w:rPr>
          <w:u w:val="none" w:color="auto"/>
        </w:rPr>
        <w:drawing>
          <wp:inline distT="0" distB="0" distL="114300" distR="114300">
            <wp:extent cx="5219700" cy="7781925"/>
            <wp:effectExtent l="0" t="0" r="0" b="952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93"/>
                    <a:srcRect l="4522" r="3848"/>
                    <a:stretch>
                      <a:fillRect/>
                    </a:stretch>
                  </pic:blipFill>
                  <pic:spPr>
                    <a:xfrm>
                      <a:off x="0" y="0"/>
                      <a:ext cx="5219700" cy="7781925"/>
                    </a:xfrm>
                    <a:prstGeom prst="rect">
                      <a:avLst/>
                    </a:prstGeom>
                    <a:noFill/>
                    <a:ln>
                      <a:noFill/>
                    </a:ln>
                  </pic:spPr>
                </pic:pic>
              </a:graphicData>
            </a:graphic>
          </wp:inline>
        </w:drawing>
      </w:r>
      <w:r>
        <w:rPr>
          <w:u w:val="none" w:color="auto"/>
        </w:rPr>
        <w:drawing>
          <wp:inline distT="0" distB="0" distL="114300" distR="114300">
            <wp:extent cx="5219700" cy="7752080"/>
            <wp:effectExtent l="0" t="0" r="0" b="1270"/>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94"/>
                    <a:stretch>
                      <a:fillRect/>
                    </a:stretch>
                  </pic:blipFill>
                  <pic:spPr>
                    <a:xfrm>
                      <a:off x="0" y="0"/>
                      <a:ext cx="5219700" cy="7752080"/>
                    </a:xfrm>
                    <a:prstGeom prst="rect">
                      <a:avLst/>
                    </a:prstGeom>
                    <a:noFill/>
                    <a:ln>
                      <a:noFill/>
                    </a:ln>
                  </pic:spPr>
                </pic:pic>
              </a:graphicData>
            </a:graphic>
          </wp:inline>
        </w:drawing>
      </w:r>
    </w:p>
    <w:p w14:paraId="4088F4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yellow"/>
          <w:u w:val="none" w:color="auto"/>
        </w:rPr>
      </w:pPr>
      <w:r>
        <w:rPr>
          <w:u w:val="none" w:color="auto"/>
        </w:rPr>
        <w:drawing>
          <wp:inline distT="0" distB="0" distL="114300" distR="114300">
            <wp:extent cx="5219700" cy="8114665"/>
            <wp:effectExtent l="0" t="0" r="0" b="63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95"/>
                    <a:stretch>
                      <a:fillRect/>
                    </a:stretch>
                  </pic:blipFill>
                  <pic:spPr>
                    <a:xfrm>
                      <a:off x="0" y="0"/>
                      <a:ext cx="5219700" cy="8114665"/>
                    </a:xfrm>
                    <a:prstGeom prst="rect">
                      <a:avLst/>
                    </a:prstGeom>
                    <a:noFill/>
                    <a:ln>
                      <a:noFill/>
                    </a:ln>
                  </pic:spPr>
                </pic:pic>
              </a:graphicData>
            </a:graphic>
          </wp:inline>
        </w:drawing>
      </w:r>
    </w:p>
    <w:p w14:paraId="7F1CD979">
      <w:pPr>
        <w:ind w:firstLine="0" w:firstLineChars="0"/>
        <w:jc w:val="both"/>
        <w:outlineLvl w:val="9"/>
        <w:rPr>
          <w:rFonts w:hint="eastAsia" w:ascii="Times New Roman" w:hAnsi="Times New Roman" w:eastAsia="宋体" w:cs="Times New Roman"/>
          <w:b/>
          <w:bCs/>
          <w:color w:val="auto"/>
          <w:sz w:val="24"/>
          <w:szCs w:val="24"/>
          <w:u w:val="none" w:color="auto"/>
          <w:lang w:val="en-US" w:eastAsia="zh-CN"/>
        </w:rPr>
      </w:pPr>
      <w:r>
        <w:rPr>
          <w:u w:val="none" w:color="auto"/>
        </w:rPr>
        <w:drawing>
          <wp:inline distT="0" distB="0" distL="114300" distR="114300">
            <wp:extent cx="5219700" cy="7713980"/>
            <wp:effectExtent l="0" t="0" r="0" b="1270"/>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96"/>
                    <a:stretch>
                      <a:fillRect/>
                    </a:stretch>
                  </pic:blipFill>
                  <pic:spPr>
                    <a:xfrm>
                      <a:off x="0" y="0"/>
                      <a:ext cx="5219700" cy="7713980"/>
                    </a:xfrm>
                    <a:prstGeom prst="rect">
                      <a:avLst/>
                    </a:prstGeom>
                    <a:noFill/>
                    <a:ln>
                      <a:noFill/>
                    </a:ln>
                  </pic:spPr>
                </pic:pic>
              </a:graphicData>
            </a:graphic>
          </wp:inline>
        </w:drawing>
      </w:r>
      <w:r>
        <w:rPr>
          <w:u w:val="none" w:color="auto"/>
        </w:rPr>
        <w:drawing>
          <wp:inline distT="0" distB="0" distL="114300" distR="114300">
            <wp:extent cx="5219700" cy="7887335"/>
            <wp:effectExtent l="0" t="0" r="0" b="18415"/>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97"/>
                    <a:stretch>
                      <a:fillRect/>
                    </a:stretch>
                  </pic:blipFill>
                  <pic:spPr>
                    <a:xfrm>
                      <a:off x="0" y="0"/>
                      <a:ext cx="5219700" cy="7887335"/>
                    </a:xfrm>
                    <a:prstGeom prst="rect">
                      <a:avLst/>
                    </a:prstGeom>
                    <a:noFill/>
                    <a:ln>
                      <a:noFill/>
                    </a:ln>
                  </pic:spPr>
                </pic:pic>
              </a:graphicData>
            </a:graphic>
          </wp:inline>
        </w:drawing>
      </w:r>
      <w:r>
        <w:rPr>
          <w:u w:val="none" w:color="auto"/>
        </w:rPr>
        <w:drawing>
          <wp:inline distT="0" distB="0" distL="114300" distR="114300">
            <wp:extent cx="5219700" cy="7718425"/>
            <wp:effectExtent l="0" t="0" r="0" b="15875"/>
            <wp:docPr id="10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pic:cNvPicPr>
                      <a:picLocks noChangeAspect="1"/>
                    </pic:cNvPicPr>
                  </pic:nvPicPr>
                  <pic:blipFill>
                    <a:blip r:embed="rId98"/>
                    <a:stretch>
                      <a:fillRect/>
                    </a:stretch>
                  </pic:blipFill>
                  <pic:spPr>
                    <a:xfrm>
                      <a:off x="0" y="0"/>
                      <a:ext cx="5219700" cy="7718425"/>
                    </a:xfrm>
                    <a:prstGeom prst="rect">
                      <a:avLst/>
                    </a:prstGeom>
                    <a:noFill/>
                    <a:ln>
                      <a:noFill/>
                    </a:ln>
                  </pic:spPr>
                </pic:pic>
              </a:graphicData>
            </a:graphic>
          </wp:inline>
        </w:drawing>
      </w:r>
    </w:p>
    <w:p w14:paraId="2408CEBC">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p w14:paraId="3EA45F44">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545B1589">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41" w:name="_Toc31215"/>
      <w:bookmarkStart w:id="742" w:name="_Toc10393"/>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附件9  污水纳污协议</w:t>
      </w:r>
    </w:p>
    <w:p w14:paraId="50DD1736">
      <w:pPr>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9"/>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6998970"/>
            <wp:effectExtent l="0" t="0" r="0" b="11430"/>
            <wp:docPr id="113" name="图片 113" descr="污水接纳协议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污水接纳协议书_01"/>
                    <pic:cNvPicPr>
                      <a:picLocks noChangeAspect="1"/>
                    </pic:cNvPicPr>
                  </pic:nvPicPr>
                  <pic:blipFill>
                    <a:blip r:embed="rId99"/>
                    <a:srcRect l="6218" t="4393" b="6757"/>
                    <a:stretch>
                      <a:fillRect/>
                    </a:stretch>
                  </pic:blipFill>
                  <pic:spPr>
                    <a:xfrm>
                      <a:off x="0" y="0"/>
                      <a:ext cx="5219700" cy="6998970"/>
                    </a:xfrm>
                    <a:prstGeom prst="rect">
                      <a:avLst/>
                    </a:prstGeom>
                  </pic:spPr>
                </pic:pic>
              </a:graphicData>
            </a:graphic>
          </wp:inline>
        </w:drawing>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8351520"/>
            <wp:effectExtent l="0" t="0" r="0" b="11430"/>
            <wp:docPr id="114" name="图片 114" descr="污水接纳协议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污水接纳协议书_02"/>
                    <pic:cNvPicPr>
                      <a:picLocks noChangeAspect="1"/>
                    </pic:cNvPicPr>
                  </pic:nvPicPr>
                  <pic:blipFill>
                    <a:blip r:embed="rId100"/>
                    <a:srcRect l="11350" t="3199" r="7148" b="4666"/>
                    <a:stretch>
                      <a:fillRect/>
                    </a:stretch>
                  </pic:blipFill>
                  <pic:spPr>
                    <a:xfrm>
                      <a:off x="0" y="0"/>
                      <a:ext cx="5219700" cy="8351520"/>
                    </a:xfrm>
                    <a:prstGeom prst="rect">
                      <a:avLst/>
                    </a:prstGeom>
                  </pic:spPr>
                </pic:pic>
              </a:graphicData>
            </a:graphic>
          </wp:inline>
        </w:drawing>
      </w: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drawing>
          <wp:inline distT="0" distB="0" distL="114300" distR="114300">
            <wp:extent cx="5219700" cy="7020560"/>
            <wp:effectExtent l="0" t="0" r="0" b="8890"/>
            <wp:docPr id="122" name="图片 122" descr="污水接纳协议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污水接纳协议书_03"/>
                    <pic:cNvPicPr>
                      <a:picLocks noChangeAspect="1"/>
                    </pic:cNvPicPr>
                  </pic:nvPicPr>
                  <pic:blipFill>
                    <a:blip r:embed="rId101"/>
                    <a:srcRect l="5675" t="5963" r="4431" b="8608"/>
                    <a:stretch>
                      <a:fillRect/>
                    </a:stretch>
                  </pic:blipFill>
                  <pic:spPr>
                    <a:xfrm>
                      <a:off x="0" y="0"/>
                      <a:ext cx="5219700" cy="7020560"/>
                    </a:xfrm>
                    <a:prstGeom prst="rect">
                      <a:avLst/>
                    </a:prstGeom>
                  </pic:spPr>
                </pic:pic>
              </a:graphicData>
            </a:graphic>
          </wp:inline>
        </w:drawing>
      </w:r>
    </w:p>
    <w:p w14:paraId="52E896C0">
      <w:pPr>
        <w:pStyle w:val="4"/>
        <w:keepNext w:val="0"/>
        <w:keepLines w:val="0"/>
        <w:pageBreakBefore w:val="0"/>
        <w:widowControl w:val="0"/>
        <w:kinsoku/>
        <w:wordWrap/>
        <w:overflowPunct/>
        <w:topLinePunct w:val="0"/>
        <w:autoSpaceDE/>
        <w:autoSpaceDN/>
        <w:bidi w:val="0"/>
        <w:adjustRightInd/>
        <w:snapToGrid/>
        <w:spacing w:before="0" w:beforeLines="0" w:after="0" w:afterLines="0"/>
        <w:jc w:val="left"/>
        <w:textAlignment w:val="auto"/>
        <w:outlineLvl w:val="0"/>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附件10  现状监测报告</w:t>
      </w:r>
      <w:bookmarkEnd w:id="741"/>
      <w:bookmarkEnd w:id="742"/>
    </w:p>
    <w:p w14:paraId="7C204832">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1" name="图片 1" descr="2026030301湖南信达生物能源有限公司环评监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6030301湖南信达生物能源有限公司环评监测_01"/>
                    <pic:cNvPicPr>
                      <a:picLocks noChangeAspect="1"/>
                    </pic:cNvPicPr>
                  </pic:nvPicPr>
                  <pic:blipFill>
                    <a:blip r:embed="rId102"/>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3" name="图片 3" descr="2026030301湖南信达生物能源有限公司环评监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6030301湖南信达生物能源有限公司环评监测_02"/>
                    <pic:cNvPicPr>
                      <a:picLocks noChangeAspect="1"/>
                    </pic:cNvPicPr>
                  </pic:nvPicPr>
                  <pic:blipFill>
                    <a:blip r:embed="rId103"/>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7" name="图片 7" descr="2026030301湖南信达生物能源有限公司环评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6030301湖南信达生物能源有限公司环评监测_03"/>
                    <pic:cNvPicPr>
                      <a:picLocks noChangeAspect="1"/>
                    </pic:cNvPicPr>
                  </pic:nvPicPr>
                  <pic:blipFill>
                    <a:blip r:embed="rId104"/>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17" name="图片 17" descr="2026030301湖南信达生物能源有限公司环评监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6030301湖南信达生物能源有限公司环评监测_04"/>
                    <pic:cNvPicPr>
                      <a:picLocks noChangeAspect="1"/>
                    </pic:cNvPicPr>
                  </pic:nvPicPr>
                  <pic:blipFill>
                    <a:blip r:embed="rId105"/>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22" name="图片 22" descr="2026030301湖南信达生物能源有限公司环评监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6030301湖南信达生物能源有限公司环评监测_05"/>
                    <pic:cNvPicPr>
                      <a:picLocks noChangeAspect="1"/>
                    </pic:cNvPicPr>
                  </pic:nvPicPr>
                  <pic:blipFill>
                    <a:blip r:embed="rId106"/>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28" name="图片 28" descr="2026030301湖南信达生物能源有限公司环评监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6030301湖南信达生物能源有限公司环评监测_06"/>
                    <pic:cNvPicPr>
                      <a:picLocks noChangeAspect="1"/>
                    </pic:cNvPicPr>
                  </pic:nvPicPr>
                  <pic:blipFill>
                    <a:blip r:embed="rId107"/>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29" name="图片 29" descr="2026030301湖南信达生物能源有限公司环评监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26030301湖南信达生物能源有限公司环评监测_07"/>
                    <pic:cNvPicPr>
                      <a:picLocks noChangeAspect="1"/>
                    </pic:cNvPicPr>
                  </pic:nvPicPr>
                  <pic:blipFill>
                    <a:blip r:embed="rId108"/>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35" name="图片 35" descr="2026030301湖南信达生物能源有限公司环评监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6030301湖南信达生物能源有限公司环评监测_08"/>
                    <pic:cNvPicPr>
                      <a:picLocks noChangeAspect="1"/>
                    </pic:cNvPicPr>
                  </pic:nvPicPr>
                  <pic:blipFill>
                    <a:blip r:embed="rId109"/>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39" name="图片 39" descr="2026030301湖南信达生物能源有限公司环评监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6030301湖南信达生物能源有限公司环评监测_09"/>
                    <pic:cNvPicPr>
                      <a:picLocks noChangeAspect="1"/>
                    </pic:cNvPicPr>
                  </pic:nvPicPr>
                  <pic:blipFill>
                    <a:blip r:embed="rId110"/>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47" name="图片 47" descr="2026030301湖南信达生物能源有限公司环评监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6030301湖南信达生物能源有限公司环评监测_10"/>
                    <pic:cNvPicPr>
                      <a:picLocks noChangeAspect="1"/>
                    </pic:cNvPicPr>
                  </pic:nvPicPr>
                  <pic:blipFill>
                    <a:blip r:embed="rId111"/>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57" name="图片 57" descr="2026030301湖南信达生物能源有限公司环评监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026030301湖南信达生物能源有限公司环评监测_11"/>
                    <pic:cNvPicPr>
                      <a:picLocks noChangeAspect="1"/>
                    </pic:cNvPicPr>
                  </pic:nvPicPr>
                  <pic:blipFill>
                    <a:blip r:embed="rId112"/>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59" name="图片 59" descr="2026030301湖南信达生物能源有限公司环评监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6030301湖南信达生物能源有限公司环评监测_12"/>
                    <pic:cNvPicPr>
                      <a:picLocks noChangeAspect="1"/>
                    </pic:cNvPicPr>
                  </pic:nvPicPr>
                  <pic:blipFill>
                    <a:blip r:embed="rId113"/>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60" name="图片 60" descr="2026030301湖南信达生物能源有限公司环评监测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6030301湖南信达生物能源有限公司环评监测_13"/>
                    <pic:cNvPicPr>
                      <a:picLocks noChangeAspect="1"/>
                    </pic:cNvPicPr>
                  </pic:nvPicPr>
                  <pic:blipFill>
                    <a:blip r:embed="rId114"/>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61" name="图片 61" descr="2026030301湖南信达生物能源有限公司环评监测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6030301湖南信达生物能源有限公司环评监测_14"/>
                    <pic:cNvPicPr>
                      <a:picLocks noChangeAspect="1"/>
                    </pic:cNvPicPr>
                  </pic:nvPicPr>
                  <pic:blipFill>
                    <a:blip r:embed="rId115"/>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62" name="图片 62" descr="2026030301湖南信达生物能源有限公司环评监测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6030301湖南信达生物能源有限公司环评监测_15"/>
                    <pic:cNvPicPr>
                      <a:picLocks noChangeAspect="1"/>
                    </pic:cNvPicPr>
                  </pic:nvPicPr>
                  <pic:blipFill>
                    <a:blip r:embed="rId116"/>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63" name="图片 63" descr="2026030301湖南信达生物能源有限公司环评监测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6030301湖南信达生物能源有限公司环评监测_16"/>
                    <pic:cNvPicPr>
                      <a:picLocks noChangeAspect="1"/>
                    </pic:cNvPicPr>
                  </pic:nvPicPr>
                  <pic:blipFill>
                    <a:blip r:embed="rId117"/>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67" name="图片 67" descr="2026030301湖南信达生物能源有限公司环评监测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6030301湖南信达生物能源有限公司环评监测_17"/>
                    <pic:cNvPicPr>
                      <a:picLocks noChangeAspect="1"/>
                    </pic:cNvPicPr>
                  </pic:nvPicPr>
                  <pic:blipFill>
                    <a:blip r:embed="rId118"/>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69" name="图片 69" descr="2026030301湖南信达生物能源有限公司环评监测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6030301湖南信达生物能源有限公司环评监测_18"/>
                    <pic:cNvPicPr>
                      <a:picLocks noChangeAspect="1"/>
                    </pic:cNvPicPr>
                  </pic:nvPicPr>
                  <pic:blipFill>
                    <a:blip r:embed="rId119"/>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73" name="图片 73" descr="2026030301湖南信达生物能源有限公司环评监测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26030301湖南信达生物能源有限公司环评监测_19"/>
                    <pic:cNvPicPr>
                      <a:picLocks noChangeAspect="1"/>
                    </pic:cNvPicPr>
                  </pic:nvPicPr>
                  <pic:blipFill>
                    <a:blip r:embed="rId120"/>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90" name="图片 90" descr="2026030301湖南信达生物能源有限公司环评监测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026030301湖南信达生物能源有限公司环评监测_20"/>
                    <pic:cNvPicPr>
                      <a:picLocks noChangeAspect="1"/>
                    </pic:cNvPicPr>
                  </pic:nvPicPr>
                  <pic:blipFill>
                    <a:blip r:embed="rId121"/>
                    <a:stretch>
                      <a:fillRect/>
                    </a:stretch>
                  </pic:blipFill>
                  <pic:spPr>
                    <a:xfrm>
                      <a:off x="0" y="0"/>
                      <a:ext cx="5259070" cy="7433310"/>
                    </a:xfrm>
                    <a:prstGeom prst="rect">
                      <a:avLst/>
                    </a:prstGeom>
                  </pic:spPr>
                </pic:pic>
              </a:graphicData>
            </a:graphic>
          </wp:inline>
        </w:drawing>
      </w:r>
      <w:r>
        <w:rPr>
          <w:rFonts w:hint="default" w:ascii="Times New Roman" w:hAnsi="Times New Roman" w:eastAsia="宋体" w:cs="Times New Roman"/>
          <w:color w:val="000000" w:themeColor="text1"/>
          <w:u w:val="none" w:color="auto"/>
          <w:lang w:val="en-US" w:eastAsia="zh-CN"/>
          <w14:textFill>
            <w14:solidFill>
              <w14:schemeClr w14:val="tx1"/>
            </w14:solidFill>
          </w14:textFill>
        </w:rPr>
        <w:drawing>
          <wp:inline distT="0" distB="0" distL="114300" distR="114300">
            <wp:extent cx="5259070" cy="7433310"/>
            <wp:effectExtent l="0" t="0" r="17780" b="15240"/>
            <wp:docPr id="101" name="图片 101" descr="2026030301湖南信达生物能源有限公司环评监测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026030301湖南信达生物能源有限公司环评监测_21"/>
                    <pic:cNvPicPr>
                      <a:picLocks noChangeAspect="1"/>
                    </pic:cNvPicPr>
                  </pic:nvPicPr>
                  <pic:blipFill>
                    <a:blip r:embed="rId122"/>
                    <a:stretch>
                      <a:fillRect/>
                    </a:stretch>
                  </pic:blipFill>
                  <pic:spPr>
                    <a:xfrm>
                      <a:off x="0" y="0"/>
                      <a:ext cx="5259070" cy="7433310"/>
                    </a:xfrm>
                    <a:prstGeom prst="rect">
                      <a:avLst/>
                    </a:prstGeom>
                  </pic:spPr>
                </pic:pic>
              </a:graphicData>
            </a:graphic>
          </wp:inline>
        </w:drawing>
      </w:r>
    </w:p>
    <w:p w14:paraId="009E401D">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43" w:name="_Toc20198"/>
      <w:bookmarkStart w:id="744" w:name="_Toc15370"/>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附表1  大气环境影响评价自查表</w:t>
      </w:r>
      <w:bookmarkEnd w:id="743"/>
      <w:bookmarkEnd w:id="744"/>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0"/>
        <w:gridCol w:w="2680"/>
        <w:gridCol w:w="1483"/>
        <w:gridCol w:w="1150"/>
        <w:gridCol w:w="811"/>
        <w:gridCol w:w="1072"/>
        <w:gridCol w:w="600"/>
        <w:gridCol w:w="50"/>
        <w:gridCol w:w="1167"/>
        <w:gridCol w:w="450"/>
        <w:gridCol w:w="966"/>
        <w:gridCol w:w="734"/>
        <w:gridCol w:w="800"/>
        <w:gridCol w:w="1050"/>
      </w:tblGrid>
      <w:tr w14:paraId="698E37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1352" w:type="pct"/>
            <w:gridSpan w:val="2"/>
            <w:tcBorders>
              <w:tl2br w:val="nil"/>
              <w:tr2bl w:val="nil"/>
            </w:tcBorders>
            <w:vAlign w:val="center"/>
          </w:tcPr>
          <w:p w14:paraId="6F9852DC">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工作内容</w:t>
            </w:r>
          </w:p>
        </w:tc>
        <w:tc>
          <w:tcPr>
            <w:tcW w:w="3647" w:type="pct"/>
            <w:gridSpan w:val="12"/>
            <w:tcBorders>
              <w:tl2br w:val="nil"/>
              <w:tr2bl w:val="nil"/>
            </w:tcBorders>
            <w:vAlign w:val="center"/>
          </w:tcPr>
          <w:p w14:paraId="32BE94AB">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自查项目</w:t>
            </w:r>
          </w:p>
        </w:tc>
      </w:tr>
      <w:tr w14:paraId="282600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restart"/>
            <w:tcBorders>
              <w:tl2br w:val="nil"/>
              <w:tr2bl w:val="nil"/>
            </w:tcBorders>
            <w:vAlign w:val="center"/>
          </w:tcPr>
          <w:p w14:paraId="5046C01F">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评价等级与范围</w:t>
            </w:r>
          </w:p>
        </w:tc>
        <w:tc>
          <w:tcPr>
            <w:tcW w:w="946" w:type="pct"/>
            <w:tcBorders>
              <w:tl2br w:val="nil"/>
              <w:tr2bl w:val="nil"/>
            </w:tcBorders>
            <w:vAlign w:val="center"/>
          </w:tcPr>
          <w:p w14:paraId="75B8BD4C">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评价等级</w:t>
            </w:r>
          </w:p>
        </w:tc>
        <w:tc>
          <w:tcPr>
            <w:tcW w:w="1215" w:type="pct"/>
            <w:gridSpan w:val="3"/>
            <w:tcBorders>
              <w:tl2br w:val="nil"/>
              <w:tr2bl w:val="nil"/>
            </w:tcBorders>
            <w:vAlign w:val="center"/>
          </w:tcPr>
          <w:p w14:paraId="30F52D48">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一级</w:t>
            </w:r>
            <w:r>
              <w:rPr>
                <w:rFonts w:ascii="Times New Roman" w:hAnsi="Times New Roman" w:eastAsia="宋体" w:cs="Times New Roman"/>
                <w:kern w:val="0"/>
                <w:sz w:val="21"/>
                <w:szCs w:val="21"/>
                <w:u w:val="none" w:color="auto"/>
              </w:rPr>
              <w:sym w:font="Wingdings" w:char="00A8"/>
            </w:r>
          </w:p>
        </w:tc>
        <w:tc>
          <w:tcPr>
            <w:tcW w:w="1178" w:type="pct"/>
            <w:gridSpan w:val="5"/>
            <w:tcBorders>
              <w:tl2br w:val="nil"/>
              <w:tr2bl w:val="nil"/>
            </w:tcBorders>
            <w:vAlign w:val="center"/>
          </w:tcPr>
          <w:p w14:paraId="6013EE7C">
            <w:pPr>
              <w:widowControl/>
              <w:adjustRightInd w:val="0"/>
              <w:snapToGrid w:val="0"/>
              <w:jc w:val="center"/>
              <w:rPr>
                <w:rFonts w:hint="eastAsia" w:ascii="Times New Roman" w:hAnsi="Times New Roman" w:eastAsia="宋体" w:cs="Times New Roman"/>
                <w:kern w:val="0"/>
                <w:sz w:val="21"/>
                <w:szCs w:val="21"/>
                <w:u w:val="none" w:color="auto"/>
                <w:lang w:eastAsia="zh-CN"/>
              </w:rPr>
            </w:pPr>
            <w:r>
              <w:rPr>
                <w:rFonts w:ascii="Times New Roman" w:hAnsi="Times New Roman" w:eastAsia="宋体" w:cs="Times New Roman"/>
                <w:kern w:val="0"/>
                <w:sz w:val="21"/>
                <w:szCs w:val="21"/>
                <w:u w:val="none" w:color="auto"/>
              </w:rPr>
              <w:t>二级</w:t>
            </w:r>
            <w:r>
              <w:rPr>
                <w:rFonts w:ascii="Times New Roman" w:hAnsi="Times New Roman" w:eastAsia="宋体" w:cs="Times New Roman"/>
                <w:kern w:val="0"/>
                <w:sz w:val="21"/>
                <w:szCs w:val="21"/>
                <w:u w:val="none" w:color="auto"/>
              </w:rPr>
              <w:sym w:font="Wingdings" w:char="00FE"/>
            </w:r>
          </w:p>
        </w:tc>
        <w:tc>
          <w:tcPr>
            <w:tcW w:w="1253" w:type="pct"/>
            <w:gridSpan w:val="4"/>
            <w:tcBorders>
              <w:tl2br w:val="nil"/>
              <w:tr2bl w:val="nil"/>
            </w:tcBorders>
            <w:vAlign w:val="center"/>
          </w:tcPr>
          <w:p w14:paraId="49C46BF3">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三级</w:t>
            </w:r>
            <w:r>
              <w:rPr>
                <w:rFonts w:ascii="Times New Roman" w:hAnsi="Times New Roman" w:eastAsia="宋体" w:cs="Times New Roman"/>
                <w:kern w:val="0"/>
                <w:sz w:val="21"/>
                <w:szCs w:val="21"/>
                <w:u w:val="none" w:color="auto"/>
              </w:rPr>
              <w:sym w:font="Wingdings" w:char="00A8"/>
            </w:r>
          </w:p>
        </w:tc>
      </w:tr>
      <w:tr w14:paraId="4F92DA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433843C9">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64853C40">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评价范围</w:t>
            </w:r>
          </w:p>
        </w:tc>
        <w:tc>
          <w:tcPr>
            <w:tcW w:w="1215" w:type="pct"/>
            <w:gridSpan w:val="3"/>
            <w:tcBorders>
              <w:tl2br w:val="nil"/>
              <w:tr2bl w:val="nil"/>
            </w:tcBorders>
            <w:vAlign w:val="center"/>
          </w:tcPr>
          <w:p w14:paraId="338E3BFB">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边长=50km</w:t>
            </w:r>
            <w:r>
              <w:rPr>
                <w:rFonts w:ascii="Times New Roman" w:hAnsi="Times New Roman" w:eastAsia="宋体" w:cs="Times New Roman"/>
                <w:kern w:val="0"/>
                <w:sz w:val="21"/>
                <w:szCs w:val="21"/>
                <w:u w:val="none" w:color="auto"/>
              </w:rPr>
              <w:sym w:font="Wingdings" w:char="00A8"/>
            </w:r>
          </w:p>
        </w:tc>
        <w:tc>
          <w:tcPr>
            <w:tcW w:w="1178" w:type="pct"/>
            <w:gridSpan w:val="5"/>
            <w:tcBorders>
              <w:tl2br w:val="nil"/>
              <w:tr2bl w:val="nil"/>
            </w:tcBorders>
            <w:vAlign w:val="center"/>
          </w:tcPr>
          <w:p w14:paraId="638C3BF4">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边长=5~50km</w:t>
            </w:r>
            <w:r>
              <w:rPr>
                <w:rFonts w:ascii="Times New Roman" w:hAnsi="Times New Roman" w:eastAsia="宋体" w:cs="Times New Roman"/>
                <w:kern w:val="0"/>
                <w:sz w:val="21"/>
                <w:szCs w:val="21"/>
                <w:u w:val="none" w:color="auto"/>
              </w:rPr>
              <w:sym w:font="Wingdings" w:char="00A8"/>
            </w:r>
          </w:p>
        </w:tc>
        <w:tc>
          <w:tcPr>
            <w:tcW w:w="1253" w:type="pct"/>
            <w:gridSpan w:val="4"/>
            <w:tcBorders>
              <w:tl2br w:val="nil"/>
              <w:tr2bl w:val="nil"/>
            </w:tcBorders>
            <w:vAlign w:val="center"/>
          </w:tcPr>
          <w:p w14:paraId="3459EC71">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边长=5km</w:t>
            </w:r>
            <w:r>
              <w:rPr>
                <w:rFonts w:ascii="Times New Roman" w:hAnsi="Times New Roman" w:eastAsia="宋体" w:cs="Times New Roman"/>
                <w:kern w:val="0"/>
                <w:sz w:val="21"/>
                <w:szCs w:val="21"/>
                <w:u w:val="none" w:color="auto"/>
              </w:rPr>
              <w:sym w:font="Wingdings" w:char="00FE"/>
            </w:r>
          </w:p>
        </w:tc>
      </w:tr>
      <w:tr w14:paraId="481D02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restart"/>
            <w:tcBorders>
              <w:tl2br w:val="nil"/>
              <w:tr2bl w:val="nil"/>
            </w:tcBorders>
            <w:vAlign w:val="center"/>
          </w:tcPr>
          <w:p w14:paraId="04B92015">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评价因子</w:t>
            </w:r>
          </w:p>
        </w:tc>
        <w:tc>
          <w:tcPr>
            <w:tcW w:w="946" w:type="pct"/>
            <w:tcBorders>
              <w:tl2br w:val="nil"/>
              <w:tr2bl w:val="nil"/>
            </w:tcBorders>
            <w:vAlign w:val="center"/>
          </w:tcPr>
          <w:p w14:paraId="5D1F181A">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SO</w:t>
            </w:r>
            <w:r>
              <w:rPr>
                <w:rFonts w:ascii="Times New Roman" w:hAnsi="Times New Roman" w:eastAsia="宋体" w:cs="Times New Roman"/>
                <w:kern w:val="0"/>
                <w:sz w:val="21"/>
                <w:szCs w:val="21"/>
                <w:u w:val="none" w:color="auto"/>
                <w:vertAlign w:val="subscript"/>
              </w:rPr>
              <w:t>2</w:t>
            </w:r>
            <w:r>
              <w:rPr>
                <w:rFonts w:ascii="Times New Roman" w:hAnsi="Times New Roman" w:eastAsia="宋体" w:cs="Times New Roman"/>
                <w:kern w:val="0"/>
                <w:sz w:val="21"/>
                <w:szCs w:val="21"/>
                <w:u w:val="none" w:color="auto"/>
              </w:rPr>
              <w:t>+NOx排放量</w:t>
            </w:r>
          </w:p>
        </w:tc>
        <w:tc>
          <w:tcPr>
            <w:tcW w:w="1215" w:type="pct"/>
            <w:gridSpan w:val="3"/>
            <w:tcBorders>
              <w:tl2br w:val="nil"/>
              <w:tr2bl w:val="nil"/>
            </w:tcBorders>
            <w:vAlign w:val="center"/>
          </w:tcPr>
          <w:p w14:paraId="11280D44">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≥2000t/a</w:t>
            </w:r>
            <w:r>
              <w:rPr>
                <w:rFonts w:ascii="Times New Roman" w:hAnsi="Times New Roman" w:eastAsia="宋体" w:cs="Times New Roman"/>
                <w:kern w:val="0"/>
                <w:sz w:val="21"/>
                <w:szCs w:val="21"/>
                <w:u w:val="none" w:color="auto"/>
              </w:rPr>
              <w:sym w:font="Wingdings" w:char="00A8"/>
            </w:r>
          </w:p>
        </w:tc>
        <w:tc>
          <w:tcPr>
            <w:tcW w:w="1178" w:type="pct"/>
            <w:gridSpan w:val="5"/>
            <w:tcBorders>
              <w:tl2br w:val="nil"/>
              <w:tr2bl w:val="nil"/>
            </w:tcBorders>
            <w:vAlign w:val="center"/>
          </w:tcPr>
          <w:p w14:paraId="034F73C1">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500~2000t/a</w:t>
            </w:r>
            <w:r>
              <w:rPr>
                <w:rFonts w:ascii="Times New Roman" w:hAnsi="Times New Roman" w:eastAsia="宋体" w:cs="Times New Roman"/>
                <w:kern w:val="0"/>
                <w:sz w:val="21"/>
                <w:szCs w:val="21"/>
                <w:u w:val="none" w:color="auto"/>
              </w:rPr>
              <w:sym w:font="Wingdings" w:char="00A8"/>
            </w:r>
          </w:p>
        </w:tc>
        <w:tc>
          <w:tcPr>
            <w:tcW w:w="1253" w:type="pct"/>
            <w:gridSpan w:val="4"/>
            <w:tcBorders>
              <w:tl2br w:val="nil"/>
              <w:tr2bl w:val="nil"/>
            </w:tcBorders>
            <w:vAlign w:val="center"/>
          </w:tcPr>
          <w:p w14:paraId="7C5EDDD0">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&lt;500t/a</w:t>
            </w:r>
            <w:r>
              <w:rPr>
                <w:rFonts w:ascii="Times New Roman" w:hAnsi="Times New Roman" w:eastAsia="宋体" w:cs="Times New Roman"/>
                <w:kern w:val="0"/>
                <w:sz w:val="21"/>
                <w:szCs w:val="21"/>
                <w:u w:val="none" w:color="auto"/>
              </w:rPr>
              <w:sym w:font="Wingdings" w:char="00A8"/>
            </w:r>
          </w:p>
        </w:tc>
      </w:tr>
      <w:tr w14:paraId="16714B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6D7D3924">
            <w:pPr>
              <w:widowControl/>
              <w:adjustRightInd w:val="0"/>
              <w:snapToGrid w:val="0"/>
              <w:jc w:val="left"/>
              <w:rPr>
                <w:rFonts w:ascii="Times New Roman" w:hAnsi="Times New Roman" w:eastAsia="宋体" w:cs="Times New Roman"/>
                <w:kern w:val="0"/>
                <w:sz w:val="21"/>
                <w:szCs w:val="21"/>
                <w:u w:val="none" w:color="auto"/>
              </w:rPr>
            </w:pPr>
          </w:p>
        </w:tc>
        <w:tc>
          <w:tcPr>
            <w:tcW w:w="946" w:type="pct"/>
            <w:vMerge w:val="restart"/>
            <w:tcBorders>
              <w:tl2br w:val="nil"/>
              <w:tr2bl w:val="nil"/>
            </w:tcBorders>
            <w:vAlign w:val="center"/>
          </w:tcPr>
          <w:p w14:paraId="7B93C15B">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评价因子</w:t>
            </w:r>
          </w:p>
        </w:tc>
        <w:tc>
          <w:tcPr>
            <w:tcW w:w="2394" w:type="pct"/>
            <w:gridSpan w:val="8"/>
            <w:tcBorders>
              <w:tl2br w:val="nil"/>
              <w:tr2bl w:val="nil"/>
            </w:tcBorders>
            <w:vAlign w:val="center"/>
          </w:tcPr>
          <w:p w14:paraId="3D83248D">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基本污染物（SO</w:t>
            </w:r>
            <w:r>
              <w:rPr>
                <w:rFonts w:ascii="Times New Roman" w:hAnsi="Times New Roman" w:eastAsia="宋体" w:cs="Times New Roman"/>
                <w:kern w:val="0"/>
                <w:sz w:val="21"/>
                <w:szCs w:val="21"/>
                <w:u w:val="none" w:color="auto"/>
                <w:vertAlign w:val="subscript"/>
              </w:rPr>
              <w:t>2</w:t>
            </w:r>
            <w:r>
              <w:rPr>
                <w:rFonts w:ascii="Times New Roman" w:hAnsi="Times New Roman" w:eastAsia="宋体" w:cs="Times New Roman"/>
                <w:kern w:val="0"/>
                <w:sz w:val="21"/>
                <w:szCs w:val="21"/>
                <w:u w:val="none" w:color="auto"/>
              </w:rPr>
              <w:t>、NO</w:t>
            </w:r>
            <w:r>
              <w:rPr>
                <w:rFonts w:ascii="Times New Roman" w:hAnsi="Times New Roman" w:eastAsia="宋体" w:cs="Times New Roman"/>
                <w:kern w:val="0"/>
                <w:sz w:val="21"/>
                <w:szCs w:val="21"/>
                <w:u w:val="none" w:color="auto"/>
                <w:vertAlign w:val="subscript"/>
              </w:rPr>
              <w:t>2</w:t>
            </w:r>
            <w:r>
              <w:rPr>
                <w:rFonts w:ascii="Times New Roman" w:hAnsi="Times New Roman" w:eastAsia="宋体" w:cs="Times New Roman"/>
                <w:kern w:val="0"/>
                <w:sz w:val="21"/>
                <w:szCs w:val="21"/>
                <w:u w:val="none" w:color="auto"/>
              </w:rPr>
              <w:t>、PM</w:t>
            </w:r>
            <w:r>
              <w:rPr>
                <w:rFonts w:ascii="Times New Roman" w:hAnsi="Times New Roman" w:eastAsia="宋体" w:cs="Times New Roman"/>
                <w:kern w:val="0"/>
                <w:sz w:val="21"/>
                <w:szCs w:val="21"/>
                <w:u w:val="none" w:color="auto"/>
                <w:vertAlign w:val="subscript"/>
              </w:rPr>
              <w:t>10</w:t>
            </w:r>
            <w:r>
              <w:rPr>
                <w:rFonts w:ascii="Times New Roman" w:hAnsi="Times New Roman" w:eastAsia="宋体" w:cs="Times New Roman"/>
                <w:kern w:val="0"/>
                <w:sz w:val="21"/>
                <w:szCs w:val="21"/>
                <w:u w:val="none" w:color="auto"/>
              </w:rPr>
              <w:t>、PM</w:t>
            </w:r>
            <w:r>
              <w:rPr>
                <w:rFonts w:ascii="Times New Roman" w:hAnsi="Times New Roman" w:eastAsia="宋体" w:cs="Times New Roman"/>
                <w:kern w:val="0"/>
                <w:sz w:val="21"/>
                <w:szCs w:val="21"/>
                <w:u w:val="none" w:color="auto"/>
                <w:vertAlign w:val="subscript"/>
              </w:rPr>
              <w:t>2.5</w:t>
            </w:r>
            <w:r>
              <w:rPr>
                <w:rFonts w:ascii="Times New Roman" w:hAnsi="Times New Roman" w:eastAsia="宋体" w:cs="Times New Roman"/>
                <w:kern w:val="0"/>
                <w:sz w:val="21"/>
                <w:szCs w:val="21"/>
                <w:u w:val="none" w:color="auto"/>
              </w:rPr>
              <w:t>、CO、O</w:t>
            </w:r>
            <w:r>
              <w:rPr>
                <w:rFonts w:ascii="Times New Roman" w:hAnsi="Times New Roman" w:eastAsia="宋体" w:cs="Times New Roman"/>
                <w:kern w:val="0"/>
                <w:sz w:val="21"/>
                <w:szCs w:val="21"/>
                <w:u w:val="none" w:color="auto"/>
                <w:vertAlign w:val="subscript"/>
              </w:rPr>
              <w:t>3</w:t>
            </w:r>
            <w:r>
              <w:rPr>
                <w:rFonts w:ascii="Times New Roman" w:hAnsi="Times New Roman" w:eastAsia="宋体" w:cs="Times New Roman"/>
                <w:kern w:val="0"/>
                <w:sz w:val="21"/>
                <w:szCs w:val="21"/>
                <w:u w:val="none" w:color="auto"/>
              </w:rPr>
              <w:t>）</w:t>
            </w:r>
          </w:p>
        </w:tc>
        <w:tc>
          <w:tcPr>
            <w:tcW w:w="1253" w:type="pct"/>
            <w:gridSpan w:val="4"/>
            <w:vMerge w:val="restart"/>
            <w:tcBorders>
              <w:tl2br w:val="nil"/>
              <w:tr2bl w:val="nil"/>
            </w:tcBorders>
            <w:vAlign w:val="center"/>
          </w:tcPr>
          <w:p w14:paraId="24A3912D">
            <w:pPr>
              <w:keepNext w:val="0"/>
              <w:keepLines w:val="0"/>
              <w:pageBreakBefore w:val="0"/>
              <w:widowControl/>
              <w:kinsoku/>
              <w:wordWrap/>
              <w:overflowPunct/>
              <w:topLinePunct w:val="0"/>
              <w:autoSpaceDE/>
              <w:autoSpaceDN/>
              <w:bidi w:val="0"/>
              <w:adjustRightInd w:val="0"/>
              <w:snapToGrid w:val="0"/>
              <w:ind w:left="480" w:leftChars="200" w:right="480" w:rightChars="200"/>
              <w:jc w:val="right"/>
              <w:textAlignment w:val="auto"/>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包括二次PM</w:t>
            </w:r>
            <w:r>
              <w:rPr>
                <w:rFonts w:ascii="Times New Roman" w:hAnsi="Times New Roman" w:eastAsia="宋体" w:cs="Times New Roman"/>
                <w:kern w:val="0"/>
                <w:sz w:val="21"/>
                <w:szCs w:val="21"/>
                <w:u w:val="none" w:color="auto"/>
                <w:vertAlign w:val="subscript"/>
              </w:rPr>
              <w:t>2.5</w:t>
            </w:r>
            <w:r>
              <w:rPr>
                <w:rFonts w:ascii="Times New Roman" w:hAnsi="Times New Roman" w:eastAsia="宋体" w:cs="Times New Roman"/>
                <w:kern w:val="0"/>
                <w:sz w:val="21"/>
                <w:szCs w:val="21"/>
                <w:u w:val="none" w:color="auto"/>
              </w:rPr>
              <w:sym w:font="Wingdings" w:char="00A8"/>
            </w:r>
          </w:p>
          <w:p w14:paraId="597BB8D6">
            <w:pPr>
              <w:keepNext w:val="0"/>
              <w:keepLines w:val="0"/>
              <w:pageBreakBefore w:val="0"/>
              <w:widowControl/>
              <w:kinsoku/>
              <w:wordWrap/>
              <w:overflowPunct/>
              <w:topLinePunct w:val="0"/>
              <w:autoSpaceDE/>
              <w:autoSpaceDN/>
              <w:bidi w:val="0"/>
              <w:adjustRightInd w:val="0"/>
              <w:snapToGrid w:val="0"/>
              <w:ind w:left="480" w:leftChars="200" w:right="480" w:rightChars="200"/>
              <w:jc w:val="right"/>
              <w:textAlignment w:val="auto"/>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不包括二次PM</w:t>
            </w:r>
            <w:r>
              <w:rPr>
                <w:rFonts w:ascii="Times New Roman" w:hAnsi="Times New Roman" w:eastAsia="宋体" w:cs="Times New Roman"/>
                <w:kern w:val="0"/>
                <w:sz w:val="21"/>
                <w:szCs w:val="21"/>
                <w:u w:val="none" w:color="auto"/>
                <w:vertAlign w:val="subscript"/>
              </w:rPr>
              <w:t>2.5</w:t>
            </w:r>
            <w:r>
              <w:rPr>
                <w:rFonts w:ascii="Times New Roman" w:hAnsi="Times New Roman" w:eastAsia="宋体" w:cs="Times New Roman"/>
                <w:kern w:val="0"/>
                <w:sz w:val="21"/>
                <w:szCs w:val="21"/>
                <w:u w:val="none" w:color="auto"/>
              </w:rPr>
              <w:sym w:font="Wingdings" w:char="00FE"/>
            </w:r>
          </w:p>
        </w:tc>
      </w:tr>
      <w:tr w14:paraId="3675F6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529CCD1A">
            <w:pPr>
              <w:widowControl/>
              <w:adjustRightInd w:val="0"/>
              <w:snapToGrid w:val="0"/>
              <w:jc w:val="left"/>
              <w:rPr>
                <w:rFonts w:ascii="Times New Roman" w:hAnsi="Times New Roman" w:eastAsia="宋体" w:cs="Times New Roman"/>
                <w:kern w:val="0"/>
                <w:sz w:val="21"/>
                <w:szCs w:val="21"/>
                <w:u w:val="none" w:color="auto"/>
              </w:rPr>
            </w:pPr>
          </w:p>
        </w:tc>
        <w:tc>
          <w:tcPr>
            <w:tcW w:w="946" w:type="pct"/>
            <w:vMerge w:val="continue"/>
            <w:tcBorders>
              <w:tl2br w:val="nil"/>
              <w:tr2bl w:val="nil"/>
            </w:tcBorders>
            <w:vAlign w:val="center"/>
          </w:tcPr>
          <w:p w14:paraId="6C10D0CF">
            <w:pPr>
              <w:widowControl/>
              <w:adjustRightInd w:val="0"/>
              <w:snapToGrid w:val="0"/>
              <w:jc w:val="left"/>
              <w:rPr>
                <w:rFonts w:ascii="Times New Roman" w:hAnsi="Times New Roman" w:eastAsia="宋体" w:cs="Times New Roman"/>
                <w:kern w:val="0"/>
                <w:sz w:val="21"/>
                <w:szCs w:val="21"/>
                <w:u w:val="none" w:color="auto"/>
              </w:rPr>
            </w:pPr>
          </w:p>
        </w:tc>
        <w:tc>
          <w:tcPr>
            <w:tcW w:w="2394" w:type="pct"/>
            <w:gridSpan w:val="8"/>
            <w:tcBorders>
              <w:tl2br w:val="nil"/>
              <w:tr2bl w:val="nil"/>
            </w:tcBorders>
            <w:vAlign w:val="center"/>
          </w:tcPr>
          <w:p w14:paraId="7E326E6F">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其他污染物</w:t>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t>氨、硫化氢、臭气浓度、非甲烷总烃）</w:t>
            </w:r>
          </w:p>
        </w:tc>
        <w:tc>
          <w:tcPr>
            <w:tcW w:w="1253" w:type="pct"/>
            <w:gridSpan w:val="4"/>
            <w:vMerge w:val="continue"/>
            <w:tcBorders>
              <w:tl2br w:val="nil"/>
              <w:tr2bl w:val="nil"/>
            </w:tcBorders>
            <w:vAlign w:val="center"/>
          </w:tcPr>
          <w:p w14:paraId="6450B778">
            <w:pPr>
              <w:widowControl/>
              <w:adjustRightInd w:val="0"/>
              <w:snapToGrid w:val="0"/>
              <w:jc w:val="center"/>
              <w:rPr>
                <w:rFonts w:ascii="Times New Roman" w:hAnsi="Times New Roman" w:eastAsia="宋体" w:cs="Times New Roman"/>
                <w:sz w:val="21"/>
                <w:szCs w:val="21"/>
                <w:u w:val="none" w:color="auto"/>
              </w:rPr>
            </w:pPr>
          </w:p>
        </w:tc>
      </w:tr>
      <w:tr w14:paraId="381B7B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tcBorders>
              <w:tl2br w:val="nil"/>
              <w:tr2bl w:val="nil"/>
            </w:tcBorders>
            <w:vAlign w:val="center"/>
          </w:tcPr>
          <w:p w14:paraId="68A8EA5A">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评价标准</w:t>
            </w:r>
          </w:p>
        </w:tc>
        <w:tc>
          <w:tcPr>
            <w:tcW w:w="946" w:type="pct"/>
            <w:tcBorders>
              <w:tl2br w:val="nil"/>
              <w:tr2bl w:val="nil"/>
            </w:tcBorders>
            <w:vAlign w:val="center"/>
          </w:tcPr>
          <w:p w14:paraId="15984D0B">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评价标准</w:t>
            </w:r>
          </w:p>
        </w:tc>
        <w:tc>
          <w:tcPr>
            <w:tcW w:w="929" w:type="pct"/>
            <w:gridSpan w:val="2"/>
            <w:tcBorders>
              <w:tl2br w:val="nil"/>
              <w:tr2bl w:val="nil"/>
            </w:tcBorders>
            <w:vAlign w:val="center"/>
          </w:tcPr>
          <w:p w14:paraId="3F574F77">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国家标准</w:t>
            </w:r>
            <w:r>
              <w:rPr>
                <w:rFonts w:ascii="Times New Roman" w:hAnsi="Times New Roman" w:eastAsia="宋体" w:cs="Times New Roman"/>
                <w:kern w:val="0"/>
                <w:sz w:val="21"/>
                <w:szCs w:val="21"/>
                <w:u w:val="none" w:color="auto"/>
              </w:rPr>
              <w:sym w:font="Wingdings" w:char="00FE"/>
            </w:r>
          </w:p>
        </w:tc>
        <w:tc>
          <w:tcPr>
            <w:tcW w:w="876" w:type="pct"/>
            <w:gridSpan w:val="3"/>
            <w:tcBorders>
              <w:tl2br w:val="nil"/>
              <w:tr2bl w:val="nil"/>
            </w:tcBorders>
            <w:vAlign w:val="center"/>
          </w:tcPr>
          <w:p w14:paraId="32D65E80">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地方标准</w:t>
            </w:r>
            <w:r>
              <w:rPr>
                <w:rFonts w:ascii="Times New Roman" w:hAnsi="Times New Roman" w:eastAsia="宋体" w:cs="Times New Roman"/>
                <w:kern w:val="0"/>
                <w:sz w:val="21"/>
                <w:szCs w:val="21"/>
                <w:u w:val="none" w:color="auto"/>
              </w:rPr>
              <w:sym w:font="Wingdings" w:char="00A8"/>
            </w:r>
          </w:p>
        </w:tc>
        <w:tc>
          <w:tcPr>
            <w:tcW w:w="929" w:type="pct"/>
            <w:gridSpan w:val="4"/>
            <w:tcBorders>
              <w:tl2br w:val="nil"/>
              <w:tr2bl w:val="nil"/>
            </w:tcBorders>
            <w:vAlign w:val="center"/>
          </w:tcPr>
          <w:p w14:paraId="00C639F3">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附录D</w:t>
            </w:r>
            <w:r>
              <w:rPr>
                <w:rFonts w:ascii="Times New Roman" w:hAnsi="Times New Roman" w:eastAsia="宋体" w:cs="Times New Roman"/>
                <w:kern w:val="0"/>
                <w:sz w:val="21"/>
                <w:szCs w:val="21"/>
                <w:u w:val="none" w:color="auto"/>
              </w:rPr>
              <w:sym w:font="Wingdings" w:char="00FE"/>
            </w:r>
          </w:p>
        </w:tc>
        <w:tc>
          <w:tcPr>
            <w:tcW w:w="912" w:type="pct"/>
            <w:gridSpan w:val="3"/>
            <w:tcBorders>
              <w:tl2br w:val="nil"/>
              <w:tr2bl w:val="nil"/>
            </w:tcBorders>
            <w:vAlign w:val="center"/>
          </w:tcPr>
          <w:p w14:paraId="0E30EC51">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其他标准</w:t>
            </w:r>
            <w:r>
              <w:rPr>
                <w:rFonts w:ascii="Times New Roman" w:hAnsi="Times New Roman" w:eastAsia="宋体" w:cs="Times New Roman"/>
                <w:kern w:val="0"/>
                <w:sz w:val="21"/>
                <w:szCs w:val="21"/>
                <w:u w:val="none" w:color="auto"/>
              </w:rPr>
              <w:sym w:font="Wingdings" w:char="00A8"/>
            </w:r>
          </w:p>
        </w:tc>
      </w:tr>
      <w:tr w14:paraId="2E20FC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restart"/>
            <w:tcBorders>
              <w:tl2br w:val="nil"/>
              <w:tr2bl w:val="nil"/>
            </w:tcBorders>
            <w:vAlign w:val="center"/>
          </w:tcPr>
          <w:p w14:paraId="1AF69629">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现状评价</w:t>
            </w:r>
          </w:p>
        </w:tc>
        <w:tc>
          <w:tcPr>
            <w:tcW w:w="946" w:type="pct"/>
            <w:tcBorders>
              <w:tl2br w:val="nil"/>
              <w:tr2bl w:val="nil"/>
            </w:tcBorders>
            <w:vAlign w:val="center"/>
          </w:tcPr>
          <w:p w14:paraId="309644C4">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评价功能区</w:t>
            </w:r>
          </w:p>
        </w:tc>
        <w:tc>
          <w:tcPr>
            <w:tcW w:w="1215" w:type="pct"/>
            <w:gridSpan w:val="3"/>
            <w:tcBorders>
              <w:tl2br w:val="nil"/>
              <w:tr2bl w:val="nil"/>
            </w:tcBorders>
            <w:vAlign w:val="center"/>
          </w:tcPr>
          <w:p w14:paraId="4B9DC4C8">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一类区</w:t>
            </w:r>
            <w:r>
              <w:rPr>
                <w:rFonts w:ascii="Times New Roman" w:hAnsi="Times New Roman" w:eastAsia="宋体" w:cs="Times New Roman"/>
                <w:kern w:val="0"/>
                <w:sz w:val="21"/>
                <w:szCs w:val="21"/>
                <w:u w:val="none" w:color="auto"/>
              </w:rPr>
              <w:sym w:font="Wingdings" w:char="00A8"/>
            </w:r>
          </w:p>
        </w:tc>
        <w:tc>
          <w:tcPr>
            <w:tcW w:w="1178" w:type="pct"/>
            <w:gridSpan w:val="5"/>
            <w:tcBorders>
              <w:tl2br w:val="nil"/>
              <w:tr2bl w:val="nil"/>
            </w:tcBorders>
            <w:vAlign w:val="center"/>
          </w:tcPr>
          <w:p w14:paraId="2FEF3C15">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二类区</w:t>
            </w:r>
            <w:r>
              <w:rPr>
                <w:rFonts w:ascii="Times New Roman" w:hAnsi="Times New Roman" w:eastAsia="宋体" w:cs="Times New Roman"/>
                <w:kern w:val="0"/>
                <w:sz w:val="21"/>
                <w:szCs w:val="21"/>
                <w:u w:val="none" w:color="auto"/>
              </w:rPr>
              <w:sym w:font="Wingdings" w:char="00FE"/>
            </w:r>
          </w:p>
        </w:tc>
        <w:tc>
          <w:tcPr>
            <w:tcW w:w="1253" w:type="pct"/>
            <w:gridSpan w:val="4"/>
            <w:tcBorders>
              <w:tl2br w:val="nil"/>
              <w:tr2bl w:val="nil"/>
            </w:tcBorders>
            <w:vAlign w:val="center"/>
          </w:tcPr>
          <w:p w14:paraId="544A1754">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一类区和二类区</w:t>
            </w:r>
            <w:r>
              <w:rPr>
                <w:rFonts w:ascii="Times New Roman" w:hAnsi="Times New Roman" w:eastAsia="宋体" w:cs="Times New Roman"/>
                <w:kern w:val="0"/>
                <w:sz w:val="21"/>
                <w:szCs w:val="21"/>
                <w:u w:val="none" w:color="auto"/>
              </w:rPr>
              <w:sym w:font="Wingdings" w:char="00A8"/>
            </w:r>
          </w:p>
        </w:tc>
      </w:tr>
      <w:tr w14:paraId="45069D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388317AE">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31B35C00">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评价基准年</w:t>
            </w:r>
          </w:p>
        </w:tc>
        <w:tc>
          <w:tcPr>
            <w:tcW w:w="3647" w:type="pct"/>
            <w:gridSpan w:val="12"/>
            <w:tcBorders>
              <w:tl2br w:val="nil"/>
              <w:tr2bl w:val="nil"/>
            </w:tcBorders>
            <w:vAlign w:val="center"/>
          </w:tcPr>
          <w:p w14:paraId="514F11BC">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（202</w:t>
            </w:r>
            <w:r>
              <w:rPr>
                <w:rFonts w:hint="eastAsia" w:ascii="Times New Roman" w:hAnsi="Times New Roman" w:eastAsia="宋体" w:cs="Times New Roman"/>
                <w:kern w:val="0"/>
                <w:sz w:val="21"/>
                <w:szCs w:val="21"/>
                <w:u w:val="none" w:color="auto"/>
              </w:rPr>
              <w:t>4</w:t>
            </w:r>
            <w:r>
              <w:rPr>
                <w:rFonts w:ascii="Times New Roman" w:hAnsi="Times New Roman" w:eastAsia="宋体" w:cs="Times New Roman"/>
                <w:kern w:val="0"/>
                <w:sz w:val="21"/>
                <w:szCs w:val="21"/>
                <w:u w:val="none" w:color="auto"/>
              </w:rPr>
              <w:t>）年</w:t>
            </w:r>
          </w:p>
        </w:tc>
      </w:tr>
      <w:tr w14:paraId="71F788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4185EF34">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69E80773">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环境空气质量现状调查数据来源</w:t>
            </w:r>
          </w:p>
        </w:tc>
        <w:tc>
          <w:tcPr>
            <w:tcW w:w="1215" w:type="pct"/>
            <w:gridSpan w:val="3"/>
            <w:tcBorders>
              <w:tl2br w:val="nil"/>
              <w:tr2bl w:val="nil"/>
            </w:tcBorders>
            <w:vAlign w:val="center"/>
          </w:tcPr>
          <w:p w14:paraId="0A7F51E6">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长期例行监测数据</w:t>
            </w:r>
            <w:r>
              <w:rPr>
                <w:rFonts w:ascii="Times New Roman" w:hAnsi="Times New Roman" w:eastAsia="宋体" w:cs="Times New Roman"/>
                <w:kern w:val="0"/>
                <w:sz w:val="21"/>
                <w:szCs w:val="21"/>
                <w:u w:val="none" w:color="auto"/>
              </w:rPr>
              <w:sym w:font="Wingdings" w:char="00A8"/>
            </w:r>
          </w:p>
        </w:tc>
        <w:tc>
          <w:tcPr>
            <w:tcW w:w="1178" w:type="pct"/>
            <w:gridSpan w:val="5"/>
            <w:tcBorders>
              <w:tl2br w:val="nil"/>
              <w:tr2bl w:val="nil"/>
            </w:tcBorders>
            <w:vAlign w:val="center"/>
          </w:tcPr>
          <w:p w14:paraId="43736CC2">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主管部门发布的数据</w:t>
            </w:r>
            <w:r>
              <w:rPr>
                <w:rFonts w:ascii="Times New Roman" w:hAnsi="Times New Roman" w:eastAsia="宋体" w:cs="Times New Roman"/>
                <w:kern w:val="0"/>
                <w:sz w:val="21"/>
                <w:szCs w:val="21"/>
                <w:u w:val="none" w:color="auto"/>
              </w:rPr>
              <w:sym w:font="Wingdings" w:char="00FE"/>
            </w:r>
          </w:p>
        </w:tc>
        <w:tc>
          <w:tcPr>
            <w:tcW w:w="1253" w:type="pct"/>
            <w:gridSpan w:val="4"/>
            <w:tcBorders>
              <w:tl2br w:val="nil"/>
              <w:tr2bl w:val="nil"/>
            </w:tcBorders>
            <w:vAlign w:val="center"/>
          </w:tcPr>
          <w:p w14:paraId="3FF3F302">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现状补充检测</w:t>
            </w:r>
            <w:r>
              <w:rPr>
                <w:rFonts w:ascii="Times New Roman" w:hAnsi="Times New Roman" w:eastAsia="宋体" w:cs="Times New Roman"/>
                <w:kern w:val="0"/>
                <w:sz w:val="21"/>
                <w:szCs w:val="21"/>
                <w:u w:val="none" w:color="auto"/>
              </w:rPr>
              <w:sym w:font="Wingdings" w:char="00FE"/>
            </w:r>
          </w:p>
        </w:tc>
      </w:tr>
      <w:tr w14:paraId="5F0AB6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1DBC8E7F">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6B12408A">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现状评价</w:t>
            </w:r>
          </w:p>
        </w:tc>
        <w:tc>
          <w:tcPr>
            <w:tcW w:w="1806" w:type="pct"/>
            <w:gridSpan w:val="5"/>
            <w:tcBorders>
              <w:tl2br w:val="nil"/>
              <w:tr2bl w:val="nil"/>
            </w:tcBorders>
            <w:vAlign w:val="center"/>
          </w:tcPr>
          <w:p w14:paraId="483317C1">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达标区</w:t>
            </w:r>
            <w:r>
              <w:rPr>
                <w:rFonts w:ascii="Times New Roman" w:hAnsi="Times New Roman" w:eastAsia="宋体" w:cs="Times New Roman"/>
                <w:kern w:val="0"/>
                <w:sz w:val="21"/>
                <w:szCs w:val="21"/>
                <w:u w:val="none" w:color="auto"/>
              </w:rPr>
              <w:sym w:font="Wingdings" w:char="00FE"/>
            </w:r>
          </w:p>
        </w:tc>
        <w:tc>
          <w:tcPr>
            <w:tcW w:w="1841" w:type="pct"/>
            <w:gridSpan w:val="7"/>
            <w:tcBorders>
              <w:tl2br w:val="nil"/>
              <w:tr2bl w:val="nil"/>
            </w:tcBorders>
            <w:vAlign w:val="center"/>
          </w:tcPr>
          <w:p w14:paraId="2AC5EBE6">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不达标区</w:t>
            </w:r>
            <w:r>
              <w:rPr>
                <w:rFonts w:ascii="Times New Roman" w:hAnsi="Times New Roman" w:eastAsia="宋体" w:cs="Times New Roman"/>
                <w:kern w:val="0"/>
                <w:sz w:val="21"/>
                <w:szCs w:val="21"/>
                <w:u w:val="none" w:color="auto"/>
              </w:rPr>
              <w:sym w:font="Wingdings" w:char="00A8"/>
            </w:r>
          </w:p>
        </w:tc>
      </w:tr>
      <w:tr w14:paraId="49DA87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tcBorders>
              <w:tl2br w:val="nil"/>
              <w:tr2bl w:val="nil"/>
            </w:tcBorders>
            <w:vAlign w:val="center"/>
          </w:tcPr>
          <w:p w14:paraId="76C44C35">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污染源调查</w:t>
            </w:r>
          </w:p>
        </w:tc>
        <w:tc>
          <w:tcPr>
            <w:tcW w:w="946" w:type="pct"/>
            <w:tcBorders>
              <w:tl2br w:val="nil"/>
              <w:tr2bl w:val="nil"/>
            </w:tcBorders>
            <w:vAlign w:val="center"/>
          </w:tcPr>
          <w:p w14:paraId="471920EB">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调查内容</w:t>
            </w:r>
          </w:p>
        </w:tc>
        <w:tc>
          <w:tcPr>
            <w:tcW w:w="929" w:type="pct"/>
            <w:gridSpan w:val="2"/>
            <w:tcBorders>
              <w:tl2br w:val="nil"/>
              <w:tr2bl w:val="nil"/>
            </w:tcBorders>
            <w:vAlign w:val="center"/>
          </w:tcPr>
          <w:p w14:paraId="2ED8B15D">
            <w:pPr>
              <w:widowControl/>
              <w:adjustRightInd w:val="0"/>
              <w:snapToGrid w:val="0"/>
              <w:jc w:val="right"/>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本项目正常排放源</w:t>
            </w:r>
            <w:r>
              <w:rPr>
                <w:rFonts w:ascii="Times New Roman" w:hAnsi="Times New Roman" w:eastAsia="宋体" w:cs="Times New Roman"/>
                <w:kern w:val="0"/>
                <w:sz w:val="21"/>
                <w:szCs w:val="21"/>
                <w:u w:val="none" w:color="auto"/>
              </w:rPr>
              <w:sym w:font="Wingdings" w:char="00FE"/>
            </w:r>
          </w:p>
          <w:p w14:paraId="422B55DB">
            <w:pPr>
              <w:widowControl/>
              <w:adjustRightInd w:val="0"/>
              <w:snapToGrid w:val="0"/>
              <w:jc w:val="right"/>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本项目非正常排放源</w:t>
            </w:r>
            <w:r>
              <w:rPr>
                <w:rFonts w:ascii="Times New Roman" w:hAnsi="Times New Roman" w:eastAsia="宋体" w:cs="Times New Roman"/>
                <w:kern w:val="0"/>
                <w:sz w:val="21"/>
                <w:szCs w:val="21"/>
                <w:u w:val="none" w:color="auto"/>
              </w:rPr>
              <w:sym w:font="Wingdings" w:char="00FE"/>
            </w:r>
          </w:p>
          <w:p w14:paraId="37722BBB">
            <w:pPr>
              <w:widowControl/>
              <w:adjustRightInd w:val="0"/>
              <w:snapToGrid w:val="0"/>
              <w:jc w:val="right"/>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现有污染源</w:t>
            </w:r>
            <w:r>
              <w:rPr>
                <w:rFonts w:ascii="Times New Roman" w:hAnsi="Times New Roman" w:eastAsia="宋体" w:cs="Times New Roman"/>
                <w:kern w:val="0"/>
                <w:sz w:val="21"/>
                <w:szCs w:val="21"/>
                <w:u w:val="none" w:color="auto"/>
              </w:rPr>
              <w:sym w:font="Wingdings" w:char="00A8"/>
            </w:r>
          </w:p>
        </w:tc>
        <w:tc>
          <w:tcPr>
            <w:tcW w:w="876" w:type="pct"/>
            <w:gridSpan w:val="3"/>
            <w:tcBorders>
              <w:tl2br w:val="nil"/>
              <w:tr2bl w:val="nil"/>
            </w:tcBorders>
            <w:vAlign w:val="center"/>
          </w:tcPr>
          <w:p w14:paraId="5EBD7FB8">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拟替代的污染源</w:t>
            </w:r>
            <w:r>
              <w:rPr>
                <w:rFonts w:ascii="Times New Roman" w:hAnsi="Times New Roman" w:eastAsia="宋体" w:cs="Times New Roman"/>
                <w:kern w:val="0"/>
                <w:sz w:val="21"/>
                <w:szCs w:val="21"/>
                <w:u w:val="none" w:color="auto"/>
              </w:rPr>
              <w:sym w:font="Wingdings" w:char="00A8"/>
            </w:r>
          </w:p>
        </w:tc>
        <w:tc>
          <w:tcPr>
            <w:tcW w:w="1188" w:type="pct"/>
            <w:gridSpan w:val="5"/>
            <w:tcBorders>
              <w:tl2br w:val="nil"/>
              <w:tr2bl w:val="nil"/>
            </w:tcBorders>
            <w:vAlign w:val="center"/>
          </w:tcPr>
          <w:p w14:paraId="55D510FA">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其他在建、拟建项目污染源</w:t>
            </w:r>
            <w:r>
              <w:rPr>
                <w:rFonts w:ascii="Times New Roman" w:hAnsi="Times New Roman" w:eastAsia="宋体" w:cs="Times New Roman"/>
                <w:kern w:val="0"/>
                <w:sz w:val="21"/>
                <w:szCs w:val="21"/>
                <w:u w:val="none" w:color="auto"/>
              </w:rPr>
              <w:sym w:font="Wingdings" w:char="00A8"/>
            </w:r>
          </w:p>
        </w:tc>
        <w:tc>
          <w:tcPr>
            <w:tcW w:w="653" w:type="pct"/>
            <w:gridSpan w:val="2"/>
            <w:tcBorders>
              <w:tl2br w:val="nil"/>
              <w:tr2bl w:val="nil"/>
            </w:tcBorders>
            <w:vAlign w:val="center"/>
          </w:tcPr>
          <w:p w14:paraId="2F07C5B5">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区域污染源</w:t>
            </w:r>
            <w:r>
              <w:rPr>
                <w:rFonts w:ascii="Times New Roman" w:hAnsi="Times New Roman" w:eastAsia="宋体" w:cs="Times New Roman"/>
                <w:kern w:val="0"/>
                <w:sz w:val="21"/>
                <w:szCs w:val="21"/>
                <w:u w:val="none" w:color="auto"/>
              </w:rPr>
              <w:sym w:font="Wingdings" w:char="00A8"/>
            </w:r>
          </w:p>
        </w:tc>
      </w:tr>
      <w:tr w14:paraId="2CFD37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restart"/>
            <w:tcBorders>
              <w:tl2br w:val="nil"/>
              <w:tr2bl w:val="nil"/>
            </w:tcBorders>
            <w:vAlign w:val="center"/>
          </w:tcPr>
          <w:p w14:paraId="7D348834">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大气环境影响预测与评价</w:t>
            </w:r>
          </w:p>
        </w:tc>
        <w:tc>
          <w:tcPr>
            <w:tcW w:w="946" w:type="pct"/>
            <w:tcBorders>
              <w:tl2br w:val="nil"/>
              <w:tr2bl w:val="nil"/>
            </w:tcBorders>
            <w:vAlign w:val="center"/>
          </w:tcPr>
          <w:p w14:paraId="2AE5FC24">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预测模型</w:t>
            </w:r>
          </w:p>
        </w:tc>
        <w:tc>
          <w:tcPr>
            <w:tcW w:w="523" w:type="pct"/>
            <w:tcBorders>
              <w:tl2br w:val="nil"/>
              <w:tr2bl w:val="nil"/>
            </w:tcBorders>
            <w:vAlign w:val="center"/>
          </w:tcPr>
          <w:p w14:paraId="26A801F0">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AERMOD</w:t>
            </w:r>
            <w:r>
              <w:rPr>
                <w:rFonts w:ascii="Times New Roman" w:hAnsi="Times New Roman" w:eastAsia="宋体" w:cs="Times New Roman"/>
                <w:kern w:val="0"/>
                <w:sz w:val="21"/>
                <w:szCs w:val="21"/>
                <w:u w:val="none" w:color="auto"/>
              </w:rPr>
              <w:sym w:font="Wingdings" w:char="00FE"/>
            </w:r>
          </w:p>
        </w:tc>
        <w:tc>
          <w:tcPr>
            <w:tcW w:w="405" w:type="pct"/>
            <w:tcBorders>
              <w:tl2br w:val="nil"/>
              <w:tr2bl w:val="nil"/>
            </w:tcBorders>
            <w:vAlign w:val="center"/>
          </w:tcPr>
          <w:p w14:paraId="2BD5EFEB">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ADMS</w:t>
            </w:r>
            <w:r>
              <w:rPr>
                <w:rFonts w:ascii="Times New Roman" w:hAnsi="Times New Roman" w:eastAsia="宋体" w:cs="Times New Roman"/>
                <w:kern w:val="0"/>
                <w:sz w:val="21"/>
                <w:szCs w:val="21"/>
                <w:u w:val="none" w:color="auto"/>
              </w:rPr>
              <w:sym w:font="Wingdings" w:char="00A8"/>
            </w:r>
          </w:p>
        </w:tc>
        <w:tc>
          <w:tcPr>
            <w:tcW w:w="664" w:type="pct"/>
            <w:gridSpan w:val="2"/>
            <w:tcBorders>
              <w:tl2br w:val="nil"/>
              <w:tr2bl w:val="nil"/>
            </w:tcBorders>
            <w:vAlign w:val="center"/>
          </w:tcPr>
          <w:p w14:paraId="4CA42043">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AUSTAL2000</w:t>
            </w:r>
            <w:r>
              <w:rPr>
                <w:rFonts w:ascii="Times New Roman" w:hAnsi="Times New Roman" w:eastAsia="宋体" w:cs="Times New Roman"/>
                <w:kern w:val="0"/>
                <w:sz w:val="21"/>
                <w:szCs w:val="21"/>
                <w:u w:val="none" w:color="auto"/>
              </w:rPr>
              <w:sym w:font="Wingdings" w:char="00A8"/>
            </w:r>
          </w:p>
        </w:tc>
        <w:tc>
          <w:tcPr>
            <w:tcW w:w="641" w:type="pct"/>
            <w:gridSpan w:val="3"/>
            <w:tcBorders>
              <w:tl2br w:val="nil"/>
              <w:tr2bl w:val="nil"/>
            </w:tcBorders>
            <w:vAlign w:val="center"/>
          </w:tcPr>
          <w:p w14:paraId="1B76072F">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EDMS/AEDT</w:t>
            </w:r>
            <w:r>
              <w:rPr>
                <w:rFonts w:ascii="Times New Roman" w:hAnsi="Times New Roman" w:eastAsia="宋体" w:cs="Times New Roman"/>
                <w:kern w:val="0"/>
                <w:sz w:val="21"/>
                <w:szCs w:val="21"/>
                <w:u w:val="none" w:color="auto"/>
              </w:rPr>
              <w:sym w:font="Wingdings" w:char="00A8"/>
            </w:r>
          </w:p>
        </w:tc>
        <w:tc>
          <w:tcPr>
            <w:tcW w:w="759" w:type="pct"/>
            <w:gridSpan w:val="3"/>
            <w:tcBorders>
              <w:tl2br w:val="nil"/>
              <w:tr2bl w:val="nil"/>
            </w:tcBorders>
            <w:vAlign w:val="center"/>
          </w:tcPr>
          <w:p w14:paraId="67CBF0AD">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CALPUFF</w:t>
            </w:r>
            <w:r>
              <w:rPr>
                <w:rFonts w:ascii="Times New Roman" w:hAnsi="Times New Roman" w:eastAsia="宋体" w:cs="Times New Roman"/>
                <w:kern w:val="0"/>
                <w:sz w:val="21"/>
                <w:szCs w:val="21"/>
                <w:u w:val="none" w:color="auto"/>
              </w:rPr>
              <w:sym w:font="Wingdings" w:char="00A8"/>
            </w:r>
          </w:p>
        </w:tc>
        <w:tc>
          <w:tcPr>
            <w:tcW w:w="282" w:type="pct"/>
            <w:tcBorders>
              <w:tl2br w:val="nil"/>
              <w:tr2bl w:val="nil"/>
            </w:tcBorders>
            <w:vAlign w:val="center"/>
          </w:tcPr>
          <w:p w14:paraId="186BA466">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网格模型</w:t>
            </w:r>
            <w:r>
              <w:rPr>
                <w:rFonts w:ascii="Times New Roman" w:hAnsi="Times New Roman" w:eastAsia="宋体" w:cs="Times New Roman"/>
                <w:kern w:val="0"/>
                <w:sz w:val="21"/>
                <w:szCs w:val="21"/>
                <w:u w:val="none" w:color="auto"/>
              </w:rPr>
              <w:sym w:font="Wingdings" w:char="00A8"/>
            </w:r>
          </w:p>
        </w:tc>
        <w:tc>
          <w:tcPr>
            <w:tcW w:w="370" w:type="pct"/>
            <w:tcBorders>
              <w:tl2br w:val="nil"/>
              <w:tr2bl w:val="nil"/>
            </w:tcBorders>
            <w:vAlign w:val="center"/>
          </w:tcPr>
          <w:p w14:paraId="27509217">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其他</w:t>
            </w:r>
            <w:r>
              <w:rPr>
                <w:rFonts w:ascii="Times New Roman" w:hAnsi="Times New Roman" w:eastAsia="宋体" w:cs="Times New Roman"/>
                <w:kern w:val="0"/>
                <w:sz w:val="21"/>
                <w:szCs w:val="21"/>
                <w:u w:val="none" w:color="auto"/>
              </w:rPr>
              <w:sym w:font="Wingdings" w:char="00A8"/>
            </w:r>
          </w:p>
        </w:tc>
      </w:tr>
      <w:tr w14:paraId="53B026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3529AD15">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7F83AD1D">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预测范围</w:t>
            </w:r>
          </w:p>
        </w:tc>
        <w:tc>
          <w:tcPr>
            <w:tcW w:w="1215" w:type="pct"/>
            <w:gridSpan w:val="3"/>
            <w:tcBorders>
              <w:tl2br w:val="nil"/>
              <w:tr2bl w:val="nil"/>
            </w:tcBorders>
            <w:vAlign w:val="center"/>
          </w:tcPr>
          <w:p w14:paraId="6353122A">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边长≥50km</w:t>
            </w:r>
            <w:r>
              <w:rPr>
                <w:rFonts w:ascii="Times New Roman" w:hAnsi="Times New Roman" w:eastAsia="宋体" w:cs="Times New Roman"/>
                <w:kern w:val="0"/>
                <w:sz w:val="21"/>
                <w:szCs w:val="21"/>
                <w:u w:val="none" w:color="auto"/>
              </w:rPr>
              <w:sym w:font="Wingdings" w:char="00A8"/>
            </w:r>
          </w:p>
        </w:tc>
        <w:tc>
          <w:tcPr>
            <w:tcW w:w="1178" w:type="pct"/>
            <w:gridSpan w:val="5"/>
            <w:tcBorders>
              <w:tl2br w:val="nil"/>
              <w:tr2bl w:val="nil"/>
            </w:tcBorders>
            <w:vAlign w:val="center"/>
          </w:tcPr>
          <w:p w14:paraId="2EEDBE73">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边长=5~50km</w:t>
            </w:r>
            <w:r>
              <w:rPr>
                <w:rFonts w:ascii="Times New Roman" w:hAnsi="Times New Roman" w:eastAsia="宋体" w:cs="Times New Roman"/>
                <w:kern w:val="0"/>
                <w:sz w:val="21"/>
                <w:szCs w:val="21"/>
                <w:u w:val="none" w:color="auto"/>
              </w:rPr>
              <w:sym w:font="Wingdings" w:char="00A8"/>
            </w:r>
          </w:p>
        </w:tc>
        <w:tc>
          <w:tcPr>
            <w:tcW w:w="1253" w:type="pct"/>
            <w:gridSpan w:val="4"/>
            <w:tcBorders>
              <w:tl2br w:val="nil"/>
              <w:tr2bl w:val="nil"/>
            </w:tcBorders>
            <w:vAlign w:val="center"/>
          </w:tcPr>
          <w:p w14:paraId="46027751">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边长=5km</w:t>
            </w:r>
            <w:r>
              <w:rPr>
                <w:rFonts w:ascii="Times New Roman" w:hAnsi="Times New Roman" w:eastAsia="宋体" w:cs="Times New Roman"/>
                <w:kern w:val="0"/>
                <w:sz w:val="21"/>
                <w:szCs w:val="21"/>
                <w:u w:val="none" w:color="auto"/>
              </w:rPr>
              <w:sym w:font="Wingdings" w:char="00FE"/>
            </w:r>
          </w:p>
        </w:tc>
      </w:tr>
      <w:tr w14:paraId="4D457A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0CDE668E">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19443C4A">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预测因子</w:t>
            </w:r>
          </w:p>
        </w:tc>
        <w:tc>
          <w:tcPr>
            <w:tcW w:w="2394" w:type="pct"/>
            <w:gridSpan w:val="8"/>
            <w:tcBorders>
              <w:tl2br w:val="nil"/>
              <w:tr2bl w:val="nil"/>
            </w:tcBorders>
            <w:vAlign w:val="center"/>
          </w:tcPr>
          <w:p w14:paraId="0F0BAF7C">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预测因子（氨、硫化氢、非甲烷总烃）</w:t>
            </w:r>
          </w:p>
        </w:tc>
        <w:tc>
          <w:tcPr>
            <w:tcW w:w="1253" w:type="pct"/>
            <w:gridSpan w:val="4"/>
            <w:tcBorders>
              <w:tl2br w:val="nil"/>
              <w:tr2bl w:val="nil"/>
            </w:tcBorders>
            <w:vAlign w:val="center"/>
          </w:tcPr>
          <w:p w14:paraId="6ED54338">
            <w:pPr>
              <w:keepNext w:val="0"/>
              <w:keepLines w:val="0"/>
              <w:pageBreakBefore w:val="0"/>
              <w:widowControl/>
              <w:kinsoku/>
              <w:wordWrap/>
              <w:overflowPunct/>
              <w:topLinePunct w:val="0"/>
              <w:autoSpaceDE/>
              <w:autoSpaceDN/>
              <w:bidi w:val="0"/>
              <w:adjustRightInd w:val="0"/>
              <w:snapToGrid w:val="0"/>
              <w:ind w:left="480" w:leftChars="200" w:right="480" w:rightChars="200"/>
              <w:jc w:val="right"/>
              <w:textAlignment w:val="auto"/>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包括二次PM</w:t>
            </w:r>
            <w:r>
              <w:rPr>
                <w:rFonts w:ascii="Times New Roman" w:hAnsi="Times New Roman" w:eastAsia="宋体" w:cs="Times New Roman"/>
                <w:kern w:val="0"/>
                <w:sz w:val="21"/>
                <w:szCs w:val="21"/>
                <w:u w:val="none" w:color="auto"/>
                <w:vertAlign w:val="subscript"/>
              </w:rPr>
              <w:t>2.5</w:t>
            </w:r>
            <w:r>
              <w:rPr>
                <w:rFonts w:ascii="Times New Roman" w:hAnsi="Times New Roman" w:eastAsia="宋体" w:cs="Times New Roman"/>
                <w:kern w:val="0"/>
                <w:sz w:val="21"/>
                <w:szCs w:val="21"/>
                <w:u w:val="none" w:color="auto"/>
              </w:rPr>
              <w:sym w:font="Wingdings" w:char="00A8"/>
            </w:r>
          </w:p>
          <w:p w14:paraId="4FD21FB6">
            <w:pPr>
              <w:keepNext w:val="0"/>
              <w:keepLines w:val="0"/>
              <w:pageBreakBefore w:val="0"/>
              <w:widowControl/>
              <w:kinsoku/>
              <w:wordWrap/>
              <w:overflowPunct/>
              <w:topLinePunct w:val="0"/>
              <w:autoSpaceDE/>
              <w:autoSpaceDN/>
              <w:bidi w:val="0"/>
              <w:adjustRightInd w:val="0"/>
              <w:snapToGrid w:val="0"/>
              <w:ind w:left="480" w:leftChars="200" w:right="480" w:rightChars="200"/>
              <w:jc w:val="right"/>
              <w:textAlignment w:val="auto"/>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不包括二次PM</w:t>
            </w:r>
            <w:r>
              <w:rPr>
                <w:rFonts w:ascii="Times New Roman" w:hAnsi="Times New Roman" w:eastAsia="宋体" w:cs="Times New Roman"/>
                <w:kern w:val="0"/>
                <w:sz w:val="21"/>
                <w:szCs w:val="21"/>
                <w:u w:val="none" w:color="auto"/>
                <w:vertAlign w:val="subscript"/>
              </w:rPr>
              <w:t>2.5</w:t>
            </w:r>
            <w:r>
              <w:rPr>
                <w:rFonts w:ascii="Times New Roman" w:hAnsi="Times New Roman" w:eastAsia="宋体" w:cs="Times New Roman"/>
                <w:kern w:val="0"/>
                <w:sz w:val="21"/>
                <w:szCs w:val="21"/>
                <w:u w:val="none" w:color="auto"/>
              </w:rPr>
              <w:sym w:font="Wingdings" w:char="00FE"/>
            </w:r>
          </w:p>
        </w:tc>
      </w:tr>
      <w:tr w14:paraId="60E73D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11CBA189">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6B260811">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正常排放短期浓度贡献值</w:t>
            </w:r>
          </w:p>
        </w:tc>
        <w:tc>
          <w:tcPr>
            <w:tcW w:w="2394" w:type="pct"/>
            <w:gridSpan w:val="8"/>
            <w:tcBorders>
              <w:tl2br w:val="nil"/>
              <w:tr2bl w:val="nil"/>
            </w:tcBorders>
            <w:vAlign w:val="center"/>
          </w:tcPr>
          <w:p w14:paraId="22F627B1">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C本项目最大占标率≤100%</w:t>
            </w:r>
            <w:r>
              <w:rPr>
                <w:rFonts w:ascii="Times New Roman" w:hAnsi="Times New Roman" w:eastAsia="宋体" w:cs="Times New Roman"/>
                <w:kern w:val="0"/>
                <w:sz w:val="21"/>
                <w:szCs w:val="21"/>
                <w:u w:val="none" w:color="auto"/>
              </w:rPr>
              <w:sym w:font="Wingdings" w:char="00FE"/>
            </w:r>
          </w:p>
        </w:tc>
        <w:tc>
          <w:tcPr>
            <w:tcW w:w="1253" w:type="pct"/>
            <w:gridSpan w:val="4"/>
            <w:tcBorders>
              <w:tl2br w:val="nil"/>
              <w:tr2bl w:val="nil"/>
            </w:tcBorders>
            <w:vAlign w:val="center"/>
          </w:tcPr>
          <w:p w14:paraId="6FD8D477">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C本项目最大占标率&gt;100%</w:t>
            </w:r>
            <w:r>
              <w:rPr>
                <w:rFonts w:ascii="Times New Roman" w:hAnsi="Times New Roman" w:eastAsia="宋体" w:cs="Times New Roman"/>
                <w:kern w:val="0"/>
                <w:sz w:val="21"/>
                <w:szCs w:val="21"/>
                <w:u w:val="none" w:color="auto"/>
              </w:rPr>
              <w:sym w:font="Wingdings" w:char="00A8"/>
            </w:r>
          </w:p>
        </w:tc>
      </w:tr>
      <w:tr w14:paraId="03CEB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011AD560">
            <w:pPr>
              <w:widowControl/>
              <w:adjustRightInd w:val="0"/>
              <w:snapToGrid w:val="0"/>
              <w:jc w:val="left"/>
              <w:rPr>
                <w:rFonts w:ascii="Times New Roman" w:hAnsi="Times New Roman" w:eastAsia="宋体" w:cs="Times New Roman"/>
                <w:kern w:val="0"/>
                <w:sz w:val="21"/>
                <w:szCs w:val="21"/>
                <w:u w:val="none" w:color="auto"/>
              </w:rPr>
            </w:pPr>
          </w:p>
        </w:tc>
        <w:tc>
          <w:tcPr>
            <w:tcW w:w="946" w:type="pct"/>
            <w:vMerge w:val="restart"/>
            <w:tcBorders>
              <w:tl2br w:val="nil"/>
              <w:tr2bl w:val="nil"/>
            </w:tcBorders>
            <w:vAlign w:val="center"/>
          </w:tcPr>
          <w:p w14:paraId="4F5E32AF">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正常排放年均浓度贡献值</w:t>
            </w:r>
          </w:p>
        </w:tc>
        <w:tc>
          <w:tcPr>
            <w:tcW w:w="929" w:type="pct"/>
            <w:gridSpan w:val="2"/>
            <w:tcBorders>
              <w:tl2br w:val="nil"/>
              <w:tr2bl w:val="nil"/>
            </w:tcBorders>
            <w:vAlign w:val="center"/>
          </w:tcPr>
          <w:p w14:paraId="178A23DE">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一类区</w:t>
            </w:r>
          </w:p>
        </w:tc>
        <w:tc>
          <w:tcPr>
            <w:tcW w:w="1465" w:type="pct"/>
            <w:gridSpan w:val="6"/>
            <w:tcBorders>
              <w:tl2br w:val="nil"/>
              <w:tr2bl w:val="nil"/>
            </w:tcBorders>
            <w:vAlign w:val="center"/>
          </w:tcPr>
          <w:p w14:paraId="6089BADD">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C</w:t>
            </w:r>
            <w:r>
              <w:rPr>
                <w:rFonts w:ascii="Times New Roman" w:hAnsi="Times New Roman" w:eastAsia="宋体" w:cs="Times New Roman"/>
                <w:kern w:val="0"/>
                <w:sz w:val="21"/>
                <w:szCs w:val="21"/>
                <w:u w:val="none" w:color="auto"/>
                <w:vertAlign w:val="subscript"/>
              </w:rPr>
              <w:t>本项目</w:t>
            </w:r>
            <w:r>
              <w:rPr>
                <w:rFonts w:ascii="Times New Roman" w:hAnsi="Times New Roman" w:eastAsia="宋体" w:cs="Times New Roman"/>
                <w:kern w:val="0"/>
                <w:sz w:val="21"/>
                <w:szCs w:val="21"/>
                <w:u w:val="none" w:color="auto"/>
              </w:rPr>
              <w:t>最大占标率≤10%</w:t>
            </w:r>
            <w:r>
              <w:rPr>
                <w:rFonts w:ascii="Times New Roman" w:hAnsi="Times New Roman" w:eastAsia="宋体" w:cs="Times New Roman"/>
                <w:kern w:val="0"/>
                <w:sz w:val="21"/>
                <w:szCs w:val="21"/>
                <w:u w:val="none" w:color="auto"/>
              </w:rPr>
              <w:sym w:font="Wingdings" w:char="00A8"/>
            </w:r>
          </w:p>
        </w:tc>
        <w:tc>
          <w:tcPr>
            <w:tcW w:w="1253" w:type="pct"/>
            <w:gridSpan w:val="4"/>
            <w:tcBorders>
              <w:tl2br w:val="nil"/>
              <w:tr2bl w:val="nil"/>
            </w:tcBorders>
            <w:vAlign w:val="center"/>
          </w:tcPr>
          <w:p w14:paraId="5011743E">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C</w:t>
            </w:r>
            <w:r>
              <w:rPr>
                <w:rFonts w:ascii="Times New Roman" w:hAnsi="Times New Roman" w:eastAsia="宋体" w:cs="Times New Roman"/>
                <w:kern w:val="0"/>
                <w:sz w:val="21"/>
                <w:szCs w:val="21"/>
                <w:u w:val="none" w:color="auto"/>
                <w:vertAlign w:val="subscript"/>
              </w:rPr>
              <w:t>本项目</w:t>
            </w:r>
            <w:r>
              <w:rPr>
                <w:rFonts w:ascii="Times New Roman" w:hAnsi="Times New Roman" w:eastAsia="宋体" w:cs="Times New Roman"/>
                <w:kern w:val="0"/>
                <w:sz w:val="21"/>
                <w:szCs w:val="21"/>
                <w:u w:val="none" w:color="auto"/>
              </w:rPr>
              <w:t>最大占标率&gt;10%</w:t>
            </w:r>
            <w:r>
              <w:rPr>
                <w:rFonts w:ascii="Times New Roman" w:hAnsi="Times New Roman" w:eastAsia="宋体" w:cs="Times New Roman"/>
                <w:kern w:val="0"/>
                <w:sz w:val="21"/>
                <w:szCs w:val="21"/>
                <w:u w:val="none" w:color="auto"/>
              </w:rPr>
              <w:sym w:font="Wingdings" w:char="00A8"/>
            </w:r>
          </w:p>
        </w:tc>
      </w:tr>
      <w:tr w14:paraId="60E96E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09D0ACAF">
            <w:pPr>
              <w:widowControl/>
              <w:adjustRightInd w:val="0"/>
              <w:snapToGrid w:val="0"/>
              <w:jc w:val="left"/>
              <w:rPr>
                <w:rFonts w:ascii="Times New Roman" w:hAnsi="Times New Roman" w:eastAsia="宋体" w:cs="Times New Roman"/>
                <w:kern w:val="0"/>
                <w:sz w:val="21"/>
                <w:szCs w:val="21"/>
                <w:u w:val="none" w:color="auto"/>
              </w:rPr>
            </w:pPr>
          </w:p>
        </w:tc>
        <w:tc>
          <w:tcPr>
            <w:tcW w:w="946" w:type="pct"/>
            <w:vMerge w:val="continue"/>
            <w:tcBorders>
              <w:tl2br w:val="nil"/>
              <w:tr2bl w:val="nil"/>
            </w:tcBorders>
            <w:vAlign w:val="center"/>
          </w:tcPr>
          <w:p w14:paraId="3FB75540">
            <w:pPr>
              <w:widowControl/>
              <w:adjustRightInd w:val="0"/>
              <w:snapToGrid w:val="0"/>
              <w:jc w:val="left"/>
              <w:rPr>
                <w:rFonts w:ascii="Times New Roman" w:hAnsi="Times New Roman" w:eastAsia="宋体" w:cs="Times New Roman"/>
                <w:kern w:val="0"/>
                <w:sz w:val="21"/>
                <w:szCs w:val="21"/>
                <w:u w:val="none" w:color="auto"/>
              </w:rPr>
            </w:pPr>
          </w:p>
        </w:tc>
        <w:tc>
          <w:tcPr>
            <w:tcW w:w="929" w:type="pct"/>
            <w:gridSpan w:val="2"/>
            <w:tcBorders>
              <w:tl2br w:val="nil"/>
              <w:tr2bl w:val="nil"/>
            </w:tcBorders>
            <w:vAlign w:val="center"/>
          </w:tcPr>
          <w:p w14:paraId="6E52BF06">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二类区</w:t>
            </w:r>
          </w:p>
        </w:tc>
        <w:tc>
          <w:tcPr>
            <w:tcW w:w="1465" w:type="pct"/>
            <w:gridSpan w:val="6"/>
            <w:tcBorders>
              <w:tl2br w:val="nil"/>
              <w:tr2bl w:val="nil"/>
            </w:tcBorders>
            <w:vAlign w:val="center"/>
          </w:tcPr>
          <w:p w14:paraId="004FC49B">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C</w:t>
            </w:r>
            <w:r>
              <w:rPr>
                <w:rFonts w:ascii="Times New Roman" w:hAnsi="Times New Roman" w:eastAsia="宋体" w:cs="Times New Roman"/>
                <w:kern w:val="0"/>
                <w:sz w:val="21"/>
                <w:szCs w:val="21"/>
                <w:u w:val="none" w:color="auto"/>
                <w:vertAlign w:val="subscript"/>
              </w:rPr>
              <w:t>本项目</w:t>
            </w:r>
            <w:r>
              <w:rPr>
                <w:rFonts w:ascii="Times New Roman" w:hAnsi="Times New Roman" w:eastAsia="宋体" w:cs="Times New Roman"/>
                <w:kern w:val="0"/>
                <w:sz w:val="21"/>
                <w:szCs w:val="21"/>
                <w:u w:val="none" w:color="auto"/>
              </w:rPr>
              <w:t>最大占标率≤30%</w:t>
            </w:r>
            <w:r>
              <w:rPr>
                <w:rFonts w:ascii="Times New Roman" w:hAnsi="Times New Roman" w:eastAsia="宋体" w:cs="Times New Roman"/>
                <w:kern w:val="0"/>
                <w:sz w:val="21"/>
                <w:szCs w:val="21"/>
                <w:u w:val="none" w:color="auto"/>
              </w:rPr>
              <w:sym w:font="Wingdings" w:char="00A8"/>
            </w:r>
          </w:p>
        </w:tc>
        <w:tc>
          <w:tcPr>
            <w:tcW w:w="1253" w:type="pct"/>
            <w:gridSpan w:val="4"/>
            <w:tcBorders>
              <w:tl2br w:val="nil"/>
              <w:tr2bl w:val="nil"/>
            </w:tcBorders>
            <w:vAlign w:val="center"/>
          </w:tcPr>
          <w:p w14:paraId="4D25791C">
            <w:pPr>
              <w:widowControl/>
              <w:adjustRightInd w:val="0"/>
              <w:snapToGrid w:val="0"/>
              <w:jc w:val="center"/>
              <w:rPr>
                <w:rFonts w:hint="eastAsia" w:ascii="Times New Roman" w:hAnsi="Times New Roman" w:eastAsia="宋体" w:cs="Times New Roman"/>
                <w:kern w:val="0"/>
                <w:sz w:val="21"/>
                <w:szCs w:val="21"/>
                <w:u w:val="none" w:color="auto"/>
                <w:lang w:eastAsia="zh-CN"/>
              </w:rPr>
            </w:pPr>
            <w:r>
              <w:rPr>
                <w:rFonts w:ascii="Times New Roman" w:hAnsi="Times New Roman" w:eastAsia="宋体" w:cs="Times New Roman"/>
                <w:kern w:val="0"/>
                <w:sz w:val="21"/>
                <w:szCs w:val="21"/>
                <w:u w:val="none" w:color="auto"/>
              </w:rPr>
              <w:t>C</w:t>
            </w:r>
            <w:r>
              <w:rPr>
                <w:rFonts w:ascii="Times New Roman" w:hAnsi="Times New Roman" w:eastAsia="宋体" w:cs="Times New Roman"/>
                <w:kern w:val="0"/>
                <w:sz w:val="21"/>
                <w:szCs w:val="21"/>
                <w:u w:val="none" w:color="auto"/>
                <w:vertAlign w:val="subscript"/>
              </w:rPr>
              <w:t>本项目</w:t>
            </w:r>
            <w:r>
              <w:rPr>
                <w:rFonts w:ascii="Times New Roman" w:hAnsi="Times New Roman" w:eastAsia="宋体" w:cs="Times New Roman"/>
                <w:kern w:val="0"/>
                <w:sz w:val="21"/>
                <w:szCs w:val="21"/>
                <w:u w:val="none" w:color="auto"/>
              </w:rPr>
              <w:t>最大占标率&gt;30%</w:t>
            </w:r>
            <w:r>
              <w:rPr>
                <w:rFonts w:ascii="Times New Roman" w:hAnsi="Times New Roman" w:eastAsia="宋体" w:cs="Times New Roman"/>
                <w:kern w:val="0"/>
                <w:sz w:val="21"/>
                <w:szCs w:val="21"/>
                <w:u w:val="none" w:color="auto"/>
              </w:rPr>
              <w:sym w:font="Wingdings" w:char="00A8"/>
            </w:r>
          </w:p>
        </w:tc>
      </w:tr>
      <w:tr w14:paraId="085E6E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7B90E2F6">
            <w:pPr>
              <w:widowControl/>
              <w:adjustRightInd w:val="0"/>
              <w:snapToGrid w:val="0"/>
              <w:jc w:val="left"/>
              <w:rPr>
                <w:rFonts w:ascii="Times New Roman" w:hAnsi="Times New Roman" w:eastAsia="宋体" w:cs="Times New Roman"/>
                <w:kern w:val="0"/>
                <w:sz w:val="21"/>
                <w:szCs w:val="21"/>
                <w:u w:val="none" w:color="auto"/>
              </w:rPr>
            </w:pPr>
          </w:p>
        </w:tc>
        <w:tc>
          <w:tcPr>
            <w:tcW w:w="946" w:type="pct"/>
            <w:vMerge w:val="restart"/>
            <w:tcBorders>
              <w:tl2br w:val="nil"/>
              <w:tr2bl w:val="nil"/>
            </w:tcBorders>
            <w:vAlign w:val="center"/>
          </w:tcPr>
          <w:p w14:paraId="5E38D81D">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非正常1h浓度贡献值</w:t>
            </w:r>
          </w:p>
        </w:tc>
        <w:tc>
          <w:tcPr>
            <w:tcW w:w="929" w:type="pct"/>
            <w:gridSpan w:val="2"/>
            <w:tcBorders>
              <w:tl2br w:val="nil"/>
              <w:tr2bl w:val="nil"/>
            </w:tcBorders>
            <w:vAlign w:val="center"/>
          </w:tcPr>
          <w:p w14:paraId="6E06A906">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非正常持续时长</w:t>
            </w:r>
          </w:p>
        </w:tc>
        <w:tc>
          <w:tcPr>
            <w:tcW w:w="1465" w:type="pct"/>
            <w:gridSpan w:val="6"/>
            <w:vMerge w:val="restart"/>
            <w:tcBorders>
              <w:tl2br w:val="nil"/>
              <w:tr2bl w:val="nil"/>
            </w:tcBorders>
            <w:vAlign w:val="center"/>
          </w:tcPr>
          <w:p w14:paraId="08EE0681">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C</w:t>
            </w:r>
            <w:r>
              <w:rPr>
                <w:rFonts w:ascii="Times New Roman" w:hAnsi="Times New Roman" w:eastAsia="宋体" w:cs="Times New Roman"/>
                <w:kern w:val="0"/>
                <w:sz w:val="21"/>
                <w:szCs w:val="21"/>
                <w:u w:val="none" w:color="auto"/>
                <w:vertAlign w:val="subscript"/>
              </w:rPr>
              <w:t>非正常</w:t>
            </w:r>
            <w:r>
              <w:rPr>
                <w:rFonts w:ascii="Times New Roman" w:hAnsi="Times New Roman" w:eastAsia="宋体" w:cs="Times New Roman"/>
                <w:kern w:val="0"/>
                <w:sz w:val="21"/>
                <w:szCs w:val="21"/>
                <w:u w:val="none" w:color="auto"/>
              </w:rPr>
              <w:t>占标率≤100%</w:t>
            </w:r>
            <w:r>
              <w:rPr>
                <w:rFonts w:ascii="Times New Roman" w:hAnsi="Times New Roman" w:eastAsia="宋体" w:cs="Times New Roman"/>
                <w:kern w:val="0"/>
                <w:sz w:val="21"/>
                <w:szCs w:val="21"/>
                <w:u w:val="none" w:color="auto"/>
              </w:rPr>
              <w:sym w:font="Wingdings" w:char="00A8"/>
            </w:r>
          </w:p>
        </w:tc>
        <w:tc>
          <w:tcPr>
            <w:tcW w:w="1253" w:type="pct"/>
            <w:gridSpan w:val="4"/>
            <w:vMerge w:val="restart"/>
            <w:tcBorders>
              <w:tl2br w:val="nil"/>
              <w:tr2bl w:val="nil"/>
            </w:tcBorders>
            <w:vAlign w:val="center"/>
          </w:tcPr>
          <w:p w14:paraId="39A24DF1">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C</w:t>
            </w:r>
            <w:r>
              <w:rPr>
                <w:rFonts w:ascii="Times New Roman" w:hAnsi="Times New Roman" w:eastAsia="宋体" w:cs="Times New Roman"/>
                <w:kern w:val="0"/>
                <w:sz w:val="21"/>
                <w:szCs w:val="21"/>
                <w:u w:val="none" w:color="auto"/>
                <w:vertAlign w:val="subscript"/>
              </w:rPr>
              <w:t>非正常</w:t>
            </w:r>
            <w:r>
              <w:rPr>
                <w:rFonts w:ascii="Times New Roman" w:hAnsi="Times New Roman" w:eastAsia="宋体" w:cs="Times New Roman"/>
                <w:kern w:val="0"/>
                <w:sz w:val="21"/>
                <w:szCs w:val="21"/>
                <w:u w:val="none" w:color="auto"/>
              </w:rPr>
              <w:t>占标率&gt;100%</w:t>
            </w:r>
            <w:r>
              <w:rPr>
                <w:rFonts w:ascii="Times New Roman" w:hAnsi="Times New Roman" w:eastAsia="宋体" w:cs="Times New Roman"/>
                <w:kern w:val="0"/>
                <w:sz w:val="21"/>
                <w:szCs w:val="21"/>
                <w:u w:val="none" w:color="auto"/>
              </w:rPr>
              <w:sym w:font="Wingdings" w:char="00A8"/>
            </w:r>
          </w:p>
        </w:tc>
      </w:tr>
      <w:tr w14:paraId="260A91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6309F8F6">
            <w:pPr>
              <w:widowControl/>
              <w:adjustRightInd w:val="0"/>
              <w:snapToGrid w:val="0"/>
              <w:jc w:val="left"/>
              <w:rPr>
                <w:rFonts w:ascii="Times New Roman" w:hAnsi="Times New Roman" w:eastAsia="宋体" w:cs="Times New Roman"/>
                <w:kern w:val="0"/>
                <w:sz w:val="21"/>
                <w:szCs w:val="21"/>
                <w:u w:val="none" w:color="auto"/>
              </w:rPr>
            </w:pPr>
          </w:p>
        </w:tc>
        <w:tc>
          <w:tcPr>
            <w:tcW w:w="946" w:type="pct"/>
            <w:vMerge w:val="continue"/>
            <w:tcBorders>
              <w:tl2br w:val="nil"/>
              <w:tr2bl w:val="nil"/>
            </w:tcBorders>
            <w:vAlign w:val="center"/>
          </w:tcPr>
          <w:p w14:paraId="6D8A38CF">
            <w:pPr>
              <w:widowControl/>
              <w:adjustRightInd w:val="0"/>
              <w:snapToGrid w:val="0"/>
              <w:jc w:val="left"/>
              <w:rPr>
                <w:rFonts w:ascii="Times New Roman" w:hAnsi="Times New Roman" w:eastAsia="宋体" w:cs="Times New Roman"/>
                <w:kern w:val="0"/>
                <w:sz w:val="21"/>
                <w:szCs w:val="21"/>
                <w:u w:val="none" w:color="auto"/>
              </w:rPr>
            </w:pPr>
          </w:p>
        </w:tc>
        <w:tc>
          <w:tcPr>
            <w:tcW w:w="929" w:type="pct"/>
            <w:gridSpan w:val="2"/>
            <w:tcBorders>
              <w:tl2br w:val="nil"/>
              <w:tr2bl w:val="nil"/>
            </w:tcBorders>
            <w:vAlign w:val="center"/>
          </w:tcPr>
          <w:p w14:paraId="44F7E264">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w:t>
            </w:r>
            <w:r>
              <w:rPr>
                <w:rFonts w:hint="eastAsia" w:ascii="Times New Roman" w:hAnsi="Times New Roman" w:eastAsia="宋体" w:cs="Times New Roman"/>
                <w:kern w:val="0"/>
                <w:sz w:val="21"/>
                <w:szCs w:val="21"/>
                <w:u w:val="none" w:color="auto"/>
                <w:lang w:val="en-US" w:eastAsia="zh-CN"/>
              </w:rPr>
              <w:t xml:space="preserve"> / </w:t>
            </w:r>
            <w:r>
              <w:rPr>
                <w:rFonts w:ascii="Times New Roman" w:hAnsi="Times New Roman" w:eastAsia="宋体" w:cs="Times New Roman"/>
                <w:kern w:val="0"/>
                <w:sz w:val="21"/>
                <w:szCs w:val="21"/>
                <w:u w:val="none" w:color="auto"/>
              </w:rPr>
              <w:t>）h</w:t>
            </w:r>
          </w:p>
        </w:tc>
        <w:tc>
          <w:tcPr>
            <w:tcW w:w="1465" w:type="pct"/>
            <w:gridSpan w:val="6"/>
            <w:vMerge w:val="continue"/>
            <w:tcBorders>
              <w:tl2br w:val="nil"/>
              <w:tr2bl w:val="nil"/>
            </w:tcBorders>
            <w:vAlign w:val="center"/>
          </w:tcPr>
          <w:p w14:paraId="6022750D">
            <w:pPr>
              <w:widowControl/>
              <w:adjustRightInd w:val="0"/>
              <w:snapToGrid w:val="0"/>
              <w:jc w:val="left"/>
              <w:rPr>
                <w:rFonts w:ascii="Times New Roman" w:hAnsi="Times New Roman" w:eastAsia="宋体" w:cs="Times New Roman"/>
                <w:kern w:val="0"/>
                <w:sz w:val="21"/>
                <w:szCs w:val="21"/>
                <w:u w:val="none" w:color="auto"/>
              </w:rPr>
            </w:pPr>
          </w:p>
        </w:tc>
        <w:tc>
          <w:tcPr>
            <w:tcW w:w="1253" w:type="pct"/>
            <w:gridSpan w:val="4"/>
            <w:vMerge w:val="continue"/>
            <w:tcBorders>
              <w:tl2br w:val="nil"/>
              <w:tr2bl w:val="nil"/>
            </w:tcBorders>
            <w:vAlign w:val="center"/>
          </w:tcPr>
          <w:p w14:paraId="6E8CD171">
            <w:pPr>
              <w:widowControl/>
              <w:adjustRightInd w:val="0"/>
              <w:snapToGrid w:val="0"/>
              <w:jc w:val="left"/>
              <w:rPr>
                <w:rFonts w:ascii="Times New Roman" w:hAnsi="Times New Roman" w:eastAsia="宋体" w:cs="Times New Roman"/>
                <w:sz w:val="21"/>
                <w:szCs w:val="21"/>
                <w:u w:val="none" w:color="auto"/>
              </w:rPr>
            </w:pPr>
          </w:p>
        </w:tc>
      </w:tr>
      <w:tr w14:paraId="0E8658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0EADE415">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5292EB69">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保证率日平均浓度和年平均浓度叠加值</w:t>
            </w:r>
          </w:p>
        </w:tc>
        <w:tc>
          <w:tcPr>
            <w:tcW w:w="1823" w:type="pct"/>
            <w:gridSpan w:val="6"/>
            <w:tcBorders>
              <w:tl2br w:val="nil"/>
              <w:tr2bl w:val="nil"/>
            </w:tcBorders>
            <w:vAlign w:val="center"/>
          </w:tcPr>
          <w:p w14:paraId="7B588435">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C</w:t>
            </w:r>
            <w:r>
              <w:rPr>
                <w:rFonts w:ascii="Times New Roman" w:hAnsi="Times New Roman" w:eastAsia="宋体" w:cs="Times New Roman"/>
                <w:kern w:val="0"/>
                <w:sz w:val="21"/>
                <w:szCs w:val="21"/>
                <w:u w:val="none" w:color="auto"/>
                <w:vertAlign w:val="subscript"/>
              </w:rPr>
              <w:t>叠加</w:t>
            </w:r>
            <w:r>
              <w:rPr>
                <w:rFonts w:ascii="Times New Roman" w:hAnsi="Times New Roman" w:eastAsia="宋体" w:cs="Times New Roman"/>
                <w:kern w:val="0"/>
                <w:sz w:val="21"/>
                <w:szCs w:val="21"/>
                <w:u w:val="none" w:color="auto"/>
              </w:rPr>
              <w:t>达标</w:t>
            </w:r>
            <w:r>
              <w:rPr>
                <w:rFonts w:ascii="Times New Roman" w:hAnsi="Times New Roman" w:eastAsia="宋体" w:cs="Times New Roman"/>
                <w:kern w:val="0"/>
                <w:sz w:val="21"/>
                <w:szCs w:val="21"/>
                <w:u w:val="none" w:color="auto"/>
              </w:rPr>
              <w:sym w:font="Wingdings" w:char="00A8"/>
            </w:r>
          </w:p>
        </w:tc>
        <w:tc>
          <w:tcPr>
            <w:tcW w:w="1824" w:type="pct"/>
            <w:gridSpan w:val="6"/>
            <w:tcBorders>
              <w:tl2br w:val="nil"/>
              <w:tr2bl w:val="nil"/>
            </w:tcBorders>
            <w:vAlign w:val="center"/>
          </w:tcPr>
          <w:p w14:paraId="43121E1C">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C</w:t>
            </w:r>
            <w:r>
              <w:rPr>
                <w:rFonts w:ascii="Times New Roman" w:hAnsi="Times New Roman" w:eastAsia="宋体" w:cs="Times New Roman"/>
                <w:kern w:val="0"/>
                <w:sz w:val="21"/>
                <w:szCs w:val="21"/>
                <w:u w:val="none" w:color="auto"/>
                <w:vertAlign w:val="subscript"/>
              </w:rPr>
              <w:t>叠加</w:t>
            </w:r>
            <w:r>
              <w:rPr>
                <w:rFonts w:ascii="Times New Roman" w:hAnsi="Times New Roman" w:eastAsia="宋体" w:cs="Times New Roman"/>
                <w:kern w:val="0"/>
                <w:sz w:val="21"/>
                <w:szCs w:val="21"/>
                <w:u w:val="none" w:color="auto"/>
              </w:rPr>
              <w:t>不达标</w:t>
            </w:r>
            <w:r>
              <w:rPr>
                <w:rFonts w:ascii="Times New Roman" w:hAnsi="Times New Roman" w:eastAsia="宋体" w:cs="Times New Roman"/>
                <w:kern w:val="0"/>
                <w:sz w:val="21"/>
                <w:szCs w:val="21"/>
                <w:u w:val="none" w:color="auto"/>
              </w:rPr>
              <w:sym w:font="Wingdings" w:char="00A8"/>
            </w:r>
          </w:p>
        </w:tc>
      </w:tr>
      <w:tr w14:paraId="6A70DD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2519A1AE">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60510E2F">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区域环境质量的整体变化情况</w:t>
            </w:r>
          </w:p>
        </w:tc>
        <w:tc>
          <w:tcPr>
            <w:tcW w:w="1823" w:type="pct"/>
            <w:gridSpan w:val="6"/>
            <w:tcBorders>
              <w:tl2br w:val="nil"/>
              <w:tr2bl w:val="nil"/>
            </w:tcBorders>
            <w:vAlign w:val="center"/>
          </w:tcPr>
          <w:p w14:paraId="3AEA8695">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k≤-20%</w:t>
            </w:r>
            <w:r>
              <w:rPr>
                <w:rFonts w:ascii="Times New Roman" w:hAnsi="Times New Roman" w:eastAsia="宋体" w:cs="Times New Roman"/>
                <w:kern w:val="0"/>
                <w:sz w:val="21"/>
                <w:szCs w:val="21"/>
                <w:u w:val="none" w:color="auto"/>
              </w:rPr>
              <w:sym w:font="Wingdings" w:char="00A8"/>
            </w:r>
          </w:p>
        </w:tc>
        <w:tc>
          <w:tcPr>
            <w:tcW w:w="1824" w:type="pct"/>
            <w:gridSpan w:val="6"/>
            <w:tcBorders>
              <w:tl2br w:val="nil"/>
              <w:tr2bl w:val="nil"/>
            </w:tcBorders>
            <w:vAlign w:val="center"/>
          </w:tcPr>
          <w:p w14:paraId="0A7A8239">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k&gt;-20%</w:t>
            </w:r>
            <w:r>
              <w:rPr>
                <w:rFonts w:ascii="Times New Roman" w:hAnsi="Times New Roman" w:eastAsia="宋体" w:cs="Times New Roman"/>
                <w:kern w:val="0"/>
                <w:sz w:val="21"/>
                <w:szCs w:val="21"/>
                <w:u w:val="none" w:color="auto"/>
              </w:rPr>
              <w:sym w:font="Wingdings" w:char="00A8"/>
            </w:r>
          </w:p>
        </w:tc>
      </w:tr>
      <w:tr w14:paraId="16CE4C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restart"/>
            <w:tcBorders>
              <w:tl2br w:val="nil"/>
              <w:tr2bl w:val="nil"/>
            </w:tcBorders>
            <w:vAlign w:val="center"/>
          </w:tcPr>
          <w:p w14:paraId="1BE4444D">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环境监测计划</w:t>
            </w:r>
          </w:p>
        </w:tc>
        <w:tc>
          <w:tcPr>
            <w:tcW w:w="946" w:type="pct"/>
            <w:vMerge w:val="restart"/>
            <w:tcBorders>
              <w:tl2br w:val="nil"/>
              <w:tr2bl w:val="nil"/>
            </w:tcBorders>
            <w:vAlign w:val="center"/>
          </w:tcPr>
          <w:p w14:paraId="16EF5AC0">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污染源监测</w:t>
            </w:r>
          </w:p>
        </w:tc>
        <w:tc>
          <w:tcPr>
            <w:tcW w:w="1823" w:type="pct"/>
            <w:gridSpan w:val="6"/>
            <w:vMerge w:val="restart"/>
            <w:tcBorders>
              <w:tl2br w:val="nil"/>
              <w:tr2bl w:val="nil"/>
            </w:tcBorders>
            <w:vAlign w:val="center"/>
          </w:tcPr>
          <w:p w14:paraId="4DE0C633">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监测因子</w:t>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t>氨、硫化氢、臭气浓度、非甲烷总烃）</w:t>
            </w:r>
          </w:p>
        </w:tc>
        <w:tc>
          <w:tcPr>
            <w:tcW w:w="1171" w:type="pct"/>
            <w:gridSpan w:val="4"/>
            <w:tcBorders>
              <w:tl2br w:val="nil"/>
              <w:tr2bl w:val="nil"/>
            </w:tcBorders>
            <w:vAlign w:val="center"/>
          </w:tcPr>
          <w:p w14:paraId="45A6B79E">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有组织废气监测</w:t>
            </w:r>
            <w:r>
              <w:rPr>
                <w:rFonts w:ascii="Times New Roman" w:hAnsi="Times New Roman" w:eastAsia="宋体" w:cs="Times New Roman"/>
                <w:kern w:val="0"/>
                <w:sz w:val="21"/>
                <w:szCs w:val="21"/>
                <w:u w:val="none" w:color="auto"/>
              </w:rPr>
              <w:sym w:font="Wingdings" w:char="00FE"/>
            </w:r>
          </w:p>
        </w:tc>
        <w:tc>
          <w:tcPr>
            <w:tcW w:w="653" w:type="pct"/>
            <w:gridSpan w:val="2"/>
            <w:vMerge w:val="restart"/>
            <w:tcBorders>
              <w:tl2br w:val="nil"/>
              <w:tr2bl w:val="nil"/>
            </w:tcBorders>
            <w:vAlign w:val="center"/>
          </w:tcPr>
          <w:p w14:paraId="741DA608">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无监测</w:t>
            </w:r>
            <w:r>
              <w:rPr>
                <w:rFonts w:ascii="Times New Roman" w:hAnsi="Times New Roman" w:eastAsia="宋体" w:cs="Times New Roman"/>
                <w:kern w:val="0"/>
                <w:sz w:val="21"/>
                <w:szCs w:val="21"/>
                <w:u w:val="none" w:color="auto"/>
              </w:rPr>
              <w:sym w:font="Wingdings" w:char="00A8"/>
            </w:r>
          </w:p>
        </w:tc>
      </w:tr>
      <w:tr w14:paraId="1B7899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6A2EE919">
            <w:pPr>
              <w:widowControl/>
              <w:adjustRightInd w:val="0"/>
              <w:snapToGrid w:val="0"/>
              <w:jc w:val="left"/>
              <w:rPr>
                <w:rFonts w:ascii="Times New Roman" w:hAnsi="Times New Roman" w:eastAsia="宋体" w:cs="Times New Roman"/>
                <w:kern w:val="0"/>
                <w:sz w:val="21"/>
                <w:szCs w:val="21"/>
                <w:u w:val="none" w:color="auto"/>
              </w:rPr>
            </w:pPr>
          </w:p>
        </w:tc>
        <w:tc>
          <w:tcPr>
            <w:tcW w:w="946" w:type="pct"/>
            <w:vMerge w:val="continue"/>
            <w:tcBorders>
              <w:tl2br w:val="nil"/>
              <w:tr2bl w:val="nil"/>
            </w:tcBorders>
            <w:vAlign w:val="center"/>
          </w:tcPr>
          <w:p w14:paraId="0F474FB0">
            <w:pPr>
              <w:widowControl/>
              <w:adjustRightInd w:val="0"/>
              <w:snapToGrid w:val="0"/>
              <w:jc w:val="left"/>
              <w:rPr>
                <w:rFonts w:ascii="Times New Roman" w:hAnsi="Times New Roman" w:eastAsia="宋体" w:cs="Times New Roman"/>
                <w:kern w:val="0"/>
                <w:sz w:val="21"/>
                <w:szCs w:val="21"/>
                <w:u w:val="none" w:color="auto"/>
              </w:rPr>
            </w:pPr>
          </w:p>
        </w:tc>
        <w:tc>
          <w:tcPr>
            <w:tcW w:w="1823" w:type="pct"/>
            <w:gridSpan w:val="6"/>
            <w:vMerge w:val="continue"/>
            <w:tcBorders>
              <w:tl2br w:val="nil"/>
              <w:tr2bl w:val="nil"/>
            </w:tcBorders>
            <w:vAlign w:val="center"/>
          </w:tcPr>
          <w:p w14:paraId="388B3E3B">
            <w:pPr>
              <w:widowControl/>
              <w:adjustRightInd w:val="0"/>
              <w:snapToGrid w:val="0"/>
              <w:jc w:val="left"/>
              <w:rPr>
                <w:rFonts w:ascii="Times New Roman" w:hAnsi="Times New Roman" w:eastAsia="宋体" w:cs="Times New Roman"/>
                <w:sz w:val="21"/>
                <w:szCs w:val="21"/>
                <w:u w:val="none" w:color="auto"/>
              </w:rPr>
            </w:pPr>
          </w:p>
        </w:tc>
        <w:tc>
          <w:tcPr>
            <w:tcW w:w="1171" w:type="pct"/>
            <w:gridSpan w:val="4"/>
            <w:tcBorders>
              <w:tl2br w:val="nil"/>
              <w:tr2bl w:val="nil"/>
            </w:tcBorders>
            <w:vAlign w:val="center"/>
          </w:tcPr>
          <w:p w14:paraId="25EDFC00">
            <w:pPr>
              <w:widowControl/>
              <w:adjustRightInd w:val="0"/>
              <w:snapToGrid w:val="0"/>
              <w:jc w:val="center"/>
              <w:rPr>
                <w:rFonts w:ascii="Times New Roman" w:hAnsi="Times New Roman" w:eastAsia="宋体" w:cs="Times New Roman"/>
                <w:sz w:val="21"/>
                <w:szCs w:val="21"/>
                <w:u w:val="none" w:color="auto"/>
              </w:rPr>
            </w:pPr>
            <w:r>
              <w:rPr>
                <w:rFonts w:ascii="Times New Roman" w:hAnsi="Times New Roman" w:eastAsia="宋体" w:cs="Times New Roman"/>
                <w:kern w:val="0"/>
                <w:sz w:val="21"/>
                <w:szCs w:val="21"/>
                <w:u w:val="none" w:color="auto"/>
              </w:rPr>
              <w:t>无组织废气监测</w:t>
            </w:r>
            <w:r>
              <w:rPr>
                <w:rFonts w:ascii="Times New Roman" w:hAnsi="Times New Roman" w:eastAsia="宋体" w:cs="Times New Roman"/>
                <w:kern w:val="0"/>
                <w:sz w:val="21"/>
                <w:szCs w:val="21"/>
                <w:u w:val="none" w:color="auto"/>
              </w:rPr>
              <w:sym w:font="Wingdings" w:char="00FE"/>
            </w:r>
          </w:p>
        </w:tc>
        <w:tc>
          <w:tcPr>
            <w:tcW w:w="653" w:type="pct"/>
            <w:gridSpan w:val="2"/>
            <w:vMerge w:val="continue"/>
            <w:tcBorders>
              <w:tl2br w:val="nil"/>
              <w:tr2bl w:val="nil"/>
            </w:tcBorders>
            <w:vAlign w:val="center"/>
          </w:tcPr>
          <w:p w14:paraId="07864449">
            <w:pPr>
              <w:widowControl/>
              <w:adjustRightInd w:val="0"/>
              <w:snapToGrid w:val="0"/>
              <w:jc w:val="left"/>
              <w:rPr>
                <w:rFonts w:ascii="Times New Roman" w:hAnsi="Times New Roman" w:eastAsia="宋体" w:cs="Times New Roman"/>
                <w:kern w:val="0"/>
                <w:sz w:val="21"/>
                <w:szCs w:val="21"/>
                <w:u w:val="none" w:color="auto"/>
              </w:rPr>
            </w:pPr>
          </w:p>
        </w:tc>
      </w:tr>
      <w:tr w14:paraId="2AE702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1A72B3B9">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3373CE6B">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环境质量监测</w:t>
            </w:r>
          </w:p>
        </w:tc>
        <w:tc>
          <w:tcPr>
            <w:tcW w:w="1823" w:type="pct"/>
            <w:gridSpan w:val="6"/>
            <w:tcBorders>
              <w:tl2br w:val="nil"/>
              <w:tr2bl w:val="nil"/>
            </w:tcBorders>
            <w:vAlign w:val="center"/>
          </w:tcPr>
          <w:p w14:paraId="20D8E923">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监测因子：（</w:t>
            </w:r>
            <w:r>
              <w:rPr>
                <w:rFonts w:hint="eastAsia" w:ascii="Times New Roman" w:hAnsi="Times New Roman" w:eastAsia="宋体" w:cs="Times New Roman"/>
                <w:kern w:val="0"/>
                <w:sz w:val="21"/>
                <w:szCs w:val="21"/>
                <w:u w:val="none" w:color="auto"/>
                <w:lang w:val="en-US" w:eastAsia="zh-CN"/>
              </w:rPr>
              <w:t xml:space="preserve">           /            </w:t>
            </w:r>
            <w:r>
              <w:rPr>
                <w:rFonts w:ascii="Times New Roman" w:hAnsi="Times New Roman" w:eastAsia="宋体" w:cs="Times New Roman"/>
                <w:kern w:val="0"/>
                <w:sz w:val="21"/>
                <w:szCs w:val="21"/>
                <w:u w:val="none" w:color="auto"/>
              </w:rPr>
              <w:t>）</w:t>
            </w:r>
          </w:p>
        </w:tc>
        <w:tc>
          <w:tcPr>
            <w:tcW w:w="1171" w:type="pct"/>
            <w:gridSpan w:val="4"/>
            <w:tcBorders>
              <w:tl2br w:val="nil"/>
              <w:tr2bl w:val="nil"/>
            </w:tcBorders>
            <w:vAlign w:val="center"/>
          </w:tcPr>
          <w:p w14:paraId="4F41DCFD">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监测点位数（</w:t>
            </w:r>
            <w:r>
              <w:rPr>
                <w:rFonts w:hint="eastAsia" w:ascii="Times New Roman" w:hAnsi="Times New Roman" w:eastAsia="宋体" w:cs="Times New Roman"/>
                <w:kern w:val="0"/>
                <w:sz w:val="21"/>
                <w:szCs w:val="21"/>
                <w:u w:val="none" w:color="auto"/>
                <w:lang w:val="en-US" w:eastAsia="zh-CN"/>
              </w:rPr>
              <w:t xml:space="preserve"> / </w:t>
            </w:r>
            <w:r>
              <w:rPr>
                <w:rFonts w:ascii="Times New Roman" w:hAnsi="Times New Roman" w:eastAsia="宋体" w:cs="Times New Roman"/>
                <w:kern w:val="0"/>
                <w:sz w:val="21"/>
                <w:szCs w:val="21"/>
                <w:u w:val="none" w:color="auto"/>
              </w:rPr>
              <w:t>）</w:t>
            </w:r>
          </w:p>
        </w:tc>
        <w:tc>
          <w:tcPr>
            <w:tcW w:w="653" w:type="pct"/>
            <w:gridSpan w:val="2"/>
            <w:tcBorders>
              <w:tl2br w:val="nil"/>
              <w:tr2bl w:val="nil"/>
            </w:tcBorders>
            <w:vAlign w:val="center"/>
          </w:tcPr>
          <w:p w14:paraId="1ADA9416">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无监测</w:t>
            </w:r>
            <w:r>
              <w:rPr>
                <w:rFonts w:ascii="Times New Roman" w:hAnsi="Times New Roman" w:eastAsia="宋体" w:cs="Times New Roman"/>
                <w:kern w:val="0"/>
                <w:sz w:val="21"/>
                <w:szCs w:val="21"/>
                <w:u w:val="none" w:color="auto"/>
              </w:rPr>
              <w:sym w:font="Wingdings" w:char="00FE"/>
            </w:r>
          </w:p>
        </w:tc>
      </w:tr>
      <w:tr w14:paraId="75D1BF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restart"/>
            <w:tcBorders>
              <w:tl2br w:val="nil"/>
              <w:tr2bl w:val="nil"/>
            </w:tcBorders>
            <w:vAlign w:val="center"/>
          </w:tcPr>
          <w:p w14:paraId="29328021">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评价结论</w:t>
            </w:r>
          </w:p>
        </w:tc>
        <w:tc>
          <w:tcPr>
            <w:tcW w:w="946" w:type="pct"/>
            <w:tcBorders>
              <w:tl2br w:val="nil"/>
              <w:tr2bl w:val="nil"/>
            </w:tcBorders>
            <w:vAlign w:val="center"/>
          </w:tcPr>
          <w:p w14:paraId="0C88FB7B">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环境影响</w:t>
            </w:r>
          </w:p>
        </w:tc>
        <w:tc>
          <w:tcPr>
            <w:tcW w:w="3647" w:type="pct"/>
            <w:gridSpan w:val="12"/>
            <w:tcBorders>
              <w:tl2br w:val="nil"/>
              <w:tr2bl w:val="nil"/>
            </w:tcBorders>
            <w:vAlign w:val="center"/>
          </w:tcPr>
          <w:p w14:paraId="53B96F20">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可以接受</w:t>
            </w:r>
            <w:r>
              <w:rPr>
                <w:rFonts w:ascii="Times New Roman" w:hAnsi="Times New Roman" w:eastAsia="宋体" w:cs="Times New Roman"/>
                <w:kern w:val="0"/>
                <w:sz w:val="21"/>
                <w:szCs w:val="21"/>
                <w:u w:val="none" w:color="auto"/>
              </w:rPr>
              <w:sym w:font="Wingdings" w:char="00FE"/>
            </w:r>
            <w:r>
              <w:rPr>
                <w:rFonts w:ascii="Times New Roman" w:hAnsi="Times New Roman" w:eastAsia="宋体" w:cs="Times New Roman"/>
                <w:sz w:val="21"/>
                <w:szCs w:val="21"/>
                <w:u w:val="none" w:color="auto"/>
              </w:rPr>
              <w:t>不可以接受</w:t>
            </w:r>
            <w:r>
              <w:rPr>
                <w:rFonts w:ascii="Times New Roman" w:hAnsi="Times New Roman" w:eastAsia="宋体" w:cs="Times New Roman"/>
                <w:kern w:val="0"/>
                <w:sz w:val="21"/>
                <w:szCs w:val="21"/>
                <w:u w:val="none" w:color="auto"/>
              </w:rPr>
              <w:sym w:font="Wingdings" w:char="00A8"/>
            </w:r>
          </w:p>
        </w:tc>
      </w:tr>
      <w:tr w14:paraId="6322B9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52B8F6FA">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2FEFAB0A">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大气环境防护距离</w:t>
            </w:r>
          </w:p>
        </w:tc>
        <w:tc>
          <w:tcPr>
            <w:tcW w:w="3647" w:type="pct"/>
            <w:gridSpan w:val="12"/>
            <w:tcBorders>
              <w:tl2br w:val="nil"/>
              <w:tr2bl w:val="nil"/>
            </w:tcBorders>
            <w:vAlign w:val="center"/>
          </w:tcPr>
          <w:p w14:paraId="6694BBB5">
            <w:pPr>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距厂界最远（</w:t>
            </w:r>
            <w:r>
              <w:rPr>
                <w:rFonts w:hint="eastAsia" w:ascii="Times New Roman" w:hAnsi="Times New Roman" w:eastAsia="宋体" w:cs="Times New Roman"/>
                <w:kern w:val="0"/>
                <w:sz w:val="21"/>
                <w:szCs w:val="21"/>
                <w:u w:val="none" w:color="auto"/>
                <w:lang w:val="en-US" w:eastAsia="zh-CN"/>
              </w:rPr>
              <w:t xml:space="preserve"> </w:t>
            </w:r>
            <w:r>
              <w:rPr>
                <w:rFonts w:ascii="Times New Roman" w:hAnsi="Times New Roman" w:eastAsia="宋体" w:cs="Times New Roman"/>
                <w:kern w:val="0"/>
                <w:sz w:val="21"/>
                <w:szCs w:val="21"/>
                <w:u w:val="none" w:color="auto"/>
              </w:rPr>
              <w:t>/</w:t>
            </w:r>
            <w:r>
              <w:rPr>
                <w:rFonts w:hint="eastAsia" w:ascii="Times New Roman" w:hAnsi="Times New Roman" w:eastAsia="宋体" w:cs="Times New Roman"/>
                <w:kern w:val="0"/>
                <w:sz w:val="21"/>
                <w:szCs w:val="21"/>
                <w:u w:val="none" w:color="auto"/>
                <w:lang w:val="en-US" w:eastAsia="zh-CN"/>
              </w:rPr>
              <w:t xml:space="preserve"> </w:t>
            </w:r>
            <w:r>
              <w:rPr>
                <w:rFonts w:ascii="Times New Roman" w:hAnsi="Times New Roman" w:eastAsia="宋体" w:cs="Times New Roman"/>
                <w:kern w:val="0"/>
                <w:sz w:val="21"/>
                <w:szCs w:val="21"/>
                <w:u w:val="none" w:color="auto"/>
              </w:rPr>
              <w:t>）m</w:t>
            </w:r>
          </w:p>
        </w:tc>
      </w:tr>
      <w:tr w14:paraId="39139F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5" w:type="pct"/>
            <w:vMerge w:val="continue"/>
            <w:tcBorders>
              <w:tl2br w:val="nil"/>
              <w:tr2bl w:val="nil"/>
            </w:tcBorders>
            <w:vAlign w:val="center"/>
          </w:tcPr>
          <w:p w14:paraId="1033A898">
            <w:pPr>
              <w:widowControl/>
              <w:adjustRightInd w:val="0"/>
              <w:snapToGrid w:val="0"/>
              <w:jc w:val="left"/>
              <w:rPr>
                <w:rFonts w:ascii="Times New Roman" w:hAnsi="Times New Roman" w:eastAsia="宋体" w:cs="Times New Roman"/>
                <w:kern w:val="0"/>
                <w:sz w:val="21"/>
                <w:szCs w:val="21"/>
                <w:u w:val="none" w:color="auto"/>
              </w:rPr>
            </w:pPr>
          </w:p>
        </w:tc>
        <w:tc>
          <w:tcPr>
            <w:tcW w:w="946" w:type="pct"/>
            <w:tcBorders>
              <w:tl2br w:val="nil"/>
              <w:tr2bl w:val="nil"/>
            </w:tcBorders>
            <w:vAlign w:val="center"/>
          </w:tcPr>
          <w:p w14:paraId="6E65697F">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污染源年排放量</w:t>
            </w:r>
          </w:p>
        </w:tc>
        <w:tc>
          <w:tcPr>
            <w:tcW w:w="3647" w:type="pct"/>
            <w:gridSpan w:val="12"/>
            <w:tcBorders>
              <w:tl2br w:val="nil"/>
              <w:tr2bl w:val="nil"/>
            </w:tcBorders>
            <w:vAlign w:val="center"/>
          </w:tcPr>
          <w:p w14:paraId="02D04D1F">
            <w:pPr>
              <w:widowControl/>
              <w:adjustRightInd w:val="0"/>
              <w:snapToGrid w:val="0"/>
              <w:jc w:val="center"/>
              <w:rPr>
                <w:rFonts w:ascii="Times New Roman" w:hAnsi="Times New Roman" w:eastAsia="宋体" w:cs="Times New Roman"/>
                <w:kern w:val="0"/>
                <w:sz w:val="21"/>
                <w:szCs w:val="21"/>
                <w:u w:val="none" w:color="auto"/>
              </w:rPr>
            </w:pPr>
            <w:r>
              <w:rPr>
                <w:rFonts w:hint="eastAsia" w:ascii="Times New Roman" w:hAnsi="Times New Roman" w:eastAsia="宋体" w:cs="Times New Roman"/>
                <w:kern w:val="0"/>
                <w:sz w:val="21"/>
                <w:szCs w:val="21"/>
                <w:u w:val="none" w:color="auto"/>
                <w:lang w:val="en-US" w:eastAsia="zh-CN"/>
              </w:rPr>
              <w:t>挥发性有机物</w:t>
            </w:r>
            <w:r>
              <w:rPr>
                <w:rFonts w:ascii="Times New Roman" w:hAnsi="Times New Roman" w:eastAsia="宋体" w:cs="Times New Roman"/>
                <w:kern w:val="0"/>
                <w:sz w:val="21"/>
                <w:szCs w:val="21"/>
                <w:u w:val="none" w:color="auto"/>
              </w:rPr>
              <w:t>：</w:t>
            </w:r>
            <w:r>
              <w:rPr>
                <w:rFonts w:hint="eastAsia" w:ascii="Times New Roman" w:hAnsi="Times New Roman" w:eastAsia="宋体" w:cs="Times New Roman"/>
                <w:kern w:val="0"/>
                <w:sz w:val="21"/>
                <w:szCs w:val="21"/>
                <w:u w:val="none" w:color="auto"/>
                <w:lang w:eastAsia="zh-CN"/>
              </w:rPr>
              <w:t>（</w:t>
            </w:r>
            <w:r>
              <w:rPr>
                <w:rFonts w:hint="eastAsia" w:ascii="Times New Roman" w:hAnsi="Times New Roman" w:eastAsia="宋体" w:cs="Times New Roman"/>
                <w:kern w:val="0"/>
                <w:sz w:val="21"/>
                <w:szCs w:val="21"/>
                <w:u w:val="none" w:color="auto"/>
                <w:lang w:val="en-US" w:eastAsia="zh-CN"/>
              </w:rPr>
              <w:t>0.50176</w:t>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t>t/a</w:t>
            </w:r>
          </w:p>
        </w:tc>
      </w:tr>
      <w:tr w14:paraId="2A13C5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14"/>
            <w:tcBorders>
              <w:tl2br w:val="nil"/>
              <w:tr2bl w:val="nil"/>
            </w:tcBorders>
            <w:vAlign w:val="center"/>
          </w:tcPr>
          <w:p w14:paraId="649F259C">
            <w:pPr>
              <w:widowControl/>
              <w:adjustRightInd w:val="0"/>
              <w:snapToGrid w:val="0"/>
              <w:jc w:val="center"/>
              <w:rPr>
                <w:rFonts w:ascii="Times New Roman" w:hAnsi="Times New Roman" w:eastAsia="宋体" w:cs="Times New Roman"/>
                <w:kern w:val="0"/>
                <w:sz w:val="21"/>
                <w:szCs w:val="21"/>
                <w:u w:val="none" w:color="auto"/>
              </w:rPr>
            </w:pPr>
            <w:r>
              <w:rPr>
                <w:rFonts w:ascii="Times New Roman" w:hAnsi="Times New Roman" w:eastAsia="宋体" w:cs="Times New Roman"/>
                <w:kern w:val="0"/>
                <w:sz w:val="21"/>
                <w:szCs w:val="21"/>
                <w:u w:val="none" w:color="auto"/>
              </w:rPr>
              <w:t>注：</w:t>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sym w:font="Wingdings" w:char="00A8"/>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t>，填</w:t>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t>√</w:t>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t>；</w:t>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t>（）</w:t>
            </w:r>
            <w:r>
              <w:rPr>
                <w:rFonts w:hint="eastAsia" w:ascii="Times New Roman" w:hAnsi="Times New Roman" w:eastAsia="宋体" w:cs="Times New Roman"/>
                <w:kern w:val="0"/>
                <w:sz w:val="21"/>
                <w:szCs w:val="21"/>
                <w:u w:val="none" w:color="auto"/>
                <w:lang w:eastAsia="zh-CN"/>
              </w:rPr>
              <w:t>”</w:t>
            </w:r>
            <w:r>
              <w:rPr>
                <w:rFonts w:ascii="Times New Roman" w:hAnsi="Times New Roman" w:eastAsia="宋体" w:cs="Times New Roman"/>
                <w:kern w:val="0"/>
                <w:sz w:val="21"/>
                <w:szCs w:val="21"/>
                <w:u w:val="none" w:color="auto"/>
              </w:rPr>
              <w:t>为内容填写项</w:t>
            </w:r>
          </w:p>
        </w:tc>
      </w:tr>
    </w:tbl>
    <w:p w14:paraId="11EBF339">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7C498345">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45" w:name="_Toc14369"/>
      <w:bookmarkStart w:id="746" w:name="_Toc23524"/>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附表2  地表水环境影响评价自查表</w:t>
      </w:r>
      <w:bookmarkEnd w:id="745"/>
      <w:bookmarkEnd w:id="746"/>
    </w:p>
    <w:tbl>
      <w:tblPr>
        <w:tblStyle w:val="37"/>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92"/>
        <w:gridCol w:w="1884"/>
        <w:gridCol w:w="3915"/>
        <w:gridCol w:w="11"/>
        <w:gridCol w:w="1756"/>
        <w:gridCol w:w="195"/>
        <w:gridCol w:w="1952"/>
        <w:gridCol w:w="23"/>
        <w:gridCol w:w="1878"/>
        <w:gridCol w:w="74"/>
        <w:gridCol w:w="1983"/>
      </w:tblGrid>
      <w:tr w14:paraId="2F47BD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839" w:type="pct"/>
            <w:gridSpan w:val="2"/>
            <w:tcBorders>
              <w:tl2br w:val="nil"/>
              <w:tr2bl w:val="nil"/>
            </w:tcBorders>
            <w:vAlign w:val="center"/>
          </w:tcPr>
          <w:p w14:paraId="267FB6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工作内容</w:t>
            </w:r>
          </w:p>
        </w:tc>
        <w:tc>
          <w:tcPr>
            <w:tcW w:w="4160" w:type="pct"/>
            <w:gridSpan w:val="9"/>
            <w:tcBorders>
              <w:tl2br w:val="nil"/>
              <w:tr2bl w:val="nil"/>
            </w:tcBorders>
            <w:vAlign w:val="center"/>
          </w:tcPr>
          <w:p w14:paraId="0C9AF2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自查项目</w:t>
            </w:r>
          </w:p>
        </w:tc>
      </w:tr>
      <w:tr w14:paraId="3FEFB8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restart"/>
            <w:tcBorders>
              <w:tl2br w:val="nil"/>
              <w:tr2bl w:val="nil"/>
            </w:tcBorders>
            <w:vAlign w:val="center"/>
          </w:tcPr>
          <w:p w14:paraId="6E3DFA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影响识别</w:t>
            </w:r>
          </w:p>
        </w:tc>
        <w:tc>
          <w:tcPr>
            <w:tcW w:w="665" w:type="pct"/>
            <w:tcBorders>
              <w:tl2br w:val="nil"/>
              <w:tr2bl w:val="nil"/>
            </w:tcBorders>
            <w:vAlign w:val="center"/>
          </w:tcPr>
          <w:p w14:paraId="5ABD3A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影响类型</w:t>
            </w:r>
          </w:p>
        </w:tc>
        <w:tc>
          <w:tcPr>
            <w:tcW w:w="4160" w:type="pct"/>
            <w:gridSpan w:val="9"/>
            <w:tcBorders>
              <w:tl2br w:val="nil"/>
              <w:tr2bl w:val="nil"/>
            </w:tcBorders>
            <w:vAlign w:val="center"/>
          </w:tcPr>
          <w:p w14:paraId="286B859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水污染影响型</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；水文要素影响型</w:t>
            </w:r>
            <w:r>
              <w:rPr>
                <w:rFonts w:hint="default" w:ascii="Times New Roman" w:hAnsi="Times New Roman" w:eastAsia="宋体" w:cs="Times New Roman"/>
                <w:sz w:val="21"/>
                <w:szCs w:val="21"/>
                <w:u w:val="none" w:color="auto"/>
              </w:rPr>
              <w:sym w:font="Wingdings 2" w:char="00A3"/>
            </w:r>
          </w:p>
        </w:tc>
      </w:tr>
      <w:tr w14:paraId="73A822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6A73F92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7E2921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水环境保护目标</w:t>
            </w:r>
          </w:p>
        </w:tc>
        <w:tc>
          <w:tcPr>
            <w:tcW w:w="4160" w:type="pct"/>
            <w:gridSpan w:val="9"/>
            <w:tcBorders>
              <w:tl2br w:val="nil"/>
              <w:tr2bl w:val="nil"/>
            </w:tcBorders>
            <w:vAlign w:val="center"/>
          </w:tcPr>
          <w:p w14:paraId="0B05AC1A">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饮用水水源保护区</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；饮用水取水口；涉水的自然保护区</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；重要湿地</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；重点保护与珍稀水生生物的栖息地</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；重要水生生物的自然产卵场及索饵场、越冬场和洄游通道、天然渔场等渔业水体</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；涉水的风景名胜区</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52"/>
            </w:r>
          </w:p>
        </w:tc>
      </w:tr>
      <w:tr w14:paraId="7C7034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14429BD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restart"/>
            <w:tcBorders>
              <w:tl2br w:val="nil"/>
              <w:tr2bl w:val="nil"/>
            </w:tcBorders>
            <w:vAlign w:val="center"/>
          </w:tcPr>
          <w:p w14:paraId="5A627E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影响途径</w:t>
            </w:r>
          </w:p>
        </w:tc>
        <w:tc>
          <w:tcPr>
            <w:tcW w:w="2006" w:type="pct"/>
            <w:gridSpan w:val="3"/>
            <w:tcBorders>
              <w:tl2br w:val="nil"/>
              <w:tr2bl w:val="nil"/>
            </w:tcBorders>
            <w:vAlign w:val="center"/>
          </w:tcPr>
          <w:p w14:paraId="0F9309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水污染影响型</w:t>
            </w:r>
          </w:p>
        </w:tc>
        <w:tc>
          <w:tcPr>
            <w:tcW w:w="2153" w:type="pct"/>
            <w:gridSpan w:val="6"/>
            <w:tcBorders>
              <w:tl2br w:val="nil"/>
              <w:tr2bl w:val="nil"/>
            </w:tcBorders>
            <w:vAlign w:val="center"/>
          </w:tcPr>
          <w:p w14:paraId="16D174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水文要素影响型</w:t>
            </w:r>
          </w:p>
        </w:tc>
      </w:tr>
      <w:tr w14:paraId="48A3E4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77996F6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5453A8D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2006" w:type="pct"/>
            <w:gridSpan w:val="3"/>
            <w:tcBorders>
              <w:tl2br w:val="nil"/>
              <w:tr2bl w:val="nil"/>
            </w:tcBorders>
            <w:vAlign w:val="center"/>
          </w:tcPr>
          <w:p w14:paraId="28814C0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直接排放</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；间接排放</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A3"/>
            </w:r>
          </w:p>
        </w:tc>
        <w:tc>
          <w:tcPr>
            <w:tcW w:w="2153" w:type="pct"/>
            <w:gridSpan w:val="6"/>
            <w:tcBorders>
              <w:tl2br w:val="nil"/>
              <w:tr2bl w:val="nil"/>
            </w:tcBorders>
            <w:vAlign w:val="center"/>
          </w:tcPr>
          <w:p w14:paraId="034D543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水温</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；径流</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；水域面积</w:t>
            </w:r>
            <w:r>
              <w:rPr>
                <w:rFonts w:hint="default" w:ascii="Times New Roman" w:hAnsi="Times New Roman" w:eastAsia="宋体" w:cs="Times New Roman"/>
                <w:sz w:val="21"/>
                <w:szCs w:val="21"/>
                <w:u w:val="none" w:color="auto"/>
              </w:rPr>
              <w:sym w:font="Wingdings 2" w:char="00A3"/>
            </w:r>
          </w:p>
        </w:tc>
      </w:tr>
      <w:tr w14:paraId="0FF463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528F14C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561CEC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影响因子</w:t>
            </w:r>
          </w:p>
        </w:tc>
        <w:tc>
          <w:tcPr>
            <w:tcW w:w="2006" w:type="pct"/>
            <w:gridSpan w:val="3"/>
            <w:tcBorders>
              <w:tl2br w:val="nil"/>
              <w:tr2bl w:val="nil"/>
            </w:tcBorders>
            <w:vAlign w:val="center"/>
          </w:tcPr>
          <w:p w14:paraId="2EB3BFD8">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持久性污染物</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；有毒有害污染物</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；非持久性污染物</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；pH值</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；热污染</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；富营养化</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52"/>
            </w:r>
          </w:p>
        </w:tc>
        <w:tc>
          <w:tcPr>
            <w:tcW w:w="2153" w:type="pct"/>
            <w:gridSpan w:val="6"/>
            <w:tcBorders>
              <w:tl2br w:val="nil"/>
              <w:tr2bl w:val="nil"/>
            </w:tcBorders>
            <w:vAlign w:val="center"/>
          </w:tcPr>
          <w:p w14:paraId="40D3947D">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水温</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；水位（水深）</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；流速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A3"/>
            </w:r>
          </w:p>
        </w:tc>
      </w:tr>
      <w:tr w14:paraId="29A8F8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9" w:type="pct"/>
            <w:gridSpan w:val="2"/>
            <w:vMerge w:val="restart"/>
            <w:tcBorders>
              <w:tl2br w:val="nil"/>
              <w:tr2bl w:val="nil"/>
            </w:tcBorders>
            <w:vAlign w:val="center"/>
          </w:tcPr>
          <w:p w14:paraId="2D8C2CD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评价等级</w:t>
            </w:r>
          </w:p>
        </w:tc>
        <w:tc>
          <w:tcPr>
            <w:tcW w:w="2006" w:type="pct"/>
            <w:gridSpan w:val="3"/>
            <w:tcBorders>
              <w:tl2br w:val="nil"/>
              <w:tr2bl w:val="nil"/>
            </w:tcBorders>
            <w:vAlign w:val="center"/>
          </w:tcPr>
          <w:p w14:paraId="75A179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水污染影响型</w:t>
            </w:r>
          </w:p>
        </w:tc>
        <w:tc>
          <w:tcPr>
            <w:tcW w:w="2153" w:type="pct"/>
            <w:gridSpan w:val="6"/>
            <w:tcBorders>
              <w:tl2br w:val="nil"/>
              <w:tr2bl w:val="nil"/>
            </w:tcBorders>
            <w:vAlign w:val="center"/>
          </w:tcPr>
          <w:p w14:paraId="4EC654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水文要素影响型</w:t>
            </w:r>
          </w:p>
        </w:tc>
      </w:tr>
      <w:tr w14:paraId="792B62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9" w:type="pct"/>
            <w:gridSpan w:val="2"/>
            <w:vMerge w:val="continue"/>
            <w:tcBorders>
              <w:tl2br w:val="nil"/>
              <w:tr2bl w:val="nil"/>
            </w:tcBorders>
            <w:vAlign w:val="center"/>
          </w:tcPr>
          <w:p w14:paraId="525814E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2006" w:type="pct"/>
            <w:gridSpan w:val="3"/>
            <w:tcBorders>
              <w:tl2br w:val="nil"/>
              <w:tr2bl w:val="nil"/>
            </w:tcBorders>
            <w:vAlign w:val="center"/>
          </w:tcPr>
          <w:p w14:paraId="1826D3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一级</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；二级</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；三级A</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；三级B</w:t>
            </w:r>
            <w:r>
              <w:rPr>
                <w:rFonts w:hint="default" w:ascii="Times New Roman" w:hAnsi="Times New Roman" w:eastAsia="宋体" w:cs="Times New Roman"/>
                <w:sz w:val="21"/>
                <w:szCs w:val="21"/>
                <w:u w:val="none" w:color="auto"/>
              </w:rPr>
              <w:sym w:font="Wingdings 2" w:char="0052"/>
            </w:r>
          </w:p>
        </w:tc>
        <w:tc>
          <w:tcPr>
            <w:tcW w:w="2153" w:type="pct"/>
            <w:gridSpan w:val="6"/>
            <w:tcBorders>
              <w:tl2br w:val="nil"/>
              <w:tr2bl w:val="nil"/>
            </w:tcBorders>
            <w:vAlign w:val="center"/>
          </w:tcPr>
          <w:p w14:paraId="249B69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一级</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；二级</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；三级</w:t>
            </w:r>
            <w:r>
              <w:rPr>
                <w:rFonts w:hint="default" w:ascii="Times New Roman" w:hAnsi="Times New Roman" w:eastAsia="宋体" w:cs="Times New Roman"/>
                <w:sz w:val="21"/>
                <w:szCs w:val="21"/>
                <w:u w:val="none" w:color="auto"/>
              </w:rPr>
              <w:sym w:font="Wingdings 2" w:char="00A3"/>
            </w:r>
          </w:p>
        </w:tc>
      </w:tr>
      <w:tr w14:paraId="25C5F3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restart"/>
            <w:tcBorders>
              <w:tl2br w:val="nil"/>
              <w:tr2bl w:val="nil"/>
            </w:tcBorders>
            <w:vAlign w:val="center"/>
          </w:tcPr>
          <w:p w14:paraId="108157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现状调查</w:t>
            </w:r>
          </w:p>
        </w:tc>
        <w:tc>
          <w:tcPr>
            <w:tcW w:w="665" w:type="pct"/>
            <w:vMerge w:val="restart"/>
            <w:tcBorders>
              <w:tl2br w:val="nil"/>
              <w:tr2bl w:val="nil"/>
            </w:tcBorders>
            <w:vAlign w:val="center"/>
          </w:tcPr>
          <w:p w14:paraId="4D0D8AE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区域污染源</w:t>
            </w:r>
          </w:p>
        </w:tc>
        <w:tc>
          <w:tcPr>
            <w:tcW w:w="2006" w:type="pct"/>
            <w:gridSpan w:val="3"/>
            <w:tcBorders>
              <w:tl2br w:val="nil"/>
              <w:tr2bl w:val="nil"/>
            </w:tcBorders>
            <w:vAlign w:val="center"/>
          </w:tcPr>
          <w:p w14:paraId="1B9667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调查项目</w:t>
            </w:r>
          </w:p>
        </w:tc>
        <w:tc>
          <w:tcPr>
            <w:tcW w:w="2153" w:type="pct"/>
            <w:gridSpan w:val="6"/>
            <w:tcBorders>
              <w:tl2br w:val="nil"/>
              <w:tr2bl w:val="nil"/>
            </w:tcBorders>
            <w:vAlign w:val="center"/>
          </w:tcPr>
          <w:p w14:paraId="740CAF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数据来源</w:t>
            </w:r>
          </w:p>
        </w:tc>
      </w:tr>
      <w:tr w14:paraId="7070E0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361D945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27D0637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1382" w:type="pct"/>
            <w:tcBorders>
              <w:tl2br w:val="nil"/>
              <w:tr2bl w:val="nil"/>
            </w:tcBorders>
            <w:vAlign w:val="center"/>
          </w:tcPr>
          <w:p w14:paraId="008567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已建</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；在建</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；拟建</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52"/>
            </w:r>
          </w:p>
        </w:tc>
        <w:tc>
          <w:tcPr>
            <w:tcW w:w="624" w:type="pct"/>
            <w:gridSpan w:val="2"/>
            <w:tcBorders>
              <w:tl2br w:val="nil"/>
              <w:tr2bl w:val="nil"/>
            </w:tcBorders>
            <w:vAlign w:val="center"/>
          </w:tcPr>
          <w:p w14:paraId="18DC04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拟替代的污染源</w:t>
            </w:r>
            <w:r>
              <w:rPr>
                <w:rFonts w:hint="default" w:ascii="Times New Roman" w:hAnsi="Times New Roman" w:eastAsia="宋体" w:cs="Times New Roman"/>
                <w:sz w:val="21"/>
                <w:szCs w:val="21"/>
                <w:u w:val="none" w:color="auto"/>
              </w:rPr>
              <w:sym w:font="Wingdings 2" w:char="00A3"/>
            </w:r>
          </w:p>
        </w:tc>
        <w:tc>
          <w:tcPr>
            <w:tcW w:w="2153" w:type="pct"/>
            <w:gridSpan w:val="6"/>
            <w:tcBorders>
              <w:tl2br w:val="nil"/>
              <w:tr2bl w:val="nil"/>
            </w:tcBorders>
            <w:vAlign w:val="center"/>
          </w:tcPr>
          <w:p w14:paraId="4BA768E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排污许可证</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；环评</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；环保验收</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；既有实测</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；现场监测</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；入河排放口数据</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52"/>
            </w:r>
          </w:p>
        </w:tc>
      </w:tr>
      <w:tr w14:paraId="10022E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3564E19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restart"/>
            <w:tcBorders>
              <w:tl2br w:val="nil"/>
              <w:tr2bl w:val="nil"/>
            </w:tcBorders>
            <w:vAlign w:val="center"/>
          </w:tcPr>
          <w:p w14:paraId="7A2F24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受影响水体水环境质量</w:t>
            </w:r>
          </w:p>
        </w:tc>
        <w:tc>
          <w:tcPr>
            <w:tcW w:w="2006" w:type="pct"/>
            <w:gridSpan w:val="3"/>
            <w:tcBorders>
              <w:tl2br w:val="nil"/>
              <w:tr2bl w:val="nil"/>
            </w:tcBorders>
            <w:vAlign w:val="center"/>
          </w:tcPr>
          <w:p w14:paraId="7D989A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调查时期</w:t>
            </w:r>
          </w:p>
        </w:tc>
        <w:tc>
          <w:tcPr>
            <w:tcW w:w="2153" w:type="pct"/>
            <w:gridSpan w:val="6"/>
            <w:tcBorders>
              <w:tl2br w:val="nil"/>
              <w:tr2bl w:val="nil"/>
            </w:tcBorders>
            <w:vAlign w:val="center"/>
          </w:tcPr>
          <w:p w14:paraId="6269CD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数据来源</w:t>
            </w:r>
          </w:p>
        </w:tc>
      </w:tr>
      <w:tr w14:paraId="4BAC7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3EB4E66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3CF8BEA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2006" w:type="pct"/>
            <w:gridSpan w:val="3"/>
            <w:tcBorders>
              <w:tl2br w:val="nil"/>
              <w:tr2bl w:val="nil"/>
            </w:tcBorders>
            <w:vAlign w:val="center"/>
          </w:tcPr>
          <w:p w14:paraId="2DB641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丰水期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；平水期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；枯水期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；冰封期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w:t>
            </w:r>
          </w:p>
          <w:p w14:paraId="43F398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春季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；夏季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；秋季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；冬季</w:t>
            </w:r>
            <w:r>
              <w:rPr>
                <w:rFonts w:hint="default" w:ascii="Times New Roman" w:hAnsi="Times New Roman" w:eastAsia="宋体" w:cs="Times New Roman"/>
                <w:sz w:val="21"/>
                <w:szCs w:val="21"/>
                <w:u w:val="none" w:color="auto"/>
              </w:rPr>
              <w:sym w:font="Wingdings 2" w:char="00A3"/>
            </w:r>
          </w:p>
        </w:tc>
        <w:tc>
          <w:tcPr>
            <w:tcW w:w="2153" w:type="pct"/>
            <w:gridSpan w:val="6"/>
            <w:tcBorders>
              <w:tl2br w:val="nil"/>
              <w:tr2bl w:val="nil"/>
            </w:tcBorders>
            <w:vAlign w:val="center"/>
          </w:tcPr>
          <w:p w14:paraId="731D72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生态环境保护主管部门</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；补充监测</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52"/>
            </w:r>
          </w:p>
        </w:tc>
      </w:tr>
      <w:tr w14:paraId="1B5B14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3345C44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16876A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区域水资源开发利用情况</w:t>
            </w:r>
          </w:p>
        </w:tc>
        <w:tc>
          <w:tcPr>
            <w:tcW w:w="4160" w:type="pct"/>
            <w:gridSpan w:val="9"/>
            <w:tcBorders>
              <w:tl2br w:val="nil"/>
              <w:tr2bl w:val="nil"/>
            </w:tcBorders>
            <w:vAlign w:val="center"/>
          </w:tcPr>
          <w:p w14:paraId="640E804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未开发</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；开发量40%以下</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；开发量40%以上</w:t>
            </w:r>
            <w:r>
              <w:rPr>
                <w:rFonts w:hint="default" w:ascii="Times New Roman" w:hAnsi="Times New Roman" w:eastAsia="宋体" w:cs="Times New Roman"/>
                <w:sz w:val="21"/>
                <w:szCs w:val="21"/>
                <w:u w:val="none" w:color="auto"/>
              </w:rPr>
              <w:sym w:font="Wingdings 2" w:char="00A3"/>
            </w:r>
          </w:p>
        </w:tc>
      </w:tr>
      <w:tr w14:paraId="14C6B5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103AF35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restart"/>
            <w:tcBorders>
              <w:tl2br w:val="nil"/>
              <w:tr2bl w:val="nil"/>
            </w:tcBorders>
            <w:vAlign w:val="center"/>
          </w:tcPr>
          <w:p w14:paraId="409620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水文情势调查</w:t>
            </w:r>
          </w:p>
        </w:tc>
        <w:tc>
          <w:tcPr>
            <w:tcW w:w="2006" w:type="pct"/>
            <w:gridSpan w:val="3"/>
            <w:tcBorders>
              <w:tl2br w:val="nil"/>
              <w:tr2bl w:val="nil"/>
            </w:tcBorders>
            <w:vAlign w:val="center"/>
          </w:tcPr>
          <w:p w14:paraId="5A7459C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调查时期</w:t>
            </w:r>
          </w:p>
        </w:tc>
        <w:tc>
          <w:tcPr>
            <w:tcW w:w="2153" w:type="pct"/>
            <w:gridSpan w:val="6"/>
            <w:tcBorders>
              <w:tl2br w:val="nil"/>
              <w:tr2bl w:val="nil"/>
            </w:tcBorders>
            <w:vAlign w:val="center"/>
          </w:tcPr>
          <w:p w14:paraId="3CA4AE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数据来源</w:t>
            </w:r>
          </w:p>
        </w:tc>
      </w:tr>
      <w:tr w14:paraId="091DDA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26344D2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3F81419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2006" w:type="pct"/>
            <w:gridSpan w:val="3"/>
            <w:tcBorders>
              <w:tl2br w:val="nil"/>
              <w:tr2bl w:val="nil"/>
            </w:tcBorders>
            <w:vAlign w:val="center"/>
          </w:tcPr>
          <w:p w14:paraId="5CBEF97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丰水期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；平水期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；枯水期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；冰封期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；春季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；夏季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；秋季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；冬季</w:t>
            </w:r>
            <w:r>
              <w:rPr>
                <w:rFonts w:hint="default" w:ascii="Times New Roman" w:hAnsi="Times New Roman" w:eastAsia="宋体" w:cs="Times New Roman"/>
                <w:sz w:val="21"/>
                <w:szCs w:val="21"/>
                <w:u w:val="none" w:color="auto"/>
              </w:rPr>
              <w:sym w:font="Wingdings 2" w:char="00A3"/>
            </w:r>
          </w:p>
        </w:tc>
        <w:tc>
          <w:tcPr>
            <w:tcW w:w="2153" w:type="pct"/>
            <w:gridSpan w:val="6"/>
            <w:tcBorders>
              <w:tl2br w:val="nil"/>
              <w:tr2bl w:val="nil"/>
            </w:tcBorders>
            <w:vAlign w:val="center"/>
          </w:tcPr>
          <w:p w14:paraId="2574B3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水行政主管部门</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；补充监测</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52"/>
            </w:r>
          </w:p>
        </w:tc>
      </w:tr>
      <w:tr w14:paraId="2DD478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5948B50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restart"/>
            <w:tcBorders>
              <w:tl2br w:val="nil"/>
              <w:tr2bl w:val="nil"/>
            </w:tcBorders>
            <w:vAlign w:val="center"/>
          </w:tcPr>
          <w:p w14:paraId="55550F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补充监测</w:t>
            </w:r>
          </w:p>
        </w:tc>
        <w:tc>
          <w:tcPr>
            <w:tcW w:w="2006" w:type="pct"/>
            <w:gridSpan w:val="3"/>
            <w:tcBorders>
              <w:tl2br w:val="nil"/>
              <w:tr2bl w:val="nil"/>
            </w:tcBorders>
            <w:vAlign w:val="center"/>
          </w:tcPr>
          <w:p w14:paraId="3B4C11E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监测时期</w:t>
            </w:r>
          </w:p>
        </w:tc>
        <w:tc>
          <w:tcPr>
            <w:tcW w:w="1428" w:type="pct"/>
            <w:gridSpan w:val="4"/>
            <w:tcBorders>
              <w:tl2br w:val="nil"/>
              <w:tr2bl w:val="nil"/>
            </w:tcBorders>
            <w:vAlign w:val="center"/>
          </w:tcPr>
          <w:p w14:paraId="70578A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监测因子</w:t>
            </w:r>
          </w:p>
        </w:tc>
        <w:tc>
          <w:tcPr>
            <w:tcW w:w="725" w:type="pct"/>
            <w:gridSpan w:val="2"/>
            <w:tcBorders>
              <w:tl2br w:val="nil"/>
              <w:tr2bl w:val="nil"/>
            </w:tcBorders>
            <w:vAlign w:val="center"/>
          </w:tcPr>
          <w:p w14:paraId="695646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监测断面或点位</w:t>
            </w:r>
          </w:p>
        </w:tc>
      </w:tr>
      <w:tr w14:paraId="341E7E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4B180AD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7465F23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2006" w:type="pct"/>
            <w:gridSpan w:val="3"/>
            <w:tcBorders>
              <w:tl2br w:val="nil"/>
              <w:tr2bl w:val="nil"/>
            </w:tcBorders>
            <w:vAlign w:val="center"/>
          </w:tcPr>
          <w:p w14:paraId="060AF7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丰水期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；平水期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；枯水期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；冰封期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w:t>
            </w:r>
          </w:p>
          <w:p w14:paraId="6DBA9F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春季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；夏季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；秋季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；冬季</w:t>
            </w:r>
            <w:r>
              <w:rPr>
                <w:rFonts w:hint="default" w:ascii="Times New Roman" w:hAnsi="Times New Roman" w:eastAsia="宋体" w:cs="Times New Roman"/>
                <w:sz w:val="21"/>
                <w:szCs w:val="21"/>
                <w:u w:val="none" w:color="auto"/>
              </w:rPr>
              <w:sym w:font="Wingdings 2" w:char="00A3"/>
            </w:r>
          </w:p>
        </w:tc>
        <w:tc>
          <w:tcPr>
            <w:tcW w:w="1428" w:type="pct"/>
            <w:gridSpan w:val="4"/>
            <w:tcBorders>
              <w:tl2br w:val="nil"/>
              <w:tr2bl w:val="nil"/>
            </w:tcBorders>
            <w:vAlign w:val="center"/>
          </w:tcPr>
          <w:p w14:paraId="2B82AC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（pH值、化学需氧量、五日生化需氧量、氨氦、总磷、挥发酚、石油类、阴离子表面活性剂、硫化物、粪大肠菌群、铜、锌、氯化物、氟化物、砷、汞、镉、六价铬、铅）</w:t>
            </w:r>
          </w:p>
        </w:tc>
        <w:tc>
          <w:tcPr>
            <w:tcW w:w="725" w:type="pct"/>
            <w:gridSpan w:val="2"/>
            <w:tcBorders>
              <w:tl2br w:val="nil"/>
              <w:tr2bl w:val="nil"/>
            </w:tcBorders>
            <w:vAlign w:val="center"/>
          </w:tcPr>
          <w:p w14:paraId="4F275C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监测断面或点位个数（</w:t>
            </w:r>
            <w:r>
              <w:rPr>
                <w:rFonts w:hint="eastAsia" w:ascii="Times New Roman" w:hAnsi="Times New Roman" w:eastAsia="宋体" w:cs="Times New Roman"/>
                <w:sz w:val="21"/>
                <w:szCs w:val="21"/>
                <w:u w:val="none" w:color="auto"/>
                <w:lang w:val="en-US" w:eastAsia="zh-CN"/>
              </w:rPr>
              <w:t xml:space="preserve">  3  </w:t>
            </w:r>
            <w:r>
              <w:rPr>
                <w:rFonts w:hint="default" w:ascii="Times New Roman" w:hAnsi="Times New Roman" w:eastAsia="宋体" w:cs="Times New Roman"/>
                <w:sz w:val="21"/>
                <w:szCs w:val="21"/>
                <w:u w:val="none" w:color="auto"/>
              </w:rPr>
              <w:t>）个</w:t>
            </w:r>
          </w:p>
        </w:tc>
      </w:tr>
      <w:tr w14:paraId="6850E5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restart"/>
            <w:tcBorders>
              <w:tl2br w:val="nil"/>
              <w:tr2bl w:val="nil"/>
            </w:tcBorders>
            <w:vAlign w:val="center"/>
          </w:tcPr>
          <w:p w14:paraId="10EBCB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现状评价</w:t>
            </w:r>
          </w:p>
        </w:tc>
        <w:tc>
          <w:tcPr>
            <w:tcW w:w="665" w:type="pct"/>
            <w:tcBorders>
              <w:tl2br w:val="nil"/>
              <w:tr2bl w:val="nil"/>
            </w:tcBorders>
            <w:vAlign w:val="center"/>
          </w:tcPr>
          <w:p w14:paraId="40D80F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评价范围</w:t>
            </w:r>
          </w:p>
        </w:tc>
        <w:tc>
          <w:tcPr>
            <w:tcW w:w="4160" w:type="pct"/>
            <w:gridSpan w:val="9"/>
            <w:tcBorders>
              <w:tl2br w:val="nil"/>
              <w:tr2bl w:val="nil"/>
            </w:tcBorders>
            <w:vAlign w:val="center"/>
          </w:tcPr>
          <w:p w14:paraId="3BDB54C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河流：长度（</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）km；湖库、河口及近岸海域：面积（</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）km</w:t>
            </w:r>
            <w:r>
              <w:rPr>
                <w:rFonts w:hint="default" w:ascii="Times New Roman" w:hAnsi="Times New Roman" w:eastAsia="宋体" w:cs="Times New Roman"/>
                <w:sz w:val="21"/>
                <w:szCs w:val="21"/>
                <w:u w:val="none" w:color="auto"/>
                <w:vertAlign w:val="superscript"/>
              </w:rPr>
              <w:t>2</w:t>
            </w:r>
          </w:p>
        </w:tc>
      </w:tr>
      <w:tr w14:paraId="743C71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027CC13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070C07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评价因子</w:t>
            </w:r>
          </w:p>
        </w:tc>
        <w:tc>
          <w:tcPr>
            <w:tcW w:w="4160" w:type="pct"/>
            <w:gridSpan w:val="9"/>
            <w:tcBorders>
              <w:tl2br w:val="nil"/>
              <w:tr2bl w:val="nil"/>
            </w:tcBorders>
            <w:vAlign w:val="center"/>
          </w:tcPr>
          <w:p w14:paraId="737896C1">
            <w:pPr>
              <w:keepNext w:val="0"/>
              <w:keepLines w:val="0"/>
              <w:pageBreakBefore w:val="0"/>
              <w:widowControl w:val="0"/>
              <w:kinsoku/>
              <w:wordWrap/>
              <w:overflowPunct/>
              <w:topLinePunct w:val="0"/>
              <w:autoSpaceDE/>
              <w:autoSpaceDN/>
              <w:bidi w:val="0"/>
              <w:adjustRightInd/>
              <w:snapToGrid/>
              <w:jc w:val="left"/>
              <w:textAlignment w:val="auto"/>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w:t>
            </w:r>
            <w:r>
              <w:rPr>
                <w:rFonts w:hint="default" w:ascii="Times New Roman" w:hAnsi="Times New Roman" w:eastAsia="宋体" w:cs="Times New Roman"/>
                <w:color w:val="000000" w:themeColor="text1"/>
                <w:u w:val="none" w:color="auto"/>
                <w14:textFill>
                  <w14:solidFill>
                    <w14:schemeClr w14:val="tx1"/>
                  </w14:solidFill>
                </w14:textFill>
              </w:rPr>
              <w:t>pH值、化学需氧量、五日生化需氧量、氨氦、总磷、挥发酚、石油类、阴离子表面活性剂、硫化物、粪大肠菌群、铜、锌、氯化物、氟化物、砷、汞、镉、六价铬、铅</w:t>
            </w:r>
            <w:r>
              <w:rPr>
                <w:rFonts w:hint="eastAsia" w:ascii="Times New Roman" w:hAnsi="Times New Roman" w:eastAsia="宋体" w:cs="Times New Roman"/>
                <w:sz w:val="21"/>
                <w:szCs w:val="21"/>
                <w:u w:val="none" w:color="auto"/>
                <w:lang w:val="en-US" w:eastAsia="zh-CN"/>
              </w:rPr>
              <w:t>）</w:t>
            </w:r>
          </w:p>
        </w:tc>
      </w:tr>
      <w:tr w14:paraId="2DF9F1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4DC9CF8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522B0C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评价标准</w:t>
            </w:r>
          </w:p>
        </w:tc>
        <w:tc>
          <w:tcPr>
            <w:tcW w:w="4160" w:type="pct"/>
            <w:gridSpan w:val="9"/>
            <w:tcBorders>
              <w:tl2br w:val="nil"/>
              <w:tr2bl w:val="nil"/>
            </w:tcBorders>
            <w:vAlign w:val="center"/>
          </w:tcPr>
          <w:p w14:paraId="58872175">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河流、湖库、河口：Ⅰ类</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；Ⅱ类</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；Ⅲ类</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；Ⅳ类</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；Ⅴ类</w:t>
            </w:r>
            <w:r>
              <w:rPr>
                <w:rFonts w:hint="default" w:ascii="Times New Roman" w:hAnsi="Times New Roman" w:eastAsia="宋体" w:cs="Times New Roman"/>
                <w:sz w:val="21"/>
                <w:szCs w:val="21"/>
                <w:u w:val="none" w:color="auto"/>
              </w:rPr>
              <w:sym w:font="Wingdings 2" w:char="00A3"/>
            </w:r>
          </w:p>
          <w:p w14:paraId="531B6A2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近岸海域：第一类</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；第二类</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；第三类</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；第四类</w:t>
            </w:r>
            <w:r>
              <w:rPr>
                <w:rFonts w:hint="default" w:ascii="Times New Roman" w:hAnsi="Times New Roman" w:eastAsia="宋体" w:cs="Times New Roman"/>
                <w:sz w:val="21"/>
                <w:szCs w:val="21"/>
                <w:u w:val="none" w:color="auto"/>
              </w:rPr>
              <w:sym w:font="Wingdings 2" w:char="00A3"/>
            </w:r>
          </w:p>
          <w:p w14:paraId="5DC37204">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规划年评价标准（</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r>
      <w:tr w14:paraId="6B5AEE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68A7F58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0E82B2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评价时期</w:t>
            </w:r>
          </w:p>
        </w:tc>
        <w:tc>
          <w:tcPr>
            <w:tcW w:w="4160" w:type="pct"/>
            <w:gridSpan w:val="9"/>
            <w:tcBorders>
              <w:tl2br w:val="nil"/>
              <w:tr2bl w:val="nil"/>
            </w:tcBorders>
            <w:vAlign w:val="center"/>
          </w:tcPr>
          <w:p w14:paraId="470D7C0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丰水期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；平水期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；枯水期</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；冰封期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；春季</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；夏季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；秋季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；冬季</w:t>
            </w:r>
            <w:r>
              <w:rPr>
                <w:rFonts w:hint="default" w:ascii="Times New Roman" w:hAnsi="Times New Roman" w:eastAsia="宋体" w:cs="Times New Roman"/>
                <w:sz w:val="21"/>
                <w:szCs w:val="21"/>
                <w:u w:val="none" w:color="auto"/>
              </w:rPr>
              <w:sym w:font="Wingdings 2" w:char="00A3"/>
            </w:r>
          </w:p>
        </w:tc>
      </w:tr>
      <w:tr w14:paraId="47E7AC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1A6C6C8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4C8D3D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评价结论</w:t>
            </w:r>
          </w:p>
        </w:tc>
        <w:tc>
          <w:tcPr>
            <w:tcW w:w="3435" w:type="pct"/>
            <w:gridSpan w:val="7"/>
            <w:tcBorders>
              <w:tl2br w:val="nil"/>
              <w:tr2bl w:val="nil"/>
            </w:tcBorders>
            <w:vAlign w:val="center"/>
          </w:tcPr>
          <w:p w14:paraId="6183271A">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水环境功能区或水功能区、近岸海域环境功能区水质达标状况：达标</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；不达标</w:t>
            </w:r>
            <w:r>
              <w:rPr>
                <w:rFonts w:hint="default" w:ascii="Times New Roman" w:hAnsi="Times New Roman" w:eastAsia="宋体" w:cs="Times New Roman"/>
                <w:sz w:val="21"/>
                <w:szCs w:val="21"/>
                <w:u w:val="none" w:color="auto"/>
              </w:rPr>
              <w:sym w:font="Wingdings 2" w:char="00A3"/>
            </w:r>
          </w:p>
          <w:p w14:paraId="7F7FFED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水环境控制单元或断面水质达标状况：达标</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；不达标</w:t>
            </w:r>
            <w:r>
              <w:rPr>
                <w:rFonts w:hint="default" w:ascii="Times New Roman" w:hAnsi="Times New Roman" w:eastAsia="宋体" w:cs="Times New Roman"/>
                <w:sz w:val="21"/>
                <w:szCs w:val="21"/>
                <w:u w:val="none" w:color="auto"/>
              </w:rPr>
              <w:sym w:font="Wingdings 2" w:char="00A3"/>
            </w:r>
          </w:p>
          <w:p w14:paraId="6C5F60C1">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水环境保护目标质量状况：达标</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；不达标</w:t>
            </w:r>
            <w:r>
              <w:rPr>
                <w:rFonts w:hint="default" w:ascii="Times New Roman" w:hAnsi="Times New Roman" w:eastAsia="宋体" w:cs="Times New Roman"/>
                <w:sz w:val="21"/>
                <w:szCs w:val="21"/>
                <w:u w:val="none" w:color="auto"/>
              </w:rPr>
              <w:sym w:font="Wingdings 2" w:char="00A3"/>
            </w:r>
          </w:p>
          <w:p w14:paraId="220FBB3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对照断面、控制断面等代表性断面的水质状况：达标</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；不达标</w:t>
            </w:r>
            <w:r>
              <w:rPr>
                <w:rFonts w:hint="default" w:ascii="Times New Roman" w:hAnsi="Times New Roman" w:eastAsia="宋体" w:cs="Times New Roman"/>
                <w:sz w:val="21"/>
                <w:szCs w:val="21"/>
                <w:u w:val="none" w:color="auto"/>
              </w:rPr>
              <w:sym w:font="Wingdings 2" w:char="00A3"/>
            </w:r>
          </w:p>
          <w:p w14:paraId="508EAEA8">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底泥污染评价</w:t>
            </w:r>
            <w:r>
              <w:rPr>
                <w:rFonts w:hint="default" w:ascii="Times New Roman" w:hAnsi="Times New Roman" w:eastAsia="宋体" w:cs="Times New Roman"/>
                <w:sz w:val="21"/>
                <w:szCs w:val="21"/>
                <w:u w:val="none" w:color="auto"/>
              </w:rPr>
              <w:sym w:font="Wingdings 2" w:char="00A3"/>
            </w:r>
          </w:p>
          <w:p w14:paraId="0CCF5646">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水资源与开发利用程度及其水文情势评价</w:t>
            </w:r>
            <w:r>
              <w:rPr>
                <w:rFonts w:hint="default" w:ascii="Times New Roman" w:hAnsi="Times New Roman" w:eastAsia="宋体" w:cs="Times New Roman"/>
                <w:sz w:val="21"/>
                <w:szCs w:val="21"/>
                <w:u w:val="none" w:color="auto"/>
              </w:rPr>
              <w:sym w:font="Wingdings 2" w:char="00A3"/>
            </w:r>
          </w:p>
          <w:p w14:paraId="092D7CD9">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水环境质量回顾评价</w:t>
            </w:r>
            <w:r>
              <w:rPr>
                <w:rFonts w:hint="default" w:ascii="Times New Roman" w:hAnsi="Times New Roman" w:eastAsia="宋体" w:cs="Times New Roman"/>
                <w:sz w:val="21"/>
                <w:szCs w:val="21"/>
                <w:u w:val="none" w:color="auto"/>
              </w:rPr>
              <w:sym w:font="Wingdings 2" w:char="00A3"/>
            </w:r>
          </w:p>
          <w:p w14:paraId="311B33E6">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流域（区域）水资源（包括水能资源）与开发利用总体状况、生态流量管理要求与现状满足程度、建设项目占用水域空间的水流状况与河湖演变状况</w:t>
            </w:r>
            <w:r>
              <w:rPr>
                <w:rFonts w:hint="default" w:ascii="Times New Roman" w:hAnsi="Times New Roman" w:eastAsia="宋体" w:cs="Times New Roman"/>
                <w:sz w:val="21"/>
                <w:szCs w:val="21"/>
                <w:u w:val="none" w:color="auto"/>
              </w:rPr>
              <w:sym w:font="Wingdings 2" w:char="00A3"/>
            </w:r>
          </w:p>
        </w:tc>
        <w:tc>
          <w:tcPr>
            <w:tcW w:w="725" w:type="pct"/>
            <w:gridSpan w:val="2"/>
            <w:tcBorders>
              <w:tl2br w:val="nil"/>
              <w:tr2bl w:val="nil"/>
            </w:tcBorders>
            <w:vAlign w:val="center"/>
          </w:tcPr>
          <w:p w14:paraId="7BA2D8B1">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达标区</w:t>
            </w:r>
            <w:r>
              <w:rPr>
                <w:rFonts w:hint="default" w:ascii="Times New Roman" w:hAnsi="Times New Roman" w:eastAsia="宋体" w:cs="Times New Roman"/>
                <w:sz w:val="21"/>
                <w:szCs w:val="21"/>
                <w:u w:val="none" w:color="auto"/>
              </w:rPr>
              <w:sym w:font="Wingdings 2" w:char="0052"/>
            </w:r>
          </w:p>
          <w:p w14:paraId="315FEBD9">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不达标区</w:t>
            </w:r>
            <w:r>
              <w:rPr>
                <w:rFonts w:hint="default" w:ascii="Times New Roman" w:hAnsi="Times New Roman" w:eastAsia="宋体" w:cs="Times New Roman"/>
                <w:sz w:val="21"/>
                <w:szCs w:val="21"/>
                <w:u w:val="none" w:color="auto"/>
              </w:rPr>
              <w:sym w:font="Wingdings 2" w:char="00A3"/>
            </w:r>
          </w:p>
        </w:tc>
      </w:tr>
      <w:tr w14:paraId="63583A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restart"/>
            <w:tcBorders>
              <w:tl2br w:val="nil"/>
              <w:tr2bl w:val="nil"/>
            </w:tcBorders>
            <w:vAlign w:val="center"/>
          </w:tcPr>
          <w:p w14:paraId="1DDA9E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影响预测</w:t>
            </w:r>
          </w:p>
        </w:tc>
        <w:tc>
          <w:tcPr>
            <w:tcW w:w="665" w:type="pct"/>
            <w:tcBorders>
              <w:tl2br w:val="nil"/>
              <w:tr2bl w:val="nil"/>
            </w:tcBorders>
            <w:vAlign w:val="center"/>
          </w:tcPr>
          <w:p w14:paraId="66FAF9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预测范围</w:t>
            </w:r>
          </w:p>
        </w:tc>
        <w:tc>
          <w:tcPr>
            <w:tcW w:w="4160" w:type="pct"/>
            <w:gridSpan w:val="9"/>
            <w:tcBorders>
              <w:tl2br w:val="nil"/>
              <w:tr2bl w:val="nil"/>
            </w:tcBorders>
            <w:vAlign w:val="center"/>
          </w:tcPr>
          <w:p w14:paraId="4547822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河流：长度（</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）km；湖库、河口及近岸海域：面积（</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）km</w:t>
            </w:r>
            <w:r>
              <w:rPr>
                <w:rFonts w:hint="default" w:ascii="Times New Roman" w:hAnsi="Times New Roman" w:eastAsia="宋体" w:cs="Times New Roman"/>
                <w:sz w:val="21"/>
                <w:szCs w:val="21"/>
                <w:u w:val="none" w:color="auto"/>
                <w:vertAlign w:val="superscript"/>
              </w:rPr>
              <w:t>2</w:t>
            </w:r>
          </w:p>
        </w:tc>
      </w:tr>
      <w:tr w14:paraId="719B4F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4AD1CC6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6D9AAB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预测因子</w:t>
            </w:r>
          </w:p>
        </w:tc>
        <w:tc>
          <w:tcPr>
            <w:tcW w:w="4160" w:type="pct"/>
            <w:gridSpan w:val="9"/>
            <w:tcBorders>
              <w:tl2br w:val="nil"/>
              <w:tr2bl w:val="nil"/>
            </w:tcBorders>
            <w:vAlign w:val="center"/>
          </w:tcPr>
          <w:p w14:paraId="61A427E4">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r>
      <w:tr w14:paraId="191B5E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6E3D8E3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4A85C6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预测时期</w:t>
            </w:r>
          </w:p>
        </w:tc>
        <w:tc>
          <w:tcPr>
            <w:tcW w:w="4160" w:type="pct"/>
            <w:gridSpan w:val="9"/>
            <w:tcBorders>
              <w:tl2br w:val="nil"/>
              <w:tr2bl w:val="nil"/>
            </w:tcBorders>
            <w:vAlign w:val="center"/>
          </w:tcPr>
          <w:p w14:paraId="092FF796">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丰水期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；平水期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；枯水期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；冰封期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；春季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；夏季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；秋季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；冬季</w:t>
            </w:r>
            <w:r>
              <w:rPr>
                <w:rFonts w:hint="default" w:ascii="Times New Roman" w:hAnsi="Times New Roman" w:eastAsia="宋体" w:cs="Times New Roman"/>
                <w:sz w:val="21"/>
                <w:szCs w:val="21"/>
                <w:u w:val="none" w:color="auto"/>
              </w:rPr>
              <w:sym w:font="Wingdings 2" w:char="00A3"/>
            </w:r>
          </w:p>
          <w:p w14:paraId="1039EBE5">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设计水文条件</w:t>
            </w:r>
            <w:r>
              <w:rPr>
                <w:rFonts w:hint="default" w:ascii="Times New Roman" w:hAnsi="Times New Roman" w:eastAsia="宋体" w:cs="Times New Roman"/>
                <w:sz w:val="21"/>
                <w:szCs w:val="21"/>
                <w:u w:val="none" w:color="auto"/>
              </w:rPr>
              <w:sym w:font="Wingdings 2" w:char="00A3"/>
            </w:r>
          </w:p>
        </w:tc>
      </w:tr>
      <w:tr w14:paraId="3B668A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4A0DB15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0A58C0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预测情景</w:t>
            </w:r>
          </w:p>
        </w:tc>
        <w:tc>
          <w:tcPr>
            <w:tcW w:w="4160" w:type="pct"/>
            <w:gridSpan w:val="9"/>
            <w:tcBorders>
              <w:tl2br w:val="nil"/>
              <w:tr2bl w:val="nil"/>
            </w:tcBorders>
            <w:vAlign w:val="center"/>
          </w:tcPr>
          <w:p w14:paraId="09D8189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建设期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；生产运行期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；服务期满后</w:t>
            </w:r>
            <w:r>
              <w:rPr>
                <w:rFonts w:hint="default" w:ascii="Times New Roman" w:hAnsi="Times New Roman" w:eastAsia="宋体" w:cs="Times New Roman"/>
                <w:sz w:val="21"/>
                <w:szCs w:val="21"/>
                <w:u w:val="none" w:color="auto"/>
              </w:rPr>
              <w:sym w:font="Wingdings 2" w:char="00A3"/>
            </w:r>
          </w:p>
          <w:p w14:paraId="4232F3F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正常工况</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；非正常工况</w:t>
            </w:r>
            <w:r>
              <w:rPr>
                <w:rFonts w:hint="default" w:ascii="Times New Roman" w:hAnsi="Times New Roman" w:eastAsia="宋体" w:cs="Times New Roman"/>
                <w:sz w:val="21"/>
                <w:szCs w:val="21"/>
                <w:u w:val="none" w:color="auto"/>
              </w:rPr>
              <w:sym w:font="Wingdings 2" w:char="00A3"/>
            </w:r>
          </w:p>
          <w:p w14:paraId="37C58E7D">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污染控制和减缓措施方案</w:t>
            </w:r>
            <w:r>
              <w:rPr>
                <w:rFonts w:hint="default" w:ascii="Times New Roman" w:hAnsi="Times New Roman" w:eastAsia="宋体" w:cs="Times New Roman"/>
                <w:sz w:val="21"/>
                <w:szCs w:val="21"/>
                <w:u w:val="none" w:color="auto"/>
              </w:rPr>
              <w:sym w:font="Wingdings 2" w:char="00A3"/>
            </w:r>
          </w:p>
          <w:p w14:paraId="30F829C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区（流）域环境质量改善目标要求情景</w:t>
            </w:r>
            <w:r>
              <w:rPr>
                <w:rFonts w:hint="default" w:ascii="Times New Roman" w:hAnsi="Times New Roman" w:eastAsia="宋体" w:cs="Times New Roman"/>
                <w:sz w:val="21"/>
                <w:szCs w:val="21"/>
                <w:u w:val="none" w:color="auto"/>
              </w:rPr>
              <w:sym w:font="Wingdings 2" w:char="00A3"/>
            </w:r>
          </w:p>
        </w:tc>
      </w:tr>
      <w:tr w14:paraId="71D43E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67DC7C4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1099CF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预测方法</w:t>
            </w:r>
          </w:p>
        </w:tc>
        <w:tc>
          <w:tcPr>
            <w:tcW w:w="4160" w:type="pct"/>
            <w:gridSpan w:val="9"/>
            <w:tcBorders>
              <w:tl2br w:val="nil"/>
              <w:tr2bl w:val="nil"/>
            </w:tcBorders>
            <w:vAlign w:val="center"/>
          </w:tcPr>
          <w:p w14:paraId="77C58A91">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数值解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；解析解</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A3"/>
            </w:r>
          </w:p>
          <w:p w14:paraId="7061C52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导则推荐模式</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A3"/>
            </w:r>
          </w:p>
        </w:tc>
      </w:tr>
      <w:tr w14:paraId="530D6D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restart"/>
            <w:tcBorders>
              <w:tl2br w:val="nil"/>
              <w:tr2bl w:val="nil"/>
            </w:tcBorders>
            <w:vAlign w:val="center"/>
          </w:tcPr>
          <w:p w14:paraId="766AF7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影响评价</w:t>
            </w:r>
          </w:p>
        </w:tc>
        <w:tc>
          <w:tcPr>
            <w:tcW w:w="665" w:type="pct"/>
            <w:tcBorders>
              <w:tl2br w:val="nil"/>
              <w:tr2bl w:val="nil"/>
            </w:tcBorders>
            <w:vAlign w:val="center"/>
          </w:tcPr>
          <w:p w14:paraId="009CE3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水污染控制和水环境影响减缓措施有效性评价</w:t>
            </w:r>
          </w:p>
        </w:tc>
        <w:tc>
          <w:tcPr>
            <w:tcW w:w="4160" w:type="pct"/>
            <w:gridSpan w:val="9"/>
            <w:tcBorders>
              <w:tl2br w:val="nil"/>
              <w:tr2bl w:val="nil"/>
            </w:tcBorders>
            <w:vAlign w:val="center"/>
          </w:tcPr>
          <w:p w14:paraId="1DD6C34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区（流）域环境质量改善目标</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；替代削减源</w:t>
            </w:r>
            <w:r>
              <w:rPr>
                <w:rFonts w:hint="default" w:ascii="Times New Roman" w:hAnsi="Times New Roman" w:eastAsia="宋体" w:cs="Times New Roman"/>
                <w:sz w:val="21"/>
                <w:szCs w:val="21"/>
                <w:u w:val="none" w:color="auto"/>
              </w:rPr>
              <w:sym w:font="Wingdings 2" w:char="00A3"/>
            </w:r>
          </w:p>
        </w:tc>
      </w:tr>
      <w:tr w14:paraId="057EC4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453F163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204440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水环境影响评价</w:t>
            </w:r>
          </w:p>
        </w:tc>
        <w:tc>
          <w:tcPr>
            <w:tcW w:w="4160" w:type="pct"/>
            <w:gridSpan w:val="9"/>
            <w:tcBorders>
              <w:tl2br w:val="nil"/>
              <w:tr2bl w:val="nil"/>
            </w:tcBorders>
            <w:vAlign w:val="center"/>
          </w:tcPr>
          <w:p w14:paraId="757AC098">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排放口混合区外满足水环境管理要求</w:t>
            </w:r>
            <w:r>
              <w:rPr>
                <w:rFonts w:hint="default" w:ascii="Times New Roman" w:hAnsi="Times New Roman" w:eastAsia="宋体" w:cs="Times New Roman"/>
                <w:sz w:val="21"/>
                <w:szCs w:val="21"/>
                <w:u w:val="none" w:color="auto"/>
              </w:rPr>
              <w:sym w:font="Wingdings 2" w:char="00A3"/>
            </w:r>
          </w:p>
          <w:p w14:paraId="013B8FE4">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水环境功能区或水功能区、近岸海域环境功能区水质达标</w:t>
            </w:r>
            <w:r>
              <w:rPr>
                <w:rFonts w:hint="default" w:ascii="Times New Roman" w:hAnsi="Times New Roman" w:eastAsia="宋体" w:cs="Times New Roman"/>
                <w:sz w:val="21"/>
                <w:szCs w:val="21"/>
                <w:u w:val="none" w:color="auto"/>
              </w:rPr>
              <w:sym w:font="Wingdings 2" w:char="0052"/>
            </w:r>
          </w:p>
          <w:p w14:paraId="650BDD4A">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满足水环境保护目标水域水环境质量要求</w:t>
            </w:r>
            <w:r>
              <w:rPr>
                <w:rFonts w:hint="default" w:ascii="Times New Roman" w:hAnsi="Times New Roman" w:eastAsia="宋体" w:cs="Times New Roman"/>
                <w:sz w:val="21"/>
                <w:szCs w:val="21"/>
                <w:u w:val="none" w:color="auto"/>
              </w:rPr>
              <w:sym w:font="Wingdings 2" w:char="0052"/>
            </w:r>
          </w:p>
          <w:p w14:paraId="13355A5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水环境控制单元或断面水质达标</w:t>
            </w:r>
            <w:r>
              <w:rPr>
                <w:rFonts w:hint="default" w:ascii="Times New Roman" w:hAnsi="Times New Roman" w:eastAsia="宋体" w:cs="Times New Roman"/>
                <w:sz w:val="21"/>
                <w:szCs w:val="21"/>
                <w:u w:val="none" w:color="auto"/>
              </w:rPr>
              <w:sym w:font="Wingdings 2" w:char="0052"/>
            </w:r>
          </w:p>
          <w:p w14:paraId="00D6B317">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满足重点水污染物排放总量控制指标要求，重点行业建设项目，主要污染物排放满足等量或减量替代要求</w:t>
            </w:r>
            <w:r>
              <w:rPr>
                <w:rFonts w:hint="default" w:ascii="Times New Roman" w:hAnsi="Times New Roman" w:eastAsia="宋体" w:cs="Times New Roman"/>
                <w:sz w:val="21"/>
                <w:szCs w:val="21"/>
                <w:u w:val="none" w:color="auto"/>
              </w:rPr>
              <w:sym w:font="Wingdings 2" w:char="00A3"/>
            </w:r>
          </w:p>
          <w:p w14:paraId="47A12EC7">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满足区（流）域水环境质量改善目标要求</w:t>
            </w:r>
            <w:r>
              <w:rPr>
                <w:rFonts w:hint="default" w:ascii="Times New Roman" w:hAnsi="Times New Roman" w:eastAsia="宋体" w:cs="Times New Roman"/>
                <w:sz w:val="21"/>
                <w:szCs w:val="21"/>
                <w:u w:val="none" w:color="auto"/>
              </w:rPr>
              <w:sym w:font="Wingdings 2" w:char="00A3"/>
            </w:r>
          </w:p>
          <w:p w14:paraId="0D8C75B1">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水文要素影响型建设项目同时应包括水文情势变化评价、主要水文特征值影响评价、生态流量符合性评价</w:t>
            </w:r>
            <w:r>
              <w:rPr>
                <w:rFonts w:hint="default" w:ascii="Times New Roman" w:hAnsi="Times New Roman" w:eastAsia="宋体" w:cs="Times New Roman"/>
                <w:sz w:val="21"/>
                <w:szCs w:val="21"/>
                <w:u w:val="none" w:color="auto"/>
              </w:rPr>
              <w:sym w:font="Wingdings 2" w:char="00A3"/>
            </w:r>
          </w:p>
          <w:p w14:paraId="608BCDBB">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对于新设或调整入河（湖库、近岸海域）排放口的建设项目，应包括排放口设置的环境合理性评价</w:t>
            </w:r>
            <w:r>
              <w:rPr>
                <w:rFonts w:hint="default" w:ascii="Times New Roman" w:hAnsi="Times New Roman" w:eastAsia="宋体" w:cs="Times New Roman"/>
                <w:sz w:val="21"/>
                <w:szCs w:val="21"/>
                <w:u w:val="none" w:color="auto"/>
              </w:rPr>
              <w:sym w:font="Wingdings 2" w:char="00A3"/>
            </w:r>
          </w:p>
          <w:p w14:paraId="6E60753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满足生态环境保护红线、水环境质量底线、资源利用上线和环境准入清单管理要求</w:t>
            </w:r>
            <w:r>
              <w:rPr>
                <w:rFonts w:hint="default" w:ascii="Times New Roman" w:hAnsi="Times New Roman" w:eastAsia="宋体" w:cs="Times New Roman"/>
                <w:sz w:val="21"/>
                <w:szCs w:val="21"/>
                <w:u w:val="none" w:color="auto"/>
              </w:rPr>
              <w:sym w:font="Wingdings 2" w:char="00A3"/>
            </w:r>
          </w:p>
        </w:tc>
      </w:tr>
      <w:tr w14:paraId="27813E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6B439CC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restart"/>
            <w:tcBorders>
              <w:tl2br w:val="nil"/>
              <w:tr2bl w:val="nil"/>
            </w:tcBorders>
            <w:vAlign w:val="center"/>
          </w:tcPr>
          <w:p w14:paraId="1BE2B4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污染源排放核算</w:t>
            </w:r>
          </w:p>
        </w:tc>
        <w:tc>
          <w:tcPr>
            <w:tcW w:w="1382" w:type="pct"/>
            <w:tcBorders>
              <w:tl2br w:val="nil"/>
              <w:tr2bl w:val="nil"/>
            </w:tcBorders>
            <w:vAlign w:val="center"/>
          </w:tcPr>
          <w:p w14:paraId="6334229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污染物名称</w:t>
            </w:r>
          </w:p>
        </w:tc>
        <w:tc>
          <w:tcPr>
            <w:tcW w:w="1382" w:type="pct"/>
            <w:gridSpan w:val="4"/>
            <w:tcBorders>
              <w:tl2br w:val="nil"/>
              <w:tr2bl w:val="nil"/>
            </w:tcBorders>
            <w:vAlign w:val="center"/>
          </w:tcPr>
          <w:p w14:paraId="621EDC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排放量/（t/a）</w:t>
            </w:r>
          </w:p>
        </w:tc>
        <w:tc>
          <w:tcPr>
            <w:tcW w:w="1395" w:type="pct"/>
            <w:gridSpan w:val="4"/>
            <w:tcBorders>
              <w:tl2br w:val="nil"/>
              <w:tr2bl w:val="nil"/>
            </w:tcBorders>
            <w:vAlign w:val="center"/>
          </w:tcPr>
          <w:p w14:paraId="5507CE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排放浓度/（mg/L）</w:t>
            </w:r>
          </w:p>
        </w:tc>
      </w:tr>
      <w:tr w14:paraId="04E7D1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2444C42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7D24C20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1382" w:type="pct"/>
            <w:tcBorders>
              <w:tl2br w:val="nil"/>
              <w:tr2bl w:val="nil"/>
            </w:tcBorders>
            <w:vAlign w:val="center"/>
          </w:tcPr>
          <w:p w14:paraId="0633C4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COD</w:t>
            </w:r>
            <w:r>
              <w:rPr>
                <w:rFonts w:hint="eastAsia" w:ascii="Times New Roman" w:hAnsi="Times New Roman" w:eastAsia="宋体" w:cs="Times New Roman"/>
                <w:sz w:val="21"/>
                <w:szCs w:val="21"/>
                <w:u w:val="none" w:color="auto"/>
                <w:lang w:eastAsia="zh-CN"/>
              </w:rPr>
              <w:t>）</w:t>
            </w:r>
          </w:p>
        </w:tc>
        <w:tc>
          <w:tcPr>
            <w:tcW w:w="1382" w:type="pct"/>
            <w:gridSpan w:val="4"/>
            <w:tcBorders>
              <w:tl2br w:val="nil"/>
              <w:tr2bl w:val="nil"/>
            </w:tcBorders>
            <w:vAlign w:val="center"/>
          </w:tcPr>
          <w:p w14:paraId="0B01AE9C">
            <w:pPr>
              <w:pStyle w:val="68"/>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w:t>
            </w:r>
            <w:r>
              <w:rPr>
                <w:rFonts w:hint="eastAsia" w:eastAsia="宋体" w:cs="Times New Roman"/>
                <w:color w:val="000000" w:themeColor="text1"/>
                <w:sz w:val="21"/>
                <w:szCs w:val="21"/>
                <w:u w:val="none" w:color="auto"/>
                <w:lang w:val="en-US" w:eastAsia="zh-CN"/>
                <w14:textFill>
                  <w14:solidFill>
                    <w14:schemeClr w14:val="tx1"/>
                  </w14:solidFill>
                </w14:textFill>
              </w:rPr>
              <w:t>2318</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395" w:type="pct"/>
            <w:gridSpan w:val="4"/>
            <w:tcBorders>
              <w:tl2br w:val="nil"/>
              <w:tr2bl w:val="nil"/>
            </w:tcBorders>
            <w:vAlign w:val="center"/>
          </w:tcPr>
          <w:p w14:paraId="5A9443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r>
      <w:tr w14:paraId="056984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4C532EA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2E31DBE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1382" w:type="pct"/>
            <w:tcBorders>
              <w:tl2br w:val="nil"/>
              <w:tr2bl w:val="nil"/>
            </w:tcBorders>
            <w:vAlign w:val="center"/>
          </w:tcPr>
          <w:p w14:paraId="49CD93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氨氮</w:t>
            </w:r>
            <w:r>
              <w:rPr>
                <w:rFonts w:hint="eastAsia" w:ascii="Times New Roman" w:hAnsi="Times New Roman" w:eastAsia="宋体" w:cs="Times New Roman"/>
                <w:sz w:val="21"/>
                <w:szCs w:val="21"/>
                <w:u w:val="none" w:color="auto"/>
                <w:lang w:eastAsia="zh-CN"/>
              </w:rPr>
              <w:t>）</w:t>
            </w:r>
          </w:p>
        </w:tc>
        <w:tc>
          <w:tcPr>
            <w:tcW w:w="1382" w:type="pct"/>
            <w:gridSpan w:val="4"/>
            <w:tcBorders>
              <w:tl2br w:val="nil"/>
              <w:tr2bl w:val="nil"/>
            </w:tcBorders>
            <w:vAlign w:val="center"/>
          </w:tcPr>
          <w:p w14:paraId="6E92B9B2">
            <w:pPr>
              <w:pStyle w:val="68"/>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0.02</w:t>
            </w:r>
            <w:r>
              <w:rPr>
                <w:rFonts w:hint="eastAsia" w:eastAsia="宋体" w:cs="Times New Roman"/>
                <w:color w:val="000000" w:themeColor="text1"/>
                <w:sz w:val="21"/>
                <w:szCs w:val="21"/>
                <w:u w:val="none" w:color="auto"/>
                <w:lang w:val="en-US" w:eastAsia="zh-CN"/>
                <w14:textFill>
                  <w14:solidFill>
                    <w14:schemeClr w14:val="tx1"/>
                  </w14:solidFill>
                </w14:textFill>
              </w:rPr>
              <w:t>69</w:t>
            </w: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w:t>
            </w:r>
          </w:p>
        </w:tc>
        <w:tc>
          <w:tcPr>
            <w:tcW w:w="1395" w:type="pct"/>
            <w:gridSpan w:val="4"/>
            <w:tcBorders>
              <w:tl2br w:val="nil"/>
              <w:tr2bl w:val="nil"/>
            </w:tcBorders>
            <w:vAlign w:val="center"/>
          </w:tcPr>
          <w:p w14:paraId="0DEAD7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r>
      <w:tr w14:paraId="57C332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1128FE4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restart"/>
            <w:tcBorders>
              <w:tl2br w:val="nil"/>
              <w:tr2bl w:val="nil"/>
            </w:tcBorders>
            <w:vAlign w:val="center"/>
          </w:tcPr>
          <w:p w14:paraId="778D69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替代源排放情况</w:t>
            </w:r>
          </w:p>
        </w:tc>
        <w:tc>
          <w:tcPr>
            <w:tcW w:w="1382" w:type="pct"/>
            <w:tcBorders>
              <w:tl2br w:val="nil"/>
              <w:tr2bl w:val="nil"/>
            </w:tcBorders>
            <w:vAlign w:val="center"/>
          </w:tcPr>
          <w:p w14:paraId="072722DE">
            <w:pPr>
              <w:keepNext w:val="0"/>
              <w:keepLines w:val="0"/>
              <w:pageBreakBefore w:val="0"/>
              <w:widowControl w:val="0"/>
              <w:tabs>
                <w:tab w:val="left" w:pos="1017"/>
              </w:tabs>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污染源名称</w:t>
            </w:r>
          </w:p>
        </w:tc>
        <w:tc>
          <w:tcPr>
            <w:tcW w:w="693" w:type="pct"/>
            <w:gridSpan w:val="3"/>
            <w:tcBorders>
              <w:tl2br w:val="nil"/>
              <w:tr2bl w:val="nil"/>
            </w:tcBorders>
            <w:vAlign w:val="center"/>
          </w:tcPr>
          <w:p w14:paraId="037154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排污许可证编号</w:t>
            </w:r>
          </w:p>
        </w:tc>
        <w:tc>
          <w:tcPr>
            <w:tcW w:w="689" w:type="pct"/>
            <w:tcBorders>
              <w:tl2br w:val="nil"/>
              <w:tr2bl w:val="nil"/>
            </w:tcBorders>
            <w:vAlign w:val="center"/>
          </w:tcPr>
          <w:p w14:paraId="2DD5A2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污染物名称</w:t>
            </w:r>
          </w:p>
        </w:tc>
        <w:tc>
          <w:tcPr>
            <w:tcW w:w="696" w:type="pct"/>
            <w:gridSpan w:val="3"/>
            <w:tcBorders>
              <w:tl2br w:val="nil"/>
              <w:tr2bl w:val="nil"/>
            </w:tcBorders>
            <w:vAlign w:val="center"/>
          </w:tcPr>
          <w:p w14:paraId="77C35F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排放量/（t/a）</w:t>
            </w:r>
          </w:p>
        </w:tc>
        <w:tc>
          <w:tcPr>
            <w:tcW w:w="699" w:type="pct"/>
            <w:tcBorders>
              <w:tl2br w:val="nil"/>
              <w:tr2bl w:val="nil"/>
            </w:tcBorders>
            <w:vAlign w:val="center"/>
          </w:tcPr>
          <w:p w14:paraId="1D40BD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排放浓度/（mg/L）</w:t>
            </w:r>
          </w:p>
        </w:tc>
      </w:tr>
      <w:tr w14:paraId="3408E9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76826B1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0452933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1382" w:type="pct"/>
            <w:tcBorders>
              <w:tl2br w:val="nil"/>
              <w:tr2bl w:val="nil"/>
            </w:tcBorders>
            <w:vAlign w:val="center"/>
          </w:tcPr>
          <w:p w14:paraId="6EE775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c>
          <w:tcPr>
            <w:tcW w:w="693" w:type="pct"/>
            <w:gridSpan w:val="3"/>
            <w:tcBorders>
              <w:tl2br w:val="nil"/>
              <w:tr2bl w:val="nil"/>
            </w:tcBorders>
            <w:vAlign w:val="center"/>
          </w:tcPr>
          <w:p w14:paraId="408766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c>
          <w:tcPr>
            <w:tcW w:w="689" w:type="pct"/>
            <w:tcBorders>
              <w:tl2br w:val="nil"/>
              <w:tr2bl w:val="nil"/>
            </w:tcBorders>
            <w:vAlign w:val="center"/>
          </w:tcPr>
          <w:p w14:paraId="257D32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c>
          <w:tcPr>
            <w:tcW w:w="696" w:type="pct"/>
            <w:gridSpan w:val="3"/>
            <w:tcBorders>
              <w:tl2br w:val="nil"/>
              <w:tr2bl w:val="nil"/>
            </w:tcBorders>
            <w:vAlign w:val="center"/>
          </w:tcPr>
          <w:p w14:paraId="4EFDE0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c>
          <w:tcPr>
            <w:tcW w:w="699" w:type="pct"/>
            <w:tcBorders>
              <w:tl2br w:val="nil"/>
              <w:tr2bl w:val="nil"/>
            </w:tcBorders>
            <w:vAlign w:val="center"/>
          </w:tcPr>
          <w:p w14:paraId="7C967B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r>
      <w:tr w14:paraId="09BDD1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54FE069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30505D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生态流量确定</w:t>
            </w:r>
          </w:p>
        </w:tc>
        <w:tc>
          <w:tcPr>
            <w:tcW w:w="4160" w:type="pct"/>
            <w:gridSpan w:val="9"/>
            <w:tcBorders>
              <w:tl2br w:val="nil"/>
              <w:tr2bl w:val="nil"/>
            </w:tcBorders>
            <w:vAlign w:val="center"/>
          </w:tcPr>
          <w:p w14:paraId="162B2DC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生态流量：一般水期（</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）m</w:t>
            </w:r>
            <w:r>
              <w:rPr>
                <w:rFonts w:hint="default" w:ascii="Times New Roman" w:hAnsi="Times New Roman" w:eastAsia="宋体" w:cs="Times New Roman"/>
                <w:sz w:val="21"/>
                <w:szCs w:val="21"/>
                <w:u w:val="none" w:color="auto"/>
                <w:vertAlign w:val="superscript"/>
              </w:rPr>
              <w:t>3</w:t>
            </w:r>
            <w:r>
              <w:rPr>
                <w:rFonts w:hint="default" w:ascii="Times New Roman" w:hAnsi="Times New Roman" w:eastAsia="宋体" w:cs="Times New Roman"/>
                <w:sz w:val="21"/>
                <w:szCs w:val="21"/>
                <w:u w:val="none" w:color="auto"/>
              </w:rPr>
              <w:t>/s；鱼类繁殖期（</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）m</w:t>
            </w:r>
            <w:r>
              <w:rPr>
                <w:rFonts w:hint="default" w:ascii="Times New Roman" w:hAnsi="Times New Roman" w:eastAsia="宋体" w:cs="Times New Roman"/>
                <w:sz w:val="21"/>
                <w:szCs w:val="21"/>
                <w:u w:val="none" w:color="auto"/>
                <w:vertAlign w:val="superscript"/>
              </w:rPr>
              <w:t>3</w:t>
            </w:r>
            <w:r>
              <w:rPr>
                <w:rFonts w:hint="default" w:ascii="Times New Roman" w:hAnsi="Times New Roman" w:eastAsia="宋体" w:cs="Times New Roman"/>
                <w:sz w:val="21"/>
                <w:szCs w:val="21"/>
                <w:u w:val="none" w:color="auto"/>
              </w:rPr>
              <w:t>/s；其他（</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）m</w:t>
            </w:r>
            <w:r>
              <w:rPr>
                <w:rFonts w:hint="default" w:ascii="Times New Roman" w:hAnsi="Times New Roman" w:eastAsia="宋体" w:cs="Times New Roman"/>
                <w:sz w:val="21"/>
                <w:szCs w:val="21"/>
                <w:u w:val="none" w:color="auto"/>
                <w:vertAlign w:val="superscript"/>
              </w:rPr>
              <w:t>3</w:t>
            </w:r>
            <w:r>
              <w:rPr>
                <w:rFonts w:hint="default" w:ascii="Times New Roman" w:hAnsi="Times New Roman" w:eastAsia="宋体" w:cs="Times New Roman"/>
                <w:sz w:val="21"/>
                <w:szCs w:val="21"/>
                <w:u w:val="none" w:color="auto"/>
              </w:rPr>
              <w:t>/s</w:t>
            </w:r>
          </w:p>
          <w:p w14:paraId="11872C5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生态水位：一般水期（</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）m；鱼类繁殖期（</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）m；其他（</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）m</w:t>
            </w:r>
          </w:p>
        </w:tc>
      </w:tr>
      <w:tr w14:paraId="6F8795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restart"/>
            <w:tcBorders>
              <w:tl2br w:val="nil"/>
              <w:tr2bl w:val="nil"/>
            </w:tcBorders>
            <w:vAlign w:val="center"/>
          </w:tcPr>
          <w:p w14:paraId="520E08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防治措施</w:t>
            </w:r>
          </w:p>
        </w:tc>
        <w:tc>
          <w:tcPr>
            <w:tcW w:w="665" w:type="pct"/>
            <w:tcBorders>
              <w:tl2br w:val="nil"/>
              <w:tr2bl w:val="nil"/>
            </w:tcBorders>
            <w:vAlign w:val="center"/>
          </w:tcPr>
          <w:p w14:paraId="7F778A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环保措施</w:t>
            </w:r>
          </w:p>
        </w:tc>
        <w:tc>
          <w:tcPr>
            <w:tcW w:w="4160" w:type="pct"/>
            <w:gridSpan w:val="9"/>
            <w:tcBorders>
              <w:tl2br w:val="nil"/>
              <w:tr2bl w:val="nil"/>
            </w:tcBorders>
            <w:vAlign w:val="center"/>
          </w:tcPr>
          <w:p w14:paraId="280F56F4">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污水处理设施</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；水文减缓设施</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；生态流量保障措施</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；区域削减</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；依托其他工程措施</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A3"/>
            </w:r>
          </w:p>
        </w:tc>
      </w:tr>
      <w:tr w14:paraId="49F3C4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3F71A9B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restart"/>
            <w:tcBorders>
              <w:tl2br w:val="nil"/>
              <w:tr2bl w:val="nil"/>
            </w:tcBorders>
            <w:vAlign w:val="center"/>
          </w:tcPr>
          <w:p w14:paraId="0688EC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监测计划</w:t>
            </w:r>
          </w:p>
        </w:tc>
        <w:tc>
          <w:tcPr>
            <w:tcW w:w="1386" w:type="pct"/>
            <w:gridSpan w:val="2"/>
            <w:tcBorders>
              <w:tl2br w:val="nil"/>
              <w:tr2bl w:val="nil"/>
            </w:tcBorders>
            <w:vAlign w:val="center"/>
          </w:tcPr>
          <w:p w14:paraId="4DEBC9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1386" w:type="pct"/>
            <w:gridSpan w:val="4"/>
            <w:tcBorders>
              <w:tl2br w:val="nil"/>
              <w:tr2bl w:val="nil"/>
            </w:tcBorders>
            <w:vAlign w:val="center"/>
          </w:tcPr>
          <w:p w14:paraId="69A54A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环境质量</w:t>
            </w:r>
          </w:p>
        </w:tc>
        <w:tc>
          <w:tcPr>
            <w:tcW w:w="1386" w:type="pct"/>
            <w:gridSpan w:val="3"/>
            <w:tcBorders>
              <w:tl2br w:val="nil"/>
              <w:tr2bl w:val="nil"/>
            </w:tcBorders>
            <w:vAlign w:val="center"/>
          </w:tcPr>
          <w:p w14:paraId="0537D5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污染源</w:t>
            </w:r>
          </w:p>
        </w:tc>
      </w:tr>
      <w:tr w14:paraId="22E792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27C2AE5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72A6E9F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1386" w:type="pct"/>
            <w:gridSpan w:val="2"/>
            <w:tcBorders>
              <w:tl2br w:val="nil"/>
              <w:tr2bl w:val="nil"/>
            </w:tcBorders>
            <w:vAlign w:val="center"/>
          </w:tcPr>
          <w:p w14:paraId="08698E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监测方式</w:t>
            </w:r>
          </w:p>
        </w:tc>
        <w:tc>
          <w:tcPr>
            <w:tcW w:w="1386" w:type="pct"/>
            <w:gridSpan w:val="4"/>
            <w:tcBorders>
              <w:tl2br w:val="nil"/>
              <w:tr2bl w:val="nil"/>
            </w:tcBorders>
            <w:vAlign w:val="center"/>
          </w:tcPr>
          <w:p w14:paraId="547C72B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手动</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；自动</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；无监测</w:t>
            </w:r>
            <w:r>
              <w:rPr>
                <w:rFonts w:hint="default" w:ascii="Times New Roman" w:hAnsi="Times New Roman" w:eastAsia="宋体" w:cs="Times New Roman"/>
                <w:sz w:val="21"/>
                <w:szCs w:val="21"/>
                <w:u w:val="none" w:color="auto"/>
              </w:rPr>
              <w:sym w:font="Wingdings 2" w:char="0052"/>
            </w:r>
          </w:p>
        </w:tc>
        <w:tc>
          <w:tcPr>
            <w:tcW w:w="1386" w:type="pct"/>
            <w:gridSpan w:val="3"/>
            <w:tcBorders>
              <w:tl2br w:val="nil"/>
              <w:tr2bl w:val="nil"/>
            </w:tcBorders>
            <w:vAlign w:val="center"/>
          </w:tcPr>
          <w:p w14:paraId="45492A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手动</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；自动</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；无监测</w:t>
            </w:r>
            <w:r>
              <w:rPr>
                <w:rFonts w:hint="default" w:ascii="Times New Roman" w:hAnsi="Times New Roman" w:eastAsia="宋体" w:cs="Times New Roman"/>
                <w:sz w:val="21"/>
                <w:szCs w:val="21"/>
                <w:u w:val="none" w:color="auto"/>
              </w:rPr>
              <w:sym w:font="Wingdings 2" w:char="00A3"/>
            </w:r>
          </w:p>
        </w:tc>
      </w:tr>
      <w:tr w14:paraId="04D982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28F888D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61A7427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1386" w:type="pct"/>
            <w:gridSpan w:val="2"/>
            <w:tcBorders>
              <w:tl2br w:val="nil"/>
              <w:tr2bl w:val="nil"/>
            </w:tcBorders>
            <w:vAlign w:val="center"/>
          </w:tcPr>
          <w:p w14:paraId="68AD30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监测点位</w:t>
            </w:r>
          </w:p>
        </w:tc>
        <w:tc>
          <w:tcPr>
            <w:tcW w:w="1386" w:type="pct"/>
            <w:gridSpan w:val="4"/>
            <w:tcBorders>
              <w:tl2br w:val="nil"/>
              <w:tr2bl w:val="nil"/>
            </w:tcBorders>
            <w:vAlign w:val="center"/>
          </w:tcPr>
          <w:p w14:paraId="572AD9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 </w:t>
            </w:r>
            <w:r>
              <w:rPr>
                <w:rFonts w:hint="eastAsia" w:ascii="Times New Roman" w:hAnsi="Times New Roman" w:eastAsia="宋体" w:cs="Times New Roman"/>
                <w:sz w:val="21"/>
                <w:szCs w:val="21"/>
                <w:u w:val="none" w:color="auto"/>
                <w:lang w:val="en-US" w:eastAsia="zh-CN"/>
              </w:rPr>
              <w:t>/</w:t>
            </w:r>
            <w:r>
              <w:rPr>
                <w:rFonts w:hint="default" w:ascii="Times New Roman" w:hAnsi="Times New Roman" w:eastAsia="宋体" w:cs="Times New Roman"/>
                <w:sz w:val="21"/>
                <w:szCs w:val="21"/>
                <w:u w:val="none" w:color="auto"/>
              </w:rPr>
              <w:t xml:space="preserve"> ）</w:t>
            </w:r>
          </w:p>
        </w:tc>
        <w:tc>
          <w:tcPr>
            <w:tcW w:w="1386" w:type="pct"/>
            <w:gridSpan w:val="3"/>
            <w:tcBorders>
              <w:tl2br w:val="nil"/>
              <w:tr2bl w:val="nil"/>
            </w:tcBorders>
            <w:vAlign w:val="center"/>
          </w:tcPr>
          <w:p w14:paraId="21DF0B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（废水</w:t>
            </w:r>
            <w:r>
              <w:rPr>
                <w:rFonts w:hint="default" w:ascii="Times New Roman" w:hAnsi="Times New Roman" w:eastAsia="宋体" w:cs="Times New Roman"/>
                <w:sz w:val="21"/>
                <w:szCs w:val="21"/>
                <w:u w:val="none" w:color="auto"/>
                <w:lang w:val="en-US" w:eastAsia="zh-CN"/>
              </w:rPr>
              <w:t>预处理设施排放口</w:t>
            </w:r>
            <w:r>
              <w:rPr>
                <w:rFonts w:hint="default" w:ascii="Times New Roman" w:hAnsi="Times New Roman" w:eastAsia="宋体" w:cs="Times New Roman"/>
                <w:sz w:val="21"/>
                <w:szCs w:val="21"/>
                <w:u w:val="none" w:color="auto"/>
              </w:rPr>
              <w:t>）</w:t>
            </w:r>
          </w:p>
        </w:tc>
      </w:tr>
      <w:tr w14:paraId="1A1A69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2777F3A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vMerge w:val="continue"/>
            <w:tcBorders>
              <w:tl2br w:val="nil"/>
              <w:tr2bl w:val="nil"/>
            </w:tcBorders>
            <w:vAlign w:val="center"/>
          </w:tcPr>
          <w:p w14:paraId="3FCC2E3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1386" w:type="pct"/>
            <w:gridSpan w:val="2"/>
            <w:tcBorders>
              <w:tl2br w:val="nil"/>
              <w:tr2bl w:val="nil"/>
            </w:tcBorders>
            <w:vAlign w:val="center"/>
          </w:tcPr>
          <w:p w14:paraId="171572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监测因子</w:t>
            </w:r>
          </w:p>
        </w:tc>
        <w:tc>
          <w:tcPr>
            <w:tcW w:w="1386" w:type="pct"/>
            <w:gridSpan w:val="4"/>
            <w:tcBorders>
              <w:tl2br w:val="nil"/>
              <w:tr2bl w:val="nil"/>
            </w:tcBorders>
            <w:vAlign w:val="center"/>
          </w:tcPr>
          <w:p w14:paraId="2CD5C09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 </w:t>
            </w:r>
            <w:r>
              <w:rPr>
                <w:rFonts w:hint="eastAsia" w:ascii="Times New Roman" w:hAnsi="Times New Roman" w:eastAsia="宋体" w:cs="Times New Roman"/>
                <w:sz w:val="21"/>
                <w:szCs w:val="21"/>
                <w:u w:val="none" w:color="auto"/>
                <w:lang w:val="en-US" w:eastAsia="zh-CN"/>
              </w:rPr>
              <w:t>/</w:t>
            </w:r>
            <w:r>
              <w:rPr>
                <w:rFonts w:hint="default" w:ascii="Times New Roman" w:hAnsi="Times New Roman" w:eastAsia="宋体" w:cs="Times New Roman"/>
                <w:sz w:val="21"/>
                <w:szCs w:val="21"/>
                <w:u w:val="none" w:color="auto"/>
              </w:rPr>
              <w:t xml:space="preserve"> ）</w:t>
            </w:r>
          </w:p>
        </w:tc>
        <w:tc>
          <w:tcPr>
            <w:tcW w:w="1386" w:type="pct"/>
            <w:gridSpan w:val="3"/>
            <w:tcBorders>
              <w:tl2br w:val="nil"/>
              <w:tr2bl w:val="nil"/>
            </w:tcBorders>
            <w:vAlign w:val="center"/>
          </w:tcPr>
          <w:p w14:paraId="1F4AF8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（COD</w:t>
            </w:r>
            <w:r>
              <w:rPr>
                <w:rFonts w:hint="default" w:ascii="Times New Roman" w:hAnsi="Times New Roman" w:eastAsia="宋体" w:cs="Times New Roman"/>
                <w:sz w:val="21"/>
                <w:szCs w:val="21"/>
                <w:u w:val="none" w:color="auto"/>
                <w:vertAlign w:val="subscript"/>
              </w:rPr>
              <w:t>Cr</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BOD</w:t>
            </w:r>
            <w:r>
              <w:rPr>
                <w:rFonts w:hint="default" w:ascii="Times New Roman" w:hAnsi="Times New Roman" w:eastAsia="宋体" w:cs="Times New Roman"/>
                <w:sz w:val="21"/>
                <w:szCs w:val="21"/>
                <w:u w:val="none" w:color="auto"/>
                <w:vertAlign w:val="subscript"/>
              </w:rPr>
              <w:t>5</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SS</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氨氮</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动植物油）</w:t>
            </w:r>
          </w:p>
        </w:tc>
      </w:tr>
      <w:tr w14:paraId="18998B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4" w:type="pct"/>
            <w:vMerge w:val="continue"/>
            <w:tcBorders>
              <w:tl2br w:val="nil"/>
              <w:tr2bl w:val="nil"/>
            </w:tcBorders>
            <w:vAlign w:val="center"/>
          </w:tcPr>
          <w:p w14:paraId="024F4E5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1"/>
                <w:szCs w:val="21"/>
                <w:u w:val="none" w:color="auto"/>
              </w:rPr>
            </w:pPr>
          </w:p>
        </w:tc>
        <w:tc>
          <w:tcPr>
            <w:tcW w:w="665" w:type="pct"/>
            <w:tcBorders>
              <w:tl2br w:val="nil"/>
              <w:tr2bl w:val="nil"/>
            </w:tcBorders>
            <w:vAlign w:val="center"/>
          </w:tcPr>
          <w:p w14:paraId="377D21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污染物排放清单</w:t>
            </w:r>
          </w:p>
        </w:tc>
        <w:tc>
          <w:tcPr>
            <w:tcW w:w="4160" w:type="pct"/>
            <w:gridSpan w:val="9"/>
            <w:tcBorders>
              <w:tl2br w:val="nil"/>
              <w:tr2bl w:val="nil"/>
            </w:tcBorders>
            <w:vAlign w:val="center"/>
          </w:tcPr>
          <w:p w14:paraId="5679C579">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sym w:font="Wingdings 2" w:char="0052"/>
            </w:r>
          </w:p>
        </w:tc>
      </w:tr>
      <w:tr w14:paraId="24A66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9" w:type="pct"/>
            <w:gridSpan w:val="2"/>
            <w:tcBorders>
              <w:tl2br w:val="nil"/>
              <w:tr2bl w:val="nil"/>
            </w:tcBorders>
            <w:vAlign w:val="center"/>
          </w:tcPr>
          <w:p w14:paraId="5584A2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评价结论</w:t>
            </w:r>
          </w:p>
        </w:tc>
        <w:tc>
          <w:tcPr>
            <w:tcW w:w="4160" w:type="pct"/>
            <w:gridSpan w:val="9"/>
            <w:tcBorders>
              <w:tl2br w:val="nil"/>
              <w:tr2bl w:val="nil"/>
            </w:tcBorders>
            <w:vAlign w:val="center"/>
          </w:tcPr>
          <w:p w14:paraId="5C50D91F">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可以接受</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；不可以接受</w:t>
            </w:r>
            <w:r>
              <w:rPr>
                <w:rFonts w:hint="default" w:ascii="Times New Roman" w:hAnsi="Times New Roman" w:eastAsia="宋体" w:cs="Times New Roman"/>
                <w:sz w:val="21"/>
                <w:szCs w:val="21"/>
                <w:u w:val="none" w:color="auto"/>
              </w:rPr>
              <w:sym w:font="Wingdings 2" w:char="00A3"/>
            </w:r>
          </w:p>
        </w:tc>
      </w:tr>
      <w:tr w14:paraId="05FA26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11"/>
            <w:tcBorders>
              <w:tl2br w:val="nil"/>
              <w:tr2bl w:val="nil"/>
            </w:tcBorders>
            <w:vAlign w:val="center"/>
          </w:tcPr>
          <w:p w14:paraId="1EE6593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注：</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未勾选项，可√；</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为内容填写项；</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备注</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为其他补充内容</w:t>
            </w:r>
          </w:p>
        </w:tc>
      </w:tr>
    </w:tbl>
    <w:p w14:paraId="699E8D89">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pPr>
    </w:p>
    <w:p w14:paraId="6F3066A4">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47" w:name="_Toc4336"/>
      <w:bookmarkStart w:id="748" w:name="_Toc15322"/>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附表3  土壤环境影响评价自查表</w:t>
      </w:r>
      <w:bookmarkEnd w:id="747"/>
      <w:bookmarkEnd w:id="748"/>
    </w:p>
    <w:tbl>
      <w:tblPr>
        <w:tblStyle w:val="37"/>
        <w:tblW w:w="501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1" w:type="dxa"/>
          <w:bottom w:w="0" w:type="dxa"/>
          <w:right w:w="11" w:type="dxa"/>
        </w:tblCellMar>
      </w:tblPr>
      <w:tblGrid>
        <w:gridCol w:w="547"/>
        <w:gridCol w:w="1535"/>
        <w:gridCol w:w="1354"/>
        <w:gridCol w:w="557"/>
        <w:gridCol w:w="796"/>
        <w:gridCol w:w="1115"/>
        <w:gridCol w:w="239"/>
        <w:gridCol w:w="1358"/>
        <w:gridCol w:w="858"/>
      </w:tblGrid>
      <w:tr w14:paraId="656F23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1245" w:type="pct"/>
            <w:gridSpan w:val="2"/>
            <w:tcBorders>
              <w:tl2br w:val="nil"/>
              <w:tr2bl w:val="nil"/>
            </w:tcBorders>
            <w:vAlign w:val="center"/>
          </w:tcPr>
          <w:p w14:paraId="4E186B28">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工作内容</w:t>
            </w:r>
          </w:p>
        </w:tc>
        <w:tc>
          <w:tcPr>
            <w:tcW w:w="3241" w:type="pct"/>
            <w:gridSpan w:val="6"/>
            <w:tcBorders>
              <w:tl2br w:val="nil"/>
              <w:tr2bl w:val="nil"/>
            </w:tcBorders>
            <w:vAlign w:val="center"/>
          </w:tcPr>
          <w:p w14:paraId="19D3A983">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完成情况</w:t>
            </w:r>
          </w:p>
        </w:tc>
        <w:tc>
          <w:tcPr>
            <w:tcW w:w="513" w:type="pct"/>
            <w:tcBorders>
              <w:tl2br w:val="nil"/>
              <w:tr2bl w:val="nil"/>
            </w:tcBorders>
            <w:vAlign w:val="center"/>
          </w:tcPr>
          <w:p w14:paraId="681AC11B">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备注</w:t>
            </w:r>
          </w:p>
        </w:tc>
      </w:tr>
      <w:tr w14:paraId="7610926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restart"/>
            <w:tcBorders>
              <w:tl2br w:val="nil"/>
              <w:tr2bl w:val="nil"/>
            </w:tcBorders>
            <w:vAlign w:val="center"/>
          </w:tcPr>
          <w:p w14:paraId="73B912F1">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影响识别</w:t>
            </w:r>
          </w:p>
        </w:tc>
        <w:tc>
          <w:tcPr>
            <w:tcW w:w="917" w:type="pct"/>
            <w:tcBorders>
              <w:tl2br w:val="nil"/>
              <w:tr2bl w:val="nil"/>
            </w:tcBorders>
            <w:vAlign w:val="center"/>
          </w:tcPr>
          <w:p w14:paraId="1E1898FF">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影响类型</w:t>
            </w:r>
          </w:p>
        </w:tc>
        <w:tc>
          <w:tcPr>
            <w:tcW w:w="3241" w:type="pct"/>
            <w:gridSpan w:val="6"/>
            <w:tcBorders>
              <w:tl2br w:val="nil"/>
              <w:tr2bl w:val="nil"/>
            </w:tcBorders>
            <w:vAlign w:val="center"/>
          </w:tcPr>
          <w:p w14:paraId="30B22243">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污染影响型</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；生态影响型</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；两种兼有</w:t>
            </w:r>
            <w:r>
              <w:rPr>
                <w:rFonts w:hint="default" w:ascii="Times New Roman" w:hAnsi="Times New Roman" w:eastAsia="宋体" w:cs="Times New Roman"/>
                <w:sz w:val="21"/>
                <w:szCs w:val="21"/>
                <w:u w:val="none" w:color="auto"/>
              </w:rPr>
              <w:sym w:font="Wingdings" w:char="00A8"/>
            </w:r>
          </w:p>
        </w:tc>
        <w:tc>
          <w:tcPr>
            <w:tcW w:w="513" w:type="pct"/>
            <w:tcBorders>
              <w:tl2br w:val="nil"/>
              <w:tr2bl w:val="nil"/>
            </w:tcBorders>
            <w:vAlign w:val="center"/>
          </w:tcPr>
          <w:p w14:paraId="3CD943F3">
            <w:pPr>
              <w:snapToGrid w:val="0"/>
              <w:jc w:val="center"/>
              <w:rPr>
                <w:rFonts w:hint="default" w:ascii="Times New Roman" w:hAnsi="Times New Roman" w:eastAsia="宋体" w:cs="Times New Roman"/>
                <w:sz w:val="21"/>
                <w:szCs w:val="21"/>
                <w:u w:val="none" w:color="auto"/>
              </w:rPr>
            </w:pPr>
          </w:p>
        </w:tc>
      </w:tr>
      <w:tr w14:paraId="08F9B08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74CE2E92">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24DD821D">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土地利用类型</w:t>
            </w:r>
          </w:p>
        </w:tc>
        <w:tc>
          <w:tcPr>
            <w:tcW w:w="3241" w:type="pct"/>
            <w:gridSpan w:val="6"/>
            <w:tcBorders>
              <w:tl2br w:val="nil"/>
              <w:tr2bl w:val="nil"/>
            </w:tcBorders>
            <w:vAlign w:val="center"/>
          </w:tcPr>
          <w:p w14:paraId="60D55BBD">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建设用地</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；农用地</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；未利用地</w:t>
            </w:r>
            <w:r>
              <w:rPr>
                <w:rFonts w:hint="default" w:ascii="Times New Roman" w:hAnsi="Times New Roman" w:eastAsia="宋体" w:cs="Times New Roman"/>
                <w:sz w:val="21"/>
                <w:szCs w:val="21"/>
                <w:u w:val="none" w:color="auto"/>
              </w:rPr>
              <w:sym w:font="Wingdings" w:char="00A8"/>
            </w:r>
          </w:p>
        </w:tc>
        <w:tc>
          <w:tcPr>
            <w:tcW w:w="513" w:type="pct"/>
            <w:tcBorders>
              <w:tl2br w:val="nil"/>
              <w:tr2bl w:val="nil"/>
            </w:tcBorders>
            <w:vAlign w:val="center"/>
          </w:tcPr>
          <w:p w14:paraId="742D4D41">
            <w:pPr>
              <w:snapToGrid w:val="0"/>
              <w:jc w:val="center"/>
              <w:rPr>
                <w:rFonts w:hint="default" w:ascii="Times New Roman" w:hAnsi="Times New Roman" w:eastAsia="宋体" w:cs="Times New Roman"/>
                <w:sz w:val="21"/>
                <w:szCs w:val="21"/>
                <w:u w:val="none" w:color="auto"/>
              </w:rPr>
            </w:pPr>
          </w:p>
        </w:tc>
      </w:tr>
      <w:tr w14:paraId="26EC93B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6DF5CC89">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09B48508">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占地规模</w:t>
            </w:r>
          </w:p>
        </w:tc>
        <w:tc>
          <w:tcPr>
            <w:tcW w:w="3241" w:type="pct"/>
            <w:gridSpan w:val="6"/>
            <w:tcBorders>
              <w:tl2br w:val="nil"/>
              <w:tr2bl w:val="nil"/>
            </w:tcBorders>
            <w:vAlign w:val="center"/>
          </w:tcPr>
          <w:p w14:paraId="6D602E8A">
            <w:pPr>
              <w:snapToGrid w:val="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 xml:space="preserve">3849.6 </w:t>
            </w:r>
            <w:r>
              <w:rPr>
                <w:rFonts w:hint="default" w:ascii="Times New Roman" w:hAnsi="Times New Roman" w:eastAsia="宋体" w:cs="Times New Roman"/>
                <w:sz w:val="21"/>
                <w:szCs w:val="21"/>
                <w:u w:val="none" w:color="auto"/>
              </w:rPr>
              <w:t>m</w:t>
            </w:r>
            <w:r>
              <w:rPr>
                <w:rFonts w:hint="default" w:ascii="Times New Roman" w:hAnsi="Times New Roman" w:eastAsia="宋体" w:cs="Times New Roman"/>
                <w:sz w:val="21"/>
                <w:szCs w:val="21"/>
                <w:u w:val="none" w:color="auto"/>
                <w:vertAlign w:val="superscript"/>
              </w:rPr>
              <w:t>2</w:t>
            </w:r>
          </w:p>
        </w:tc>
        <w:tc>
          <w:tcPr>
            <w:tcW w:w="513" w:type="pct"/>
            <w:tcBorders>
              <w:tl2br w:val="nil"/>
              <w:tr2bl w:val="nil"/>
            </w:tcBorders>
            <w:vAlign w:val="center"/>
          </w:tcPr>
          <w:p w14:paraId="1DE64B89">
            <w:pPr>
              <w:snapToGrid w:val="0"/>
              <w:jc w:val="center"/>
              <w:rPr>
                <w:rFonts w:hint="default" w:ascii="Times New Roman" w:hAnsi="Times New Roman" w:eastAsia="宋体" w:cs="Times New Roman"/>
                <w:sz w:val="21"/>
                <w:szCs w:val="21"/>
                <w:u w:val="none" w:color="auto"/>
              </w:rPr>
            </w:pPr>
          </w:p>
        </w:tc>
      </w:tr>
      <w:tr w14:paraId="4DB2419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5CEBE896">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6146AE2A">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敏感目标信息</w:t>
            </w:r>
          </w:p>
        </w:tc>
        <w:tc>
          <w:tcPr>
            <w:tcW w:w="3241" w:type="pct"/>
            <w:gridSpan w:val="6"/>
            <w:tcBorders>
              <w:tl2br w:val="nil"/>
              <w:tr2bl w:val="nil"/>
            </w:tcBorders>
            <w:vAlign w:val="center"/>
          </w:tcPr>
          <w:p w14:paraId="6F945BC5">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周边农田和居民点</w:t>
            </w:r>
          </w:p>
        </w:tc>
        <w:tc>
          <w:tcPr>
            <w:tcW w:w="513" w:type="pct"/>
            <w:tcBorders>
              <w:tl2br w:val="nil"/>
              <w:tr2bl w:val="nil"/>
            </w:tcBorders>
            <w:vAlign w:val="center"/>
          </w:tcPr>
          <w:p w14:paraId="29917E97">
            <w:pPr>
              <w:snapToGrid w:val="0"/>
              <w:jc w:val="center"/>
              <w:rPr>
                <w:rFonts w:hint="default" w:ascii="Times New Roman" w:hAnsi="Times New Roman" w:eastAsia="宋体" w:cs="Times New Roman"/>
                <w:sz w:val="21"/>
                <w:szCs w:val="21"/>
                <w:u w:val="none" w:color="auto"/>
              </w:rPr>
            </w:pPr>
          </w:p>
        </w:tc>
      </w:tr>
      <w:tr w14:paraId="42ABB4B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4A8B3CC9">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5AA7B951">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影响途径</w:t>
            </w:r>
          </w:p>
        </w:tc>
        <w:tc>
          <w:tcPr>
            <w:tcW w:w="3241" w:type="pct"/>
            <w:gridSpan w:val="6"/>
            <w:tcBorders>
              <w:tl2br w:val="nil"/>
              <w:tr2bl w:val="nil"/>
            </w:tcBorders>
            <w:vAlign w:val="center"/>
          </w:tcPr>
          <w:p w14:paraId="6F7D5182">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大气沉降</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；地面漫流</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；垂直入渗</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；地下水位</w:t>
            </w:r>
            <w:r>
              <w:rPr>
                <w:rFonts w:hint="default" w:ascii="Times New Roman" w:hAnsi="Times New Roman" w:eastAsia="宋体" w:cs="Times New Roman"/>
                <w:sz w:val="21"/>
                <w:szCs w:val="21"/>
                <w:u w:val="none" w:color="auto"/>
              </w:rPr>
              <w:sym w:font="Wingdings" w:char="00A8"/>
            </w:r>
          </w:p>
        </w:tc>
        <w:tc>
          <w:tcPr>
            <w:tcW w:w="513" w:type="pct"/>
            <w:tcBorders>
              <w:tl2br w:val="nil"/>
              <w:tr2bl w:val="nil"/>
            </w:tcBorders>
            <w:vAlign w:val="center"/>
          </w:tcPr>
          <w:p w14:paraId="35ACD672">
            <w:pPr>
              <w:snapToGrid w:val="0"/>
              <w:jc w:val="center"/>
              <w:rPr>
                <w:rFonts w:hint="default" w:ascii="Times New Roman" w:hAnsi="Times New Roman" w:eastAsia="宋体" w:cs="Times New Roman"/>
                <w:sz w:val="21"/>
                <w:szCs w:val="21"/>
                <w:u w:val="none" w:color="auto"/>
              </w:rPr>
            </w:pPr>
          </w:p>
        </w:tc>
      </w:tr>
      <w:tr w14:paraId="34A738D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5041DB5A">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0988EEFB">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全部污染物</w:t>
            </w:r>
          </w:p>
        </w:tc>
        <w:tc>
          <w:tcPr>
            <w:tcW w:w="3241" w:type="pct"/>
            <w:gridSpan w:val="6"/>
            <w:tcBorders>
              <w:tl2br w:val="nil"/>
              <w:tr2bl w:val="nil"/>
            </w:tcBorders>
            <w:vAlign w:val="center"/>
          </w:tcPr>
          <w:p w14:paraId="6544BA25">
            <w:pPr>
              <w:snapToGrid w:val="0"/>
              <w:jc w:val="center"/>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石油烃（C</w:t>
            </w:r>
            <w:r>
              <w:rPr>
                <w:rFonts w:hint="eastAsia" w:ascii="Times New Roman" w:hAnsi="Times New Roman" w:eastAsia="宋体" w:cs="Times New Roman"/>
                <w:sz w:val="21"/>
                <w:szCs w:val="21"/>
                <w:u w:val="none" w:color="auto"/>
                <w:vertAlign w:val="subscript"/>
                <w:lang w:val="en-US" w:eastAsia="zh-CN"/>
              </w:rPr>
              <w:t>10</w:t>
            </w:r>
            <w:r>
              <w:rPr>
                <w:rFonts w:hint="eastAsia" w:ascii="Times New Roman" w:hAnsi="Times New Roman" w:eastAsia="宋体" w:cs="Times New Roman"/>
                <w:sz w:val="21"/>
                <w:szCs w:val="21"/>
                <w:u w:val="none" w:color="auto"/>
                <w:lang w:val="en-US" w:eastAsia="zh-CN"/>
              </w:rPr>
              <w:t>～C</w:t>
            </w:r>
            <w:r>
              <w:rPr>
                <w:rFonts w:hint="eastAsia" w:ascii="Times New Roman" w:hAnsi="Times New Roman" w:eastAsia="宋体" w:cs="Times New Roman"/>
                <w:sz w:val="21"/>
                <w:szCs w:val="21"/>
                <w:u w:val="none" w:color="auto"/>
                <w:vertAlign w:val="subscript"/>
                <w:lang w:val="en-US" w:eastAsia="zh-CN"/>
              </w:rPr>
              <w:t>40</w:t>
            </w:r>
            <w:r>
              <w:rPr>
                <w:rFonts w:hint="eastAsia" w:ascii="Times New Roman" w:hAnsi="Times New Roman" w:eastAsia="宋体" w:cs="Times New Roman"/>
                <w:sz w:val="21"/>
                <w:szCs w:val="21"/>
                <w:u w:val="none" w:color="auto"/>
                <w:lang w:val="en-US" w:eastAsia="zh-CN"/>
              </w:rPr>
              <w:t>）</w:t>
            </w:r>
          </w:p>
        </w:tc>
        <w:tc>
          <w:tcPr>
            <w:tcW w:w="513" w:type="pct"/>
            <w:tcBorders>
              <w:tl2br w:val="nil"/>
              <w:tr2bl w:val="nil"/>
            </w:tcBorders>
            <w:vAlign w:val="center"/>
          </w:tcPr>
          <w:p w14:paraId="18A608AB">
            <w:pPr>
              <w:snapToGrid w:val="0"/>
              <w:jc w:val="center"/>
              <w:rPr>
                <w:rFonts w:hint="default" w:ascii="Times New Roman" w:hAnsi="Times New Roman" w:eastAsia="宋体" w:cs="Times New Roman"/>
                <w:sz w:val="21"/>
                <w:szCs w:val="21"/>
                <w:u w:val="none" w:color="auto"/>
              </w:rPr>
            </w:pPr>
          </w:p>
        </w:tc>
      </w:tr>
      <w:tr w14:paraId="5028D2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0E3BD30B">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281BFF0D">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特征因子</w:t>
            </w:r>
          </w:p>
        </w:tc>
        <w:tc>
          <w:tcPr>
            <w:tcW w:w="3241" w:type="pct"/>
            <w:gridSpan w:val="6"/>
            <w:tcBorders>
              <w:tl2br w:val="nil"/>
              <w:tr2bl w:val="nil"/>
            </w:tcBorders>
            <w:vAlign w:val="center"/>
          </w:tcPr>
          <w:p w14:paraId="55145616">
            <w:pPr>
              <w:snapToGrid w:val="0"/>
              <w:jc w:val="center"/>
              <w:rPr>
                <w:rFonts w:hint="default" w:ascii="Times New Roman" w:hAnsi="Times New Roman" w:eastAsia="宋体" w:cs="Times New Roman"/>
                <w:sz w:val="21"/>
                <w:szCs w:val="21"/>
                <w:u w:val="none" w:color="auto"/>
              </w:rPr>
            </w:pPr>
            <w:r>
              <w:rPr>
                <w:rFonts w:hint="eastAsia" w:ascii="Times New Roman" w:hAnsi="Times New Roman" w:eastAsia="宋体" w:cs="Times New Roman"/>
                <w:sz w:val="21"/>
                <w:szCs w:val="21"/>
                <w:u w:val="none" w:color="auto"/>
                <w:lang w:val="en-US" w:eastAsia="zh-CN"/>
              </w:rPr>
              <w:t>石油烃（C</w:t>
            </w:r>
            <w:r>
              <w:rPr>
                <w:rFonts w:hint="eastAsia" w:ascii="Times New Roman" w:hAnsi="Times New Roman" w:eastAsia="宋体" w:cs="Times New Roman"/>
                <w:sz w:val="21"/>
                <w:szCs w:val="21"/>
                <w:u w:val="none" w:color="auto"/>
                <w:vertAlign w:val="subscript"/>
                <w:lang w:val="en-US" w:eastAsia="zh-CN"/>
              </w:rPr>
              <w:t>10</w:t>
            </w:r>
            <w:r>
              <w:rPr>
                <w:rFonts w:hint="eastAsia" w:ascii="Times New Roman" w:hAnsi="Times New Roman" w:eastAsia="宋体" w:cs="Times New Roman"/>
                <w:sz w:val="21"/>
                <w:szCs w:val="21"/>
                <w:u w:val="none" w:color="auto"/>
                <w:lang w:val="en-US" w:eastAsia="zh-CN"/>
              </w:rPr>
              <w:t>～C</w:t>
            </w:r>
            <w:r>
              <w:rPr>
                <w:rFonts w:hint="eastAsia" w:ascii="Times New Roman" w:hAnsi="Times New Roman" w:eastAsia="宋体" w:cs="Times New Roman"/>
                <w:sz w:val="21"/>
                <w:szCs w:val="21"/>
                <w:u w:val="none" w:color="auto"/>
                <w:vertAlign w:val="subscript"/>
                <w:lang w:val="en-US" w:eastAsia="zh-CN"/>
              </w:rPr>
              <w:t>40</w:t>
            </w:r>
            <w:r>
              <w:rPr>
                <w:rFonts w:hint="eastAsia" w:ascii="Times New Roman" w:hAnsi="Times New Roman" w:eastAsia="宋体" w:cs="Times New Roman"/>
                <w:sz w:val="21"/>
                <w:szCs w:val="21"/>
                <w:u w:val="none" w:color="auto"/>
                <w:lang w:val="en-US" w:eastAsia="zh-CN"/>
              </w:rPr>
              <w:t>）</w:t>
            </w:r>
          </w:p>
        </w:tc>
        <w:tc>
          <w:tcPr>
            <w:tcW w:w="513" w:type="pct"/>
            <w:tcBorders>
              <w:tl2br w:val="nil"/>
              <w:tr2bl w:val="nil"/>
            </w:tcBorders>
            <w:vAlign w:val="center"/>
          </w:tcPr>
          <w:p w14:paraId="083764F5">
            <w:pPr>
              <w:snapToGrid w:val="0"/>
              <w:jc w:val="center"/>
              <w:rPr>
                <w:rFonts w:hint="default" w:ascii="Times New Roman" w:hAnsi="Times New Roman" w:eastAsia="宋体" w:cs="Times New Roman"/>
                <w:sz w:val="21"/>
                <w:szCs w:val="21"/>
                <w:u w:val="none" w:color="auto"/>
              </w:rPr>
            </w:pPr>
          </w:p>
        </w:tc>
      </w:tr>
      <w:tr w14:paraId="4A391A5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49116479">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3B4849CD">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所属土壤环境影响评价项目类别</w:t>
            </w:r>
          </w:p>
        </w:tc>
        <w:tc>
          <w:tcPr>
            <w:tcW w:w="3241" w:type="pct"/>
            <w:gridSpan w:val="6"/>
            <w:tcBorders>
              <w:tl2br w:val="nil"/>
              <w:tr2bl w:val="nil"/>
            </w:tcBorders>
            <w:vAlign w:val="center"/>
          </w:tcPr>
          <w:p w14:paraId="5F442120">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Ⅰ类</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；Ⅱ类</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；Ⅲ类</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；Ⅳ类</w:t>
            </w:r>
            <w:r>
              <w:rPr>
                <w:rFonts w:hint="default" w:ascii="Times New Roman" w:hAnsi="Times New Roman" w:eastAsia="宋体" w:cs="Times New Roman"/>
                <w:sz w:val="21"/>
                <w:szCs w:val="21"/>
                <w:u w:val="none" w:color="auto"/>
              </w:rPr>
              <w:sym w:font="Wingdings" w:char="00A8"/>
            </w:r>
          </w:p>
        </w:tc>
        <w:tc>
          <w:tcPr>
            <w:tcW w:w="513" w:type="pct"/>
            <w:tcBorders>
              <w:tl2br w:val="nil"/>
              <w:tr2bl w:val="nil"/>
            </w:tcBorders>
            <w:vAlign w:val="center"/>
          </w:tcPr>
          <w:p w14:paraId="53B7B8CB">
            <w:pPr>
              <w:snapToGrid w:val="0"/>
              <w:jc w:val="center"/>
              <w:rPr>
                <w:rFonts w:hint="default" w:ascii="Times New Roman" w:hAnsi="Times New Roman" w:eastAsia="宋体" w:cs="Times New Roman"/>
                <w:sz w:val="21"/>
                <w:szCs w:val="21"/>
                <w:u w:val="none" w:color="auto"/>
              </w:rPr>
            </w:pPr>
          </w:p>
        </w:tc>
      </w:tr>
      <w:tr w14:paraId="0EBD43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0BB53ABB">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429ABC59">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敏感程度</w:t>
            </w:r>
          </w:p>
        </w:tc>
        <w:tc>
          <w:tcPr>
            <w:tcW w:w="3241" w:type="pct"/>
            <w:gridSpan w:val="6"/>
            <w:tcBorders>
              <w:tl2br w:val="nil"/>
              <w:tr2bl w:val="nil"/>
            </w:tcBorders>
            <w:vAlign w:val="center"/>
          </w:tcPr>
          <w:p w14:paraId="453886D0">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敏感</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；较敏感</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；不敏感</w:t>
            </w:r>
            <w:r>
              <w:rPr>
                <w:rFonts w:hint="default" w:ascii="Times New Roman" w:hAnsi="Times New Roman" w:eastAsia="宋体" w:cs="Times New Roman"/>
                <w:sz w:val="21"/>
                <w:szCs w:val="21"/>
                <w:u w:val="none" w:color="auto"/>
              </w:rPr>
              <w:sym w:font="Wingdings 2" w:char="00A3"/>
            </w:r>
          </w:p>
        </w:tc>
        <w:tc>
          <w:tcPr>
            <w:tcW w:w="513" w:type="pct"/>
            <w:tcBorders>
              <w:tl2br w:val="nil"/>
              <w:tr2bl w:val="nil"/>
            </w:tcBorders>
            <w:vAlign w:val="center"/>
          </w:tcPr>
          <w:p w14:paraId="2498A34B">
            <w:pPr>
              <w:snapToGrid w:val="0"/>
              <w:jc w:val="center"/>
              <w:rPr>
                <w:rFonts w:hint="default" w:ascii="Times New Roman" w:hAnsi="Times New Roman" w:eastAsia="宋体" w:cs="Times New Roman"/>
                <w:sz w:val="21"/>
                <w:szCs w:val="21"/>
                <w:u w:val="none" w:color="auto"/>
              </w:rPr>
            </w:pPr>
          </w:p>
        </w:tc>
      </w:tr>
      <w:tr w14:paraId="2B997E7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1245" w:type="pct"/>
            <w:gridSpan w:val="2"/>
            <w:tcBorders>
              <w:tl2br w:val="nil"/>
              <w:tr2bl w:val="nil"/>
            </w:tcBorders>
            <w:vAlign w:val="center"/>
          </w:tcPr>
          <w:p w14:paraId="0DE28541">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评价工作等级</w:t>
            </w:r>
          </w:p>
        </w:tc>
        <w:tc>
          <w:tcPr>
            <w:tcW w:w="3241" w:type="pct"/>
            <w:gridSpan w:val="6"/>
            <w:tcBorders>
              <w:tl2br w:val="nil"/>
              <w:tr2bl w:val="nil"/>
            </w:tcBorders>
            <w:vAlign w:val="center"/>
          </w:tcPr>
          <w:p w14:paraId="461ED904">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一级</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；二级</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；三级</w:t>
            </w:r>
            <w:r>
              <w:rPr>
                <w:rFonts w:hint="default" w:ascii="Times New Roman" w:hAnsi="Times New Roman" w:eastAsia="宋体" w:cs="Times New Roman"/>
                <w:sz w:val="21"/>
                <w:szCs w:val="21"/>
                <w:u w:val="none" w:color="auto"/>
              </w:rPr>
              <w:sym w:font="Wingdings 2" w:char="0052"/>
            </w:r>
          </w:p>
        </w:tc>
        <w:tc>
          <w:tcPr>
            <w:tcW w:w="513" w:type="pct"/>
            <w:tcBorders>
              <w:tl2br w:val="nil"/>
              <w:tr2bl w:val="nil"/>
            </w:tcBorders>
            <w:vAlign w:val="center"/>
          </w:tcPr>
          <w:p w14:paraId="28785675">
            <w:pPr>
              <w:snapToGrid w:val="0"/>
              <w:jc w:val="center"/>
              <w:rPr>
                <w:rFonts w:hint="default" w:ascii="Times New Roman" w:hAnsi="Times New Roman" w:eastAsia="宋体" w:cs="Times New Roman"/>
                <w:sz w:val="21"/>
                <w:szCs w:val="21"/>
                <w:u w:val="none" w:color="auto"/>
              </w:rPr>
            </w:pPr>
          </w:p>
        </w:tc>
      </w:tr>
      <w:tr w14:paraId="0B97E4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restart"/>
            <w:tcBorders>
              <w:tl2br w:val="nil"/>
              <w:tr2bl w:val="nil"/>
            </w:tcBorders>
            <w:vAlign w:val="center"/>
          </w:tcPr>
          <w:p w14:paraId="3A95DC19">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现状调查内容</w:t>
            </w:r>
          </w:p>
        </w:tc>
        <w:tc>
          <w:tcPr>
            <w:tcW w:w="917" w:type="pct"/>
            <w:tcBorders>
              <w:tl2br w:val="nil"/>
              <w:tr2bl w:val="nil"/>
            </w:tcBorders>
            <w:vAlign w:val="center"/>
          </w:tcPr>
          <w:p w14:paraId="22297364">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资料收集</w:t>
            </w:r>
          </w:p>
        </w:tc>
        <w:tc>
          <w:tcPr>
            <w:tcW w:w="3241" w:type="pct"/>
            <w:gridSpan w:val="6"/>
            <w:tcBorders>
              <w:tl2br w:val="nil"/>
              <w:tr2bl w:val="nil"/>
            </w:tcBorders>
            <w:vAlign w:val="center"/>
          </w:tcPr>
          <w:p w14:paraId="2B3C81AC">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a）</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；b）</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；c）</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；d</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w:t>
            </w:r>
          </w:p>
        </w:tc>
        <w:tc>
          <w:tcPr>
            <w:tcW w:w="513" w:type="pct"/>
            <w:tcBorders>
              <w:tl2br w:val="nil"/>
              <w:tr2bl w:val="nil"/>
            </w:tcBorders>
            <w:vAlign w:val="center"/>
          </w:tcPr>
          <w:p w14:paraId="4B475BC1">
            <w:pPr>
              <w:snapToGrid w:val="0"/>
              <w:jc w:val="center"/>
              <w:rPr>
                <w:rFonts w:hint="default" w:ascii="Times New Roman" w:hAnsi="Times New Roman" w:eastAsia="宋体" w:cs="Times New Roman"/>
                <w:sz w:val="21"/>
                <w:szCs w:val="21"/>
                <w:u w:val="none" w:color="auto"/>
              </w:rPr>
            </w:pPr>
          </w:p>
        </w:tc>
      </w:tr>
      <w:tr w14:paraId="7770702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5D2FEB06">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12582B63">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理化特性</w:t>
            </w:r>
          </w:p>
        </w:tc>
        <w:tc>
          <w:tcPr>
            <w:tcW w:w="3241" w:type="pct"/>
            <w:gridSpan w:val="6"/>
            <w:tcBorders>
              <w:tl2br w:val="nil"/>
              <w:tr2bl w:val="nil"/>
            </w:tcBorders>
            <w:vAlign w:val="center"/>
          </w:tcPr>
          <w:p w14:paraId="5B851F26">
            <w:pPr>
              <w:snapToGrid w:val="0"/>
              <w:jc w:val="center"/>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w:t>
            </w:r>
          </w:p>
        </w:tc>
        <w:tc>
          <w:tcPr>
            <w:tcW w:w="513" w:type="pct"/>
            <w:tcBorders>
              <w:tl2br w:val="nil"/>
              <w:tr2bl w:val="nil"/>
            </w:tcBorders>
            <w:vAlign w:val="center"/>
          </w:tcPr>
          <w:p w14:paraId="1D08D8C3">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同附录C</w:t>
            </w:r>
          </w:p>
        </w:tc>
      </w:tr>
      <w:tr w14:paraId="1C2957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2F8B74AA">
            <w:pPr>
              <w:snapToGrid w:val="0"/>
              <w:jc w:val="center"/>
              <w:rPr>
                <w:rFonts w:hint="default" w:ascii="Times New Roman" w:hAnsi="Times New Roman" w:eastAsia="宋体" w:cs="Times New Roman"/>
                <w:sz w:val="21"/>
                <w:szCs w:val="21"/>
                <w:u w:val="none" w:color="auto"/>
              </w:rPr>
            </w:pPr>
          </w:p>
        </w:tc>
        <w:tc>
          <w:tcPr>
            <w:tcW w:w="917" w:type="pct"/>
            <w:vMerge w:val="restart"/>
            <w:tcBorders>
              <w:tl2br w:val="nil"/>
              <w:tr2bl w:val="nil"/>
            </w:tcBorders>
            <w:vAlign w:val="center"/>
          </w:tcPr>
          <w:p w14:paraId="14077833">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现状监测点位</w:t>
            </w:r>
          </w:p>
        </w:tc>
        <w:tc>
          <w:tcPr>
            <w:tcW w:w="810" w:type="pct"/>
            <w:tcBorders>
              <w:tl2br w:val="nil"/>
              <w:tr2bl w:val="nil"/>
            </w:tcBorders>
            <w:vAlign w:val="center"/>
          </w:tcPr>
          <w:p w14:paraId="7D9AF937">
            <w:pPr>
              <w:snapToGrid w:val="0"/>
              <w:jc w:val="center"/>
              <w:rPr>
                <w:rFonts w:hint="default" w:ascii="Times New Roman" w:hAnsi="Times New Roman" w:eastAsia="宋体" w:cs="Times New Roman"/>
                <w:sz w:val="21"/>
                <w:szCs w:val="21"/>
                <w:u w:val="none" w:color="auto"/>
              </w:rPr>
            </w:pPr>
          </w:p>
        </w:tc>
        <w:tc>
          <w:tcPr>
            <w:tcW w:w="809" w:type="pct"/>
            <w:gridSpan w:val="2"/>
            <w:tcBorders>
              <w:tl2br w:val="nil"/>
              <w:tr2bl w:val="nil"/>
            </w:tcBorders>
            <w:vAlign w:val="center"/>
          </w:tcPr>
          <w:p w14:paraId="3D57B821">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占地范围内</w:t>
            </w:r>
          </w:p>
        </w:tc>
        <w:tc>
          <w:tcPr>
            <w:tcW w:w="810" w:type="pct"/>
            <w:gridSpan w:val="2"/>
            <w:tcBorders>
              <w:tl2br w:val="nil"/>
              <w:tr2bl w:val="nil"/>
            </w:tcBorders>
            <w:vAlign w:val="center"/>
          </w:tcPr>
          <w:p w14:paraId="693F9B49">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占地范围外</w:t>
            </w:r>
          </w:p>
        </w:tc>
        <w:tc>
          <w:tcPr>
            <w:tcW w:w="810" w:type="pct"/>
            <w:tcBorders>
              <w:tl2br w:val="nil"/>
              <w:tr2bl w:val="nil"/>
            </w:tcBorders>
            <w:vAlign w:val="center"/>
          </w:tcPr>
          <w:p w14:paraId="48351C6E">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深度</w:t>
            </w:r>
          </w:p>
        </w:tc>
        <w:tc>
          <w:tcPr>
            <w:tcW w:w="513" w:type="pct"/>
            <w:tcBorders>
              <w:tl2br w:val="nil"/>
              <w:tr2bl w:val="nil"/>
            </w:tcBorders>
            <w:vAlign w:val="center"/>
          </w:tcPr>
          <w:p w14:paraId="38908ACB">
            <w:pPr>
              <w:snapToGrid w:val="0"/>
              <w:jc w:val="center"/>
              <w:rPr>
                <w:rFonts w:hint="default" w:ascii="Times New Roman" w:hAnsi="Times New Roman" w:eastAsia="宋体" w:cs="Times New Roman"/>
                <w:sz w:val="21"/>
                <w:szCs w:val="21"/>
                <w:u w:val="none" w:color="auto"/>
              </w:rPr>
            </w:pPr>
          </w:p>
        </w:tc>
      </w:tr>
      <w:tr w14:paraId="01F71E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791372B5">
            <w:pPr>
              <w:snapToGrid w:val="0"/>
              <w:jc w:val="center"/>
              <w:rPr>
                <w:rFonts w:hint="default" w:ascii="Times New Roman" w:hAnsi="Times New Roman" w:eastAsia="宋体" w:cs="Times New Roman"/>
                <w:sz w:val="21"/>
                <w:szCs w:val="21"/>
                <w:u w:val="none" w:color="auto"/>
              </w:rPr>
            </w:pPr>
          </w:p>
        </w:tc>
        <w:tc>
          <w:tcPr>
            <w:tcW w:w="917" w:type="pct"/>
            <w:vMerge w:val="continue"/>
            <w:tcBorders>
              <w:tl2br w:val="nil"/>
              <w:tr2bl w:val="nil"/>
            </w:tcBorders>
            <w:vAlign w:val="center"/>
          </w:tcPr>
          <w:p w14:paraId="7A2484EF">
            <w:pPr>
              <w:snapToGrid w:val="0"/>
              <w:jc w:val="center"/>
              <w:rPr>
                <w:rFonts w:hint="default" w:ascii="Times New Roman" w:hAnsi="Times New Roman" w:eastAsia="宋体" w:cs="Times New Roman"/>
                <w:sz w:val="21"/>
                <w:szCs w:val="21"/>
                <w:u w:val="none" w:color="auto"/>
              </w:rPr>
            </w:pPr>
          </w:p>
        </w:tc>
        <w:tc>
          <w:tcPr>
            <w:tcW w:w="810" w:type="pct"/>
            <w:tcBorders>
              <w:tl2br w:val="nil"/>
              <w:tr2bl w:val="nil"/>
            </w:tcBorders>
            <w:vAlign w:val="center"/>
          </w:tcPr>
          <w:p w14:paraId="660CB657">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表层样点数</w:t>
            </w:r>
          </w:p>
        </w:tc>
        <w:tc>
          <w:tcPr>
            <w:tcW w:w="809" w:type="pct"/>
            <w:gridSpan w:val="2"/>
            <w:tcBorders>
              <w:tl2br w:val="nil"/>
              <w:tr2bl w:val="nil"/>
            </w:tcBorders>
            <w:vAlign w:val="center"/>
          </w:tcPr>
          <w:p w14:paraId="10BC08A4">
            <w:pPr>
              <w:snapToGrid w:val="0"/>
              <w:jc w:val="center"/>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3</w:t>
            </w:r>
          </w:p>
        </w:tc>
        <w:tc>
          <w:tcPr>
            <w:tcW w:w="810" w:type="pct"/>
            <w:gridSpan w:val="2"/>
            <w:tcBorders>
              <w:tl2br w:val="nil"/>
              <w:tr2bl w:val="nil"/>
            </w:tcBorders>
            <w:vAlign w:val="center"/>
          </w:tcPr>
          <w:p w14:paraId="18A437AC">
            <w:pPr>
              <w:snapToGrid w:val="0"/>
              <w:jc w:val="center"/>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0</w:t>
            </w:r>
          </w:p>
        </w:tc>
        <w:tc>
          <w:tcPr>
            <w:tcW w:w="810" w:type="pct"/>
            <w:tcBorders>
              <w:tl2br w:val="nil"/>
              <w:tr2bl w:val="nil"/>
            </w:tcBorders>
            <w:vAlign w:val="center"/>
          </w:tcPr>
          <w:p w14:paraId="6EF88EE2">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0</w:t>
            </w:r>
            <w:r>
              <w:rPr>
                <w:rFonts w:hint="eastAsia" w:ascii="宋体" w:hAnsi="宋体" w:eastAsia="宋体" w:cs="宋体"/>
                <w:sz w:val="21"/>
                <w:szCs w:val="21"/>
                <w:u w:val="none" w:color="auto"/>
              </w:rPr>
              <w:t>～</w:t>
            </w:r>
            <w:r>
              <w:rPr>
                <w:rFonts w:hint="default" w:ascii="Times New Roman" w:hAnsi="Times New Roman" w:eastAsia="宋体" w:cs="Times New Roman"/>
                <w:sz w:val="21"/>
                <w:szCs w:val="21"/>
                <w:u w:val="none" w:color="auto"/>
              </w:rPr>
              <w:t>0.5m</w:t>
            </w:r>
          </w:p>
        </w:tc>
        <w:tc>
          <w:tcPr>
            <w:tcW w:w="513" w:type="pct"/>
            <w:tcBorders>
              <w:tl2br w:val="nil"/>
              <w:tr2bl w:val="nil"/>
            </w:tcBorders>
            <w:vAlign w:val="center"/>
          </w:tcPr>
          <w:p w14:paraId="508E664B">
            <w:pPr>
              <w:snapToGrid w:val="0"/>
              <w:jc w:val="center"/>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点位分布图</w:t>
            </w:r>
          </w:p>
        </w:tc>
      </w:tr>
      <w:tr w14:paraId="71A402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004E1A91">
            <w:pPr>
              <w:snapToGrid w:val="0"/>
              <w:jc w:val="center"/>
              <w:rPr>
                <w:rFonts w:hint="default" w:ascii="Times New Roman" w:hAnsi="Times New Roman" w:eastAsia="宋体" w:cs="Times New Roman"/>
                <w:sz w:val="21"/>
                <w:szCs w:val="21"/>
                <w:u w:val="none" w:color="auto"/>
              </w:rPr>
            </w:pPr>
          </w:p>
        </w:tc>
        <w:tc>
          <w:tcPr>
            <w:tcW w:w="917" w:type="pct"/>
            <w:vMerge w:val="continue"/>
            <w:tcBorders>
              <w:tl2br w:val="nil"/>
              <w:tr2bl w:val="nil"/>
            </w:tcBorders>
            <w:vAlign w:val="center"/>
          </w:tcPr>
          <w:p w14:paraId="4F5DDB35">
            <w:pPr>
              <w:snapToGrid w:val="0"/>
              <w:jc w:val="center"/>
              <w:rPr>
                <w:rFonts w:hint="default" w:ascii="Times New Roman" w:hAnsi="Times New Roman" w:eastAsia="宋体" w:cs="Times New Roman"/>
                <w:sz w:val="21"/>
                <w:szCs w:val="21"/>
                <w:u w:val="none" w:color="auto"/>
              </w:rPr>
            </w:pPr>
          </w:p>
        </w:tc>
        <w:tc>
          <w:tcPr>
            <w:tcW w:w="810" w:type="pct"/>
            <w:tcBorders>
              <w:tl2br w:val="nil"/>
              <w:tr2bl w:val="nil"/>
            </w:tcBorders>
            <w:vAlign w:val="center"/>
          </w:tcPr>
          <w:p w14:paraId="5EAF695F">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柱状样点数</w:t>
            </w:r>
          </w:p>
        </w:tc>
        <w:tc>
          <w:tcPr>
            <w:tcW w:w="809" w:type="pct"/>
            <w:gridSpan w:val="2"/>
            <w:tcBorders>
              <w:tl2br w:val="nil"/>
              <w:tr2bl w:val="nil"/>
            </w:tcBorders>
            <w:vAlign w:val="center"/>
          </w:tcPr>
          <w:p w14:paraId="0A6A4B64">
            <w:pPr>
              <w:snapToGrid w:val="0"/>
              <w:jc w:val="center"/>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0</w:t>
            </w:r>
          </w:p>
        </w:tc>
        <w:tc>
          <w:tcPr>
            <w:tcW w:w="810" w:type="pct"/>
            <w:gridSpan w:val="2"/>
            <w:tcBorders>
              <w:tl2br w:val="nil"/>
              <w:tr2bl w:val="nil"/>
            </w:tcBorders>
            <w:vAlign w:val="center"/>
          </w:tcPr>
          <w:p w14:paraId="2ADAE1B1">
            <w:pPr>
              <w:snapToGrid w:val="0"/>
              <w:jc w:val="center"/>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0</w:t>
            </w:r>
          </w:p>
        </w:tc>
        <w:tc>
          <w:tcPr>
            <w:tcW w:w="810" w:type="pct"/>
            <w:tcBorders>
              <w:tl2br w:val="nil"/>
              <w:tr2bl w:val="nil"/>
            </w:tcBorders>
            <w:vAlign w:val="center"/>
          </w:tcPr>
          <w:p w14:paraId="2A111D24">
            <w:pPr>
              <w:snapToGrid w:val="0"/>
              <w:jc w:val="center"/>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w:t>
            </w:r>
          </w:p>
        </w:tc>
        <w:tc>
          <w:tcPr>
            <w:tcW w:w="513" w:type="pct"/>
            <w:tcBorders>
              <w:tl2br w:val="nil"/>
              <w:tr2bl w:val="nil"/>
            </w:tcBorders>
            <w:vAlign w:val="center"/>
          </w:tcPr>
          <w:p w14:paraId="6D97BFBF">
            <w:pPr>
              <w:snapToGrid w:val="0"/>
              <w:jc w:val="center"/>
              <w:rPr>
                <w:rFonts w:hint="default" w:ascii="Times New Roman" w:hAnsi="Times New Roman" w:eastAsia="宋体" w:cs="Times New Roman"/>
                <w:sz w:val="21"/>
                <w:szCs w:val="21"/>
                <w:u w:val="none" w:color="auto"/>
              </w:rPr>
            </w:pPr>
          </w:p>
        </w:tc>
      </w:tr>
      <w:tr w14:paraId="1FEF925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3BF2ED61">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71897508">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现状监测因子</w:t>
            </w:r>
          </w:p>
        </w:tc>
        <w:tc>
          <w:tcPr>
            <w:tcW w:w="3241" w:type="pct"/>
            <w:gridSpan w:val="6"/>
            <w:tcBorders>
              <w:tl2br w:val="nil"/>
              <w:tr2bl w:val="nil"/>
            </w:tcBorders>
            <w:vAlign w:val="center"/>
          </w:tcPr>
          <w:p w14:paraId="7472DADA">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GB36600-2018中45项基本因子</w:t>
            </w:r>
            <w:r>
              <w:rPr>
                <w:rFonts w:hint="eastAsia" w:ascii="Times New Roman" w:hAnsi="Times New Roman" w:eastAsia="宋体" w:cs="Times New Roman"/>
                <w:sz w:val="21"/>
                <w:szCs w:val="21"/>
                <w:u w:val="none" w:color="auto"/>
                <w:lang w:val="en-US" w:eastAsia="zh-CN"/>
              </w:rPr>
              <w:t>+石油烃（C</w:t>
            </w:r>
            <w:r>
              <w:rPr>
                <w:rFonts w:hint="eastAsia" w:ascii="Times New Roman" w:hAnsi="Times New Roman" w:eastAsia="宋体" w:cs="Times New Roman"/>
                <w:sz w:val="21"/>
                <w:szCs w:val="21"/>
                <w:u w:val="none" w:color="auto"/>
                <w:vertAlign w:val="subscript"/>
                <w:lang w:val="en-US" w:eastAsia="zh-CN"/>
              </w:rPr>
              <w:t>10</w:t>
            </w:r>
            <w:r>
              <w:rPr>
                <w:rFonts w:hint="eastAsia" w:ascii="Times New Roman" w:hAnsi="Times New Roman" w:eastAsia="宋体" w:cs="Times New Roman"/>
                <w:sz w:val="21"/>
                <w:szCs w:val="21"/>
                <w:u w:val="none" w:color="auto"/>
                <w:lang w:val="en-US" w:eastAsia="zh-CN"/>
              </w:rPr>
              <w:t>～C</w:t>
            </w:r>
            <w:r>
              <w:rPr>
                <w:rFonts w:hint="eastAsia" w:ascii="Times New Roman" w:hAnsi="Times New Roman" w:eastAsia="宋体" w:cs="Times New Roman"/>
                <w:sz w:val="21"/>
                <w:szCs w:val="21"/>
                <w:u w:val="none" w:color="auto"/>
                <w:vertAlign w:val="subscript"/>
                <w:lang w:val="en-US" w:eastAsia="zh-CN"/>
              </w:rPr>
              <w:t>40</w:t>
            </w:r>
            <w:r>
              <w:rPr>
                <w:rFonts w:hint="eastAsia" w:ascii="Times New Roman" w:hAnsi="Times New Roman" w:eastAsia="宋体" w:cs="Times New Roman"/>
                <w:sz w:val="21"/>
                <w:szCs w:val="21"/>
                <w:u w:val="none" w:color="auto"/>
                <w:lang w:val="en-US" w:eastAsia="zh-CN"/>
              </w:rPr>
              <w:t>）</w:t>
            </w:r>
          </w:p>
        </w:tc>
        <w:tc>
          <w:tcPr>
            <w:tcW w:w="513" w:type="pct"/>
            <w:tcBorders>
              <w:tl2br w:val="nil"/>
              <w:tr2bl w:val="nil"/>
            </w:tcBorders>
            <w:vAlign w:val="center"/>
          </w:tcPr>
          <w:p w14:paraId="7542D4EE">
            <w:pPr>
              <w:snapToGrid w:val="0"/>
              <w:jc w:val="center"/>
              <w:rPr>
                <w:rFonts w:hint="default" w:ascii="Times New Roman" w:hAnsi="Times New Roman" w:eastAsia="宋体" w:cs="Times New Roman"/>
                <w:sz w:val="21"/>
                <w:szCs w:val="21"/>
                <w:u w:val="none" w:color="auto"/>
              </w:rPr>
            </w:pPr>
          </w:p>
        </w:tc>
      </w:tr>
      <w:tr w14:paraId="73B38D1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restart"/>
            <w:tcBorders>
              <w:tl2br w:val="nil"/>
              <w:tr2bl w:val="nil"/>
            </w:tcBorders>
            <w:vAlign w:val="center"/>
          </w:tcPr>
          <w:p w14:paraId="44CDF264">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现状评价</w:t>
            </w:r>
          </w:p>
        </w:tc>
        <w:tc>
          <w:tcPr>
            <w:tcW w:w="917" w:type="pct"/>
            <w:tcBorders>
              <w:tl2br w:val="nil"/>
              <w:tr2bl w:val="nil"/>
            </w:tcBorders>
            <w:vAlign w:val="center"/>
          </w:tcPr>
          <w:p w14:paraId="2BD8B78D">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评价因子</w:t>
            </w:r>
          </w:p>
        </w:tc>
        <w:tc>
          <w:tcPr>
            <w:tcW w:w="3241" w:type="pct"/>
            <w:gridSpan w:val="6"/>
            <w:tcBorders>
              <w:tl2br w:val="nil"/>
              <w:tr2bl w:val="nil"/>
            </w:tcBorders>
            <w:vAlign w:val="center"/>
          </w:tcPr>
          <w:p w14:paraId="3406722B">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同现状监测因子</w:t>
            </w:r>
          </w:p>
        </w:tc>
        <w:tc>
          <w:tcPr>
            <w:tcW w:w="513" w:type="pct"/>
            <w:tcBorders>
              <w:tl2br w:val="nil"/>
              <w:tr2bl w:val="nil"/>
            </w:tcBorders>
            <w:vAlign w:val="center"/>
          </w:tcPr>
          <w:p w14:paraId="76569C35">
            <w:pPr>
              <w:snapToGrid w:val="0"/>
              <w:jc w:val="center"/>
              <w:rPr>
                <w:rFonts w:hint="default" w:ascii="Times New Roman" w:hAnsi="Times New Roman" w:eastAsia="宋体" w:cs="Times New Roman"/>
                <w:sz w:val="21"/>
                <w:szCs w:val="21"/>
                <w:u w:val="none" w:color="auto"/>
              </w:rPr>
            </w:pPr>
          </w:p>
        </w:tc>
      </w:tr>
      <w:tr w14:paraId="7FA4D44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4A39BF72">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24724285">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评价标准</w:t>
            </w:r>
          </w:p>
        </w:tc>
        <w:tc>
          <w:tcPr>
            <w:tcW w:w="3241" w:type="pct"/>
            <w:gridSpan w:val="6"/>
            <w:tcBorders>
              <w:tl2br w:val="nil"/>
              <w:tr2bl w:val="nil"/>
            </w:tcBorders>
            <w:vAlign w:val="center"/>
          </w:tcPr>
          <w:p w14:paraId="4E6EB471">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GB 15618</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；GB 36600</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；表D.1</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；表D.2</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w:t>
            </w:r>
          </w:p>
        </w:tc>
        <w:tc>
          <w:tcPr>
            <w:tcW w:w="513" w:type="pct"/>
            <w:tcBorders>
              <w:tl2br w:val="nil"/>
              <w:tr2bl w:val="nil"/>
            </w:tcBorders>
            <w:vAlign w:val="center"/>
          </w:tcPr>
          <w:p w14:paraId="080D41E0">
            <w:pPr>
              <w:snapToGrid w:val="0"/>
              <w:jc w:val="center"/>
              <w:rPr>
                <w:rFonts w:hint="default" w:ascii="Times New Roman" w:hAnsi="Times New Roman" w:eastAsia="宋体" w:cs="Times New Roman"/>
                <w:sz w:val="21"/>
                <w:szCs w:val="21"/>
                <w:u w:val="none" w:color="auto"/>
              </w:rPr>
            </w:pPr>
          </w:p>
        </w:tc>
      </w:tr>
      <w:tr w14:paraId="3C4E8FD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7170F146">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14E4F4E8">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现状评价结论</w:t>
            </w:r>
          </w:p>
        </w:tc>
        <w:tc>
          <w:tcPr>
            <w:tcW w:w="3241" w:type="pct"/>
            <w:gridSpan w:val="6"/>
            <w:tcBorders>
              <w:tl2br w:val="nil"/>
              <w:tr2bl w:val="nil"/>
            </w:tcBorders>
            <w:vAlign w:val="center"/>
          </w:tcPr>
          <w:p w14:paraId="2E94201B">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满足相关标准</w:t>
            </w:r>
          </w:p>
        </w:tc>
        <w:tc>
          <w:tcPr>
            <w:tcW w:w="513" w:type="pct"/>
            <w:tcBorders>
              <w:tl2br w:val="nil"/>
              <w:tr2bl w:val="nil"/>
            </w:tcBorders>
            <w:vAlign w:val="center"/>
          </w:tcPr>
          <w:p w14:paraId="03A06BA7">
            <w:pPr>
              <w:snapToGrid w:val="0"/>
              <w:jc w:val="center"/>
              <w:rPr>
                <w:rFonts w:hint="default" w:ascii="Times New Roman" w:hAnsi="Times New Roman" w:eastAsia="宋体" w:cs="Times New Roman"/>
                <w:sz w:val="21"/>
                <w:szCs w:val="21"/>
                <w:u w:val="none" w:color="auto"/>
              </w:rPr>
            </w:pPr>
          </w:p>
        </w:tc>
      </w:tr>
      <w:tr w14:paraId="55347FD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restart"/>
            <w:tcBorders>
              <w:tl2br w:val="nil"/>
              <w:tr2bl w:val="nil"/>
            </w:tcBorders>
            <w:vAlign w:val="center"/>
          </w:tcPr>
          <w:p w14:paraId="2CF18227">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影响预测</w:t>
            </w:r>
          </w:p>
        </w:tc>
        <w:tc>
          <w:tcPr>
            <w:tcW w:w="917" w:type="pct"/>
            <w:tcBorders>
              <w:tl2br w:val="nil"/>
              <w:tr2bl w:val="nil"/>
            </w:tcBorders>
            <w:vAlign w:val="center"/>
          </w:tcPr>
          <w:p w14:paraId="481AD17B">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预测因子</w:t>
            </w:r>
          </w:p>
        </w:tc>
        <w:tc>
          <w:tcPr>
            <w:tcW w:w="3241" w:type="pct"/>
            <w:gridSpan w:val="6"/>
            <w:tcBorders>
              <w:tl2br w:val="nil"/>
              <w:tr2bl w:val="nil"/>
            </w:tcBorders>
            <w:vAlign w:val="center"/>
          </w:tcPr>
          <w:p w14:paraId="47E3482E">
            <w:pPr>
              <w:snapToGrid w:val="0"/>
              <w:jc w:val="center"/>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w:t>
            </w:r>
          </w:p>
        </w:tc>
        <w:tc>
          <w:tcPr>
            <w:tcW w:w="513" w:type="pct"/>
            <w:tcBorders>
              <w:tl2br w:val="nil"/>
              <w:tr2bl w:val="nil"/>
            </w:tcBorders>
            <w:vAlign w:val="center"/>
          </w:tcPr>
          <w:p w14:paraId="7554E725">
            <w:pPr>
              <w:snapToGrid w:val="0"/>
              <w:jc w:val="center"/>
              <w:rPr>
                <w:rFonts w:hint="default" w:ascii="Times New Roman" w:hAnsi="Times New Roman" w:eastAsia="宋体" w:cs="Times New Roman"/>
                <w:sz w:val="21"/>
                <w:szCs w:val="21"/>
                <w:u w:val="none" w:color="auto"/>
              </w:rPr>
            </w:pPr>
          </w:p>
        </w:tc>
      </w:tr>
      <w:tr w14:paraId="18571D4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5A19F9B4">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318D65FA">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预测方法</w:t>
            </w:r>
          </w:p>
        </w:tc>
        <w:tc>
          <w:tcPr>
            <w:tcW w:w="3241" w:type="pct"/>
            <w:gridSpan w:val="6"/>
            <w:tcBorders>
              <w:tl2br w:val="nil"/>
              <w:tr2bl w:val="nil"/>
            </w:tcBorders>
            <w:vAlign w:val="center"/>
          </w:tcPr>
          <w:p w14:paraId="188DFDC4">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附录E</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；附录F</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；其他（）</w:t>
            </w:r>
          </w:p>
        </w:tc>
        <w:tc>
          <w:tcPr>
            <w:tcW w:w="513" w:type="pct"/>
            <w:tcBorders>
              <w:tl2br w:val="nil"/>
              <w:tr2bl w:val="nil"/>
            </w:tcBorders>
            <w:vAlign w:val="center"/>
          </w:tcPr>
          <w:p w14:paraId="1A4D08CB">
            <w:pPr>
              <w:snapToGrid w:val="0"/>
              <w:jc w:val="center"/>
              <w:rPr>
                <w:rFonts w:hint="default" w:ascii="Times New Roman" w:hAnsi="Times New Roman" w:eastAsia="宋体" w:cs="Times New Roman"/>
                <w:sz w:val="21"/>
                <w:szCs w:val="21"/>
                <w:u w:val="none" w:color="auto"/>
              </w:rPr>
            </w:pPr>
          </w:p>
        </w:tc>
      </w:tr>
      <w:tr w14:paraId="566A57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610A015B">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57E2E97B">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预测分析内容</w:t>
            </w:r>
          </w:p>
        </w:tc>
        <w:tc>
          <w:tcPr>
            <w:tcW w:w="3241" w:type="pct"/>
            <w:gridSpan w:val="6"/>
            <w:tcBorders>
              <w:tl2br w:val="nil"/>
              <w:tr2bl w:val="nil"/>
            </w:tcBorders>
            <w:vAlign w:val="center"/>
          </w:tcPr>
          <w:p w14:paraId="37240354">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影响范围（</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）影响程度（</w:t>
            </w:r>
            <w:r>
              <w:rPr>
                <w:rFonts w:hint="eastAsia" w:ascii="Times New Roman" w:hAnsi="Times New Roman" w:eastAsia="宋体" w:cs="Times New Roman"/>
                <w:sz w:val="21"/>
                <w:szCs w:val="21"/>
                <w:u w:val="none" w:color="auto"/>
                <w:lang w:val="en-US" w:eastAsia="zh-CN"/>
              </w:rPr>
              <w:t xml:space="preserve"> / </w:t>
            </w:r>
            <w:r>
              <w:rPr>
                <w:rFonts w:hint="default" w:ascii="Times New Roman" w:hAnsi="Times New Roman" w:eastAsia="宋体" w:cs="Times New Roman"/>
                <w:sz w:val="21"/>
                <w:szCs w:val="21"/>
                <w:u w:val="none" w:color="auto"/>
              </w:rPr>
              <w:t>）</w:t>
            </w:r>
          </w:p>
        </w:tc>
        <w:tc>
          <w:tcPr>
            <w:tcW w:w="513" w:type="pct"/>
            <w:tcBorders>
              <w:tl2br w:val="nil"/>
              <w:tr2bl w:val="nil"/>
            </w:tcBorders>
            <w:vAlign w:val="center"/>
          </w:tcPr>
          <w:p w14:paraId="7BA079B7">
            <w:pPr>
              <w:snapToGrid w:val="0"/>
              <w:jc w:val="center"/>
              <w:rPr>
                <w:rFonts w:hint="default" w:ascii="Times New Roman" w:hAnsi="Times New Roman" w:eastAsia="宋体" w:cs="Times New Roman"/>
                <w:sz w:val="21"/>
                <w:szCs w:val="21"/>
                <w:u w:val="none" w:color="auto"/>
              </w:rPr>
            </w:pPr>
          </w:p>
        </w:tc>
      </w:tr>
      <w:tr w14:paraId="6B3B6C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48A2BA39">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25CEF37A">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预测结论</w:t>
            </w:r>
          </w:p>
        </w:tc>
        <w:tc>
          <w:tcPr>
            <w:tcW w:w="3241" w:type="pct"/>
            <w:gridSpan w:val="6"/>
            <w:tcBorders>
              <w:tl2br w:val="nil"/>
              <w:tr2bl w:val="nil"/>
            </w:tcBorders>
            <w:vAlign w:val="center"/>
          </w:tcPr>
          <w:p w14:paraId="0F5F4FD6">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达标结论：a）</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；b）</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；c）</w:t>
            </w:r>
            <w:r>
              <w:rPr>
                <w:rFonts w:hint="default" w:ascii="Times New Roman" w:hAnsi="Times New Roman" w:eastAsia="宋体" w:cs="Times New Roman"/>
                <w:sz w:val="21"/>
                <w:szCs w:val="21"/>
                <w:u w:val="none" w:color="auto"/>
              </w:rPr>
              <w:sym w:font="Wingdings 2" w:char="00A3"/>
            </w:r>
          </w:p>
          <w:p w14:paraId="56868747">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不达标结论：a）</w:t>
            </w:r>
            <w:r>
              <w:rPr>
                <w:rFonts w:hint="default" w:ascii="Times New Roman" w:hAnsi="Times New Roman" w:eastAsia="宋体" w:cs="Times New Roman"/>
                <w:sz w:val="21"/>
                <w:szCs w:val="21"/>
                <w:u w:val="none" w:color="auto"/>
              </w:rPr>
              <w:sym w:font="Wingdings 2" w:char="00A3"/>
            </w:r>
            <w:r>
              <w:rPr>
                <w:rFonts w:hint="default" w:ascii="Times New Roman" w:hAnsi="Times New Roman" w:eastAsia="宋体" w:cs="Times New Roman"/>
                <w:sz w:val="21"/>
                <w:szCs w:val="21"/>
                <w:u w:val="none" w:color="auto"/>
              </w:rPr>
              <w:t>；b）</w:t>
            </w:r>
            <w:r>
              <w:rPr>
                <w:rFonts w:hint="default" w:ascii="Times New Roman" w:hAnsi="Times New Roman" w:eastAsia="宋体" w:cs="Times New Roman"/>
                <w:sz w:val="21"/>
                <w:szCs w:val="21"/>
                <w:u w:val="none" w:color="auto"/>
              </w:rPr>
              <w:sym w:font="Wingdings 2" w:char="00A3"/>
            </w:r>
          </w:p>
        </w:tc>
        <w:tc>
          <w:tcPr>
            <w:tcW w:w="513" w:type="pct"/>
            <w:tcBorders>
              <w:tl2br w:val="nil"/>
              <w:tr2bl w:val="nil"/>
            </w:tcBorders>
            <w:vAlign w:val="center"/>
          </w:tcPr>
          <w:p w14:paraId="02009406">
            <w:pPr>
              <w:snapToGrid w:val="0"/>
              <w:jc w:val="center"/>
              <w:rPr>
                <w:rFonts w:hint="default" w:ascii="Times New Roman" w:hAnsi="Times New Roman" w:eastAsia="宋体" w:cs="Times New Roman"/>
                <w:sz w:val="21"/>
                <w:szCs w:val="21"/>
                <w:u w:val="none" w:color="auto"/>
              </w:rPr>
            </w:pPr>
          </w:p>
        </w:tc>
      </w:tr>
      <w:tr w14:paraId="69E445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restart"/>
            <w:tcBorders>
              <w:tl2br w:val="nil"/>
              <w:tr2bl w:val="nil"/>
            </w:tcBorders>
            <w:vAlign w:val="center"/>
          </w:tcPr>
          <w:p w14:paraId="61CC4D73">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防治措施</w:t>
            </w:r>
          </w:p>
        </w:tc>
        <w:tc>
          <w:tcPr>
            <w:tcW w:w="917" w:type="pct"/>
            <w:tcBorders>
              <w:tl2br w:val="nil"/>
              <w:tr2bl w:val="nil"/>
            </w:tcBorders>
            <w:vAlign w:val="center"/>
          </w:tcPr>
          <w:p w14:paraId="75C42C96">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防控措施</w:t>
            </w:r>
          </w:p>
        </w:tc>
        <w:tc>
          <w:tcPr>
            <w:tcW w:w="3241" w:type="pct"/>
            <w:gridSpan w:val="6"/>
            <w:tcBorders>
              <w:tl2br w:val="nil"/>
              <w:tr2bl w:val="nil"/>
            </w:tcBorders>
            <w:vAlign w:val="center"/>
          </w:tcPr>
          <w:p w14:paraId="01EF6158">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土壤环境质量现状保障</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；源头控制</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；过程防控</w:t>
            </w:r>
            <w:r>
              <w:rPr>
                <w:rFonts w:hint="default" w:ascii="Times New Roman" w:hAnsi="Times New Roman" w:eastAsia="宋体" w:cs="Times New Roman"/>
                <w:sz w:val="21"/>
                <w:szCs w:val="21"/>
                <w:u w:val="none" w:color="auto"/>
              </w:rPr>
              <w:sym w:font="Wingdings 2" w:char="0052"/>
            </w:r>
            <w:r>
              <w:rPr>
                <w:rFonts w:hint="default" w:ascii="Times New Roman" w:hAnsi="Times New Roman" w:eastAsia="宋体" w:cs="Times New Roman"/>
                <w:sz w:val="21"/>
                <w:szCs w:val="21"/>
                <w:u w:val="none" w:color="auto"/>
              </w:rPr>
              <w:t>；</w:t>
            </w:r>
          </w:p>
        </w:tc>
        <w:tc>
          <w:tcPr>
            <w:tcW w:w="513" w:type="pct"/>
            <w:tcBorders>
              <w:tl2br w:val="nil"/>
              <w:tr2bl w:val="nil"/>
            </w:tcBorders>
            <w:vAlign w:val="center"/>
          </w:tcPr>
          <w:p w14:paraId="57762131">
            <w:pPr>
              <w:snapToGrid w:val="0"/>
              <w:jc w:val="center"/>
              <w:rPr>
                <w:rFonts w:hint="default" w:ascii="Times New Roman" w:hAnsi="Times New Roman" w:eastAsia="宋体" w:cs="Times New Roman"/>
                <w:sz w:val="21"/>
                <w:szCs w:val="21"/>
                <w:u w:val="none" w:color="auto"/>
              </w:rPr>
            </w:pPr>
          </w:p>
        </w:tc>
      </w:tr>
      <w:tr w14:paraId="447B9C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75566A4A">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0F388828">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跟踪监测</w:t>
            </w:r>
          </w:p>
        </w:tc>
        <w:tc>
          <w:tcPr>
            <w:tcW w:w="1143" w:type="pct"/>
            <w:gridSpan w:val="2"/>
            <w:tcBorders>
              <w:tl2br w:val="nil"/>
              <w:tr2bl w:val="nil"/>
            </w:tcBorders>
            <w:vAlign w:val="center"/>
          </w:tcPr>
          <w:p w14:paraId="06CC0FF8">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监测点数</w:t>
            </w:r>
          </w:p>
        </w:tc>
        <w:tc>
          <w:tcPr>
            <w:tcW w:w="1143" w:type="pct"/>
            <w:gridSpan w:val="2"/>
            <w:tcBorders>
              <w:tl2br w:val="nil"/>
              <w:tr2bl w:val="nil"/>
            </w:tcBorders>
            <w:vAlign w:val="center"/>
          </w:tcPr>
          <w:p w14:paraId="5D8D61BA">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监测指标</w:t>
            </w:r>
          </w:p>
        </w:tc>
        <w:tc>
          <w:tcPr>
            <w:tcW w:w="954" w:type="pct"/>
            <w:gridSpan w:val="2"/>
            <w:tcBorders>
              <w:tl2br w:val="nil"/>
              <w:tr2bl w:val="nil"/>
            </w:tcBorders>
            <w:vAlign w:val="center"/>
          </w:tcPr>
          <w:p w14:paraId="13EB0519">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监测频次</w:t>
            </w:r>
          </w:p>
        </w:tc>
        <w:tc>
          <w:tcPr>
            <w:tcW w:w="513" w:type="pct"/>
            <w:tcBorders>
              <w:tl2br w:val="nil"/>
              <w:tr2bl w:val="nil"/>
            </w:tcBorders>
            <w:vAlign w:val="center"/>
          </w:tcPr>
          <w:p w14:paraId="3A2F5278">
            <w:pPr>
              <w:snapToGrid w:val="0"/>
              <w:jc w:val="center"/>
              <w:rPr>
                <w:rFonts w:hint="default" w:ascii="Times New Roman" w:hAnsi="Times New Roman" w:eastAsia="宋体" w:cs="Times New Roman"/>
                <w:sz w:val="21"/>
                <w:szCs w:val="21"/>
                <w:u w:val="none" w:color="auto"/>
              </w:rPr>
            </w:pPr>
          </w:p>
        </w:tc>
      </w:tr>
      <w:tr w14:paraId="12FBD4F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327" w:type="pct"/>
            <w:vMerge w:val="continue"/>
            <w:tcBorders>
              <w:tl2br w:val="nil"/>
              <w:tr2bl w:val="nil"/>
            </w:tcBorders>
            <w:vAlign w:val="center"/>
          </w:tcPr>
          <w:p w14:paraId="553E7B64">
            <w:pPr>
              <w:snapToGrid w:val="0"/>
              <w:jc w:val="center"/>
              <w:rPr>
                <w:rFonts w:hint="default" w:ascii="Times New Roman" w:hAnsi="Times New Roman" w:eastAsia="宋体" w:cs="Times New Roman"/>
                <w:sz w:val="21"/>
                <w:szCs w:val="21"/>
                <w:u w:val="none" w:color="auto"/>
              </w:rPr>
            </w:pPr>
          </w:p>
        </w:tc>
        <w:tc>
          <w:tcPr>
            <w:tcW w:w="917" w:type="pct"/>
            <w:tcBorders>
              <w:tl2br w:val="nil"/>
              <w:tr2bl w:val="nil"/>
            </w:tcBorders>
            <w:vAlign w:val="center"/>
          </w:tcPr>
          <w:p w14:paraId="59109DBE">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信息公开指标</w:t>
            </w:r>
          </w:p>
        </w:tc>
        <w:tc>
          <w:tcPr>
            <w:tcW w:w="1143" w:type="pct"/>
            <w:gridSpan w:val="2"/>
            <w:tcBorders>
              <w:tl2br w:val="nil"/>
              <w:tr2bl w:val="nil"/>
            </w:tcBorders>
            <w:vAlign w:val="center"/>
          </w:tcPr>
          <w:p w14:paraId="6D8069DF">
            <w:pPr>
              <w:snapToGrid w:val="0"/>
              <w:jc w:val="center"/>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0</w:t>
            </w:r>
          </w:p>
        </w:tc>
        <w:tc>
          <w:tcPr>
            <w:tcW w:w="1143" w:type="pct"/>
            <w:gridSpan w:val="2"/>
            <w:tcBorders>
              <w:tl2br w:val="nil"/>
              <w:tr2bl w:val="nil"/>
            </w:tcBorders>
            <w:vAlign w:val="center"/>
          </w:tcPr>
          <w:p w14:paraId="726A86C5">
            <w:pPr>
              <w:snapToGrid w:val="0"/>
              <w:jc w:val="center"/>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w:t>
            </w:r>
          </w:p>
        </w:tc>
        <w:tc>
          <w:tcPr>
            <w:tcW w:w="954" w:type="pct"/>
            <w:gridSpan w:val="2"/>
            <w:tcBorders>
              <w:tl2br w:val="nil"/>
              <w:tr2bl w:val="nil"/>
            </w:tcBorders>
            <w:vAlign w:val="center"/>
          </w:tcPr>
          <w:p w14:paraId="7BC13005">
            <w:pPr>
              <w:snapToGrid w:val="0"/>
              <w:jc w:val="center"/>
              <w:rPr>
                <w:rFonts w:hint="eastAsia" w:ascii="Times New Roman" w:hAnsi="Times New Roman" w:eastAsia="宋体" w:cs="Times New Roman"/>
                <w:sz w:val="21"/>
                <w:szCs w:val="21"/>
                <w:u w:val="none" w:color="auto"/>
                <w:lang w:eastAsia="zh-CN"/>
              </w:rPr>
            </w:pPr>
            <w:r>
              <w:rPr>
                <w:rFonts w:hint="eastAsia" w:ascii="Times New Roman" w:hAnsi="Times New Roman" w:eastAsia="宋体" w:cs="Times New Roman"/>
                <w:sz w:val="21"/>
                <w:szCs w:val="21"/>
                <w:u w:val="none" w:color="auto"/>
                <w:lang w:val="en-US" w:eastAsia="zh-CN"/>
              </w:rPr>
              <w:t>/</w:t>
            </w:r>
          </w:p>
        </w:tc>
        <w:tc>
          <w:tcPr>
            <w:tcW w:w="513" w:type="pct"/>
            <w:tcBorders>
              <w:tl2br w:val="nil"/>
              <w:tr2bl w:val="nil"/>
            </w:tcBorders>
            <w:vAlign w:val="center"/>
          </w:tcPr>
          <w:p w14:paraId="3D5C24C8">
            <w:pPr>
              <w:snapToGrid w:val="0"/>
              <w:jc w:val="center"/>
              <w:rPr>
                <w:rFonts w:hint="default" w:ascii="Times New Roman" w:hAnsi="Times New Roman" w:eastAsia="宋体" w:cs="Times New Roman"/>
                <w:sz w:val="21"/>
                <w:szCs w:val="21"/>
                <w:u w:val="none" w:color="auto"/>
              </w:rPr>
            </w:pPr>
          </w:p>
        </w:tc>
      </w:tr>
      <w:tr w14:paraId="6213B90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1" w:type="dxa"/>
            <w:bottom w:w="0" w:type="dxa"/>
            <w:right w:w="11" w:type="dxa"/>
          </w:tblCellMar>
        </w:tblPrEx>
        <w:trPr>
          <w:trHeight w:val="397" w:hRule="atLeast"/>
          <w:jc w:val="center"/>
        </w:trPr>
        <w:tc>
          <w:tcPr>
            <w:tcW w:w="1245" w:type="pct"/>
            <w:gridSpan w:val="2"/>
            <w:tcBorders>
              <w:tl2br w:val="nil"/>
              <w:tr2bl w:val="nil"/>
            </w:tcBorders>
            <w:vAlign w:val="center"/>
          </w:tcPr>
          <w:p w14:paraId="6225C612">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评价结论</w:t>
            </w:r>
          </w:p>
        </w:tc>
        <w:tc>
          <w:tcPr>
            <w:tcW w:w="3241" w:type="pct"/>
            <w:gridSpan w:val="6"/>
            <w:tcBorders>
              <w:tl2br w:val="nil"/>
              <w:tr2bl w:val="nil"/>
            </w:tcBorders>
            <w:vAlign w:val="center"/>
          </w:tcPr>
          <w:p w14:paraId="5E2C7F2C">
            <w:pPr>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从土壤环境影响的角度，项目可行</w:t>
            </w:r>
          </w:p>
        </w:tc>
        <w:tc>
          <w:tcPr>
            <w:tcW w:w="513" w:type="pct"/>
            <w:tcBorders>
              <w:tl2br w:val="nil"/>
              <w:tr2bl w:val="nil"/>
            </w:tcBorders>
            <w:vAlign w:val="center"/>
          </w:tcPr>
          <w:p w14:paraId="6C17A4A2">
            <w:pPr>
              <w:snapToGrid w:val="0"/>
              <w:jc w:val="center"/>
              <w:rPr>
                <w:rFonts w:hint="default" w:ascii="Times New Roman" w:hAnsi="Times New Roman" w:eastAsia="宋体" w:cs="Times New Roman"/>
                <w:sz w:val="21"/>
                <w:szCs w:val="21"/>
                <w:u w:val="none" w:color="auto"/>
              </w:rPr>
            </w:pPr>
          </w:p>
        </w:tc>
      </w:tr>
    </w:tbl>
    <w:p w14:paraId="5D3483BF">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p w14:paraId="58956232">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634A1CA6">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49" w:name="_Toc2727"/>
      <w:bookmarkStart w:id="750" w:name="_Toc19236"/>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附表4  声环境影响评价自查表</w:t>
      </w:r>
      <w:bookmarkEnd w:id="749"/>
      <w:bookmarkEnd w:id="750"/>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81"/>
        <w:gridCol w:w="1292"/>
        <w:gridCol w:w="1209"/>
        <w:gridCol w:w="491"/>
        <w:gridCol w:w="32"/>
        <w:gridCol w:w="520"/>
        <w:gridCol w:w="1042"/>
        <w:gridCol w:w="5"/>
        <w:gridCol w:w="1040"/>
        <w:gridCol w:w="529"/>
        <w:gridCol w:w="515"/>
        <w:gridCol w:w="1069"/>
      </w:tblGrid>
      <w:tr w14:paraId="19C519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16" w:type="pct"/>
            <w:gridSpan w:val="2"/>
            <w:tcBorders>
              <w:tl2br w:val="nil"/>
              <w:tr2bl w:val="nil"/>
            </w:tcBorders>
            <w:shd w:val="clear" w:color="auto" w:fill="auto"/>
            <w:vAlign w:val="center"/>
          </w:tcPr>
          <w:p w14:paraId="7B30A39C">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工作内容</w:t>
            </w:r>
          </w:p>
        </w:tc>
        <w:tc>
          <w:tcPr>
            <w:tcW w:w="3783" w:type="pct"/>
            <w:gridSpan w:val="10"/>
            <w:tcBorders>
              <w:tl2br w:val="nil"/>
              <w:tr2bl w:val="nil"/>
            </w:tcBorders>
            <w:shd w:val="clear" w:color="auto" w:fill="auto"/>
            <w:vAlign w:val="center"/>
          </w:tcPr>
          <w:p w14:paraId="140187D8">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自查项目</w:t>
            </w:r>
          </w:p>
        </w:tc>
      </w:tr>
      <w:tr w14:paraId="29C2F8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restart"/>
            <w:tcBorders>
              <w:tl2br w:val="nil"/>
              <w:tr2bl w:val="nil"/>
            </w:tcBorders>
            <w:shd w:val="clear" w:color="auto" w:fill="auto"/>
            <w:vAlign w:val="center"/>
          </w:tcPr>
          <w:p w14:paraId="397B8705">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评价等级与范围</w:t>
            </w:r>
          </w:p>
        </w:tc>
        <w:tc>
          <w:tcPr>
            <w:tcW w:w="758" w:type="pct"/>
            <w:tcBorders>
              <w:tl2br w:val="nil"/>
              <w:tr2bl w:val="nil"/>
            </w:tcBorders>
            <w:shd w:val="clear" w:color="auto" w:fill="auto"/>
            <w:vAlign w:val="center"/>
          </w:tcPr>
          <w:p w14:paraId="52F79179">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评价等级</w:t>
            </w:r>
          </w:p>
        </w:tc>
        <w:tc>
          <w:tcPr>
            <w:tcW w:w="3783" w:type="pct"/>
            <w:gridSpan w:val="10"/>
            <w:tcBorders>
              <w:tl2br w:val="nil"/>
              <w:tr2bl w:val="nil"/>
            </w:tcBorders>
            <w:shd w:val="clear" w:color="auto" w:fill="auto"/>
            <w:vAlign w:val="center"/>
          </w:tcPr>
          <w:p w14:paraId="7E94B3CF">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一级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二级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三级</w:t>
            </w:r>
            <w:r>
              <w:rPr>
                <w:rFonts w:hint="default" w:ascii="Times New Roman" w:hAnsi="Times New Roman" w:eastAsia="宋体" w:cs="Times New Roman"/>
                <w:sz w:val="21"/>
                <w:szCs w:val="21"/>
                <w:u w:val="none" w:color="auto"/>
              </w:rPr>
              <w:sym w:font="Wingdings" w:char="00FE"/>
            </w:r>
          </w:p>
        </w:tc>
      </w:tr>
      <w:tr w14:paraId="559EC5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37CE7F0D">
            <w:pPr>
              <w:autoSpaceDE w:val="0"/>
              <w:autoSpaceDN w:val="0"/>
              <w:adjustRightInd w:val="0"/>
              <w:snapToGrid w:val="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07ECD544">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评价范围</w:t>
            </w:r>
          </w:p>
        </w:tc>
        <w:tc>
          <w:tcPr>
            <w:tcW w:w="3783" w:type="pct"/>
            <w:gridSpan w:val="10"/>
            <w:tcBorders>
              <w:tl2br w:val="nil"/>
              <w:tr2bl w:val="nil"/>
            </w:tcBorders>
            <w:shd w:val="clear" w:color="auto" w:fill="auto"/>
            <w:vAlign w:val="center"/>
          </w:tcPr>
          <w:p w14:paraId="23BE4661">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200m</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大于200m</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小于200m</w:t>
            </w:r>
            <w:r>
              <w:rPr>
                <w:rFonts w:hint="default" w:ascii="Times New Roman" w:hAnsi="Times New Roman" w:eastAsia="宋体" w:cs="Times New Roman"/>
                <w:sz w:val="21"/>
                <w:szCs w:val="21"/>
                <w:u w:val="none" w:color="auto"/>
              </w:rPr>
              <w:sym w:font="Wingdings" w:char="00A8"/>
            </w:r>
          </w:p>
        </w:tc>
      </w:tr>
      <w:tr w14:paraId="68F7F7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tcBorders>
              <w:tl2br w:val="nil"/>
              <w:tr2bl w:val="nil"/>
            </w:tcBorders>
            <w:shd w:val="clear" w:color="auto" w:fill="auto"/>
            <w:vAlign w:val="center"/>
          </w:tcPr>
          <w:p w14:paraId="4704723E">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评价因子</w:t>
            </w:r>
          </w:p>
        </w:tc>
        <w:tc>
          <w:tcPr>
            <w:tcW w:w="758" w:type="pct"/>
            <w:tcBorders>
              <w:tl2br w:val="nil"/>
              <w:tr2bl w:val="nil"/>
            </w:tcBorders>
            <w:shd w:val="clear" w:color="auto" w:fill="auto"/>
            <w:vAlign w:val="center"/>
          </w:tcPr>
          <w:p w14:paraId="109F88BF">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评价因子</w:t>
            </w:r>
          </w:p>
        </w:tc>
        <w:tc>
          <w:tcPr>
            <w:tcW w:w="3783" w:type="pct"/>
            <w:gridSpan w:val="10"/>
            <w:tcBorders>
              <w:tl2br w:val="nil"/>
              <w:tr2bl w:val="nil"/>
            </w:tcBorders>
            <w:shd w:val="clear" w:color="auto" w:fill="auto"/>
            <w:vAlign w:val="center"/>
          </w:tcPr>
          <w:p w14:paraId="534DC128">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等效连续A声级</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最大A声级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计权等效连续感觉噪声级</w:t>
            </w:r>
            <w:r>
              <w:rPr>
                <w:rFonts w:hint="default" w:ascii="Times New Roman" w:hAnsi="Times New Roman" w:eastAsia="宋体" w:cs="Times New Roman"/>
                <w:sz w:val="21"/>
                <w:szCs w:val="21"/>
                <w:u w:val="none" w:color="auto"/>
              </w:rPr>
              <w:sym w:font="Wingdings" w:char="00A8"/>
            </w:r>
          </w:p>
        </w:tc>
      </w:tr>
      <w:tr w14:paraId="725033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tcBorders>
              <w:tl2br w:val="nil"/>
              <w:tr2bl w:val="nil"/>
            </w:tcBorders>
            <w:shd w:val="clear" w:color="auto" w:fill="auto"/>
            <w:vAlign w:val="center"/>
          </w:tcPr>
          <w:p w14:paraId="0BCF2C36">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评价标准</w:t>
            </w:r>
          </w:p>
        </w:tc>
        <w:tc>
          <w:tcPr>
            <w:tcW w:w="758" w:type="pct"/>
            <w:tcBorders>
              <w:tl2br w:val="nil"/>
              <w:tr2bl w:val="nil"/>
            </w:tcBorders>
            <w:shd w:val="clear" w:color="auto" w:fill="auto"/>
            <w:vAlign w:val="center"/>
          </w:tcPr>
          <w:p w14:paraId="25DFDAF3">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评价标准</w:t>
            </w:r>
          </w:p>
        </w:tc>
        <w:tc>
          <w:tcPr>
            <w:tcW w:w="3783" w:type="pct"/>
            <w:gridSpan w:val="10"/>
            <w:tcBorders>
              <w:tl2br w:val="nil"/>
              <w:tr2bl w:val="nil"/>
            </w:tcBorders>
            <w:shd w:val="clear" w:color="auto" w:fill="auto"/>
            <w:vAlign w:val="center"/>
          </w:tcPr>
          <w:p w14:paraId="17DF731F">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国家标准</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地方标准</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国外标准</w:t>
            </w:r>
            <w:r>
              <w:rPr>
                <w:rFonts w:hint="default" w:ascii="Times New Roman" w:hAnsi="Times New Roman" w:eastAsia="宋体" w:cs="Times New Roman"/>
                <w:sz w:val="21"/>
                <w:szCs w:val="21"/>
                <w:u w:val="none" w:color="auto"/>
              </w:rPr>
              <w:sym w:font="Wingdings" w:char="00A8"/>
            </w:r>
          </w:p>
        </w:tc>
      </w:tr>
      <w:tr w14:paraId="0342FB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restart"/>
            <w:tcBorders>
              <w:tl2br w:val="nil"/>
              <w:tr2bl w:val="nil"/>
            </w:tcBorders>
            <w:shd w:val="clear" w:color="auto" w:fill="auto"/>
            <w:vAlign w:val="center"/>
          </w:tcPr>
          <w:p w14:paraId="09DDE4CE">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现状评价</w:t>
            </w:r>
          </w:p>
        </w:tc>
        <w:tc>
          <w:tcPr>
            <w:tcW w:w="758" w:type="pct"/>
            <w:tcBorders>
              <w:tl2br w:val="nil"/>
              <w:tr2bl w:val="nil"/>
            </w:tcBorders>
            <w:shd w:val="clear" w:color="auto" w:fill="auto"/>
            <w:vAlign w:val="center"/>
          </w:tcPr>
          <w:p w14:paraId="209F7227">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环境功能区</w:t>
            </w:r>
          </w:p>
        </w:tc>
        <w:tc>
          <w:tcPr>
            <w:tcW w:w="709" w:type="pct"/>
            <w:tcBorders>
              <w:tl2br w:val="nil"/>
              <w:tr2bl w:val="nil"/>
            </w:tcBorders>
            <w:shd w:val="clear" w:color="auto" w:fill="auto"/>
            <w:vAlign w:val="center"/>
          </w:tcPr>
          <w:p w14:paraId="1FEB084E">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0类区</w:t>
            </w:r>
            <w:r>
              <w:rPr>
                <w:rFonts w:hint="default" w:ascii="Times New Roman" w:hAnsi="Times New Roman" w:eastAsia="宋体" w:cs="Times New Roman"/>
                <w:sz w:val="21"/>
                <w:szCs w:val="21"/>
                <w:u w:val="none" w:color="auto"/>
              </w:rPr>
              <w:sym w:font="Wingdings" w:char="00A8"/>
            </w:r>
          </w:p>
        </w:tc>
        <w:tc>
          <w:tcPr>
            <w:tcW w:w="611" w:type="pct"/>
            <w:gridSpan w:val="3"/>
            <w:tcBorders>
              <w:tl2br w:val="nil"/>
              <w:tr2bl w:val="nil"/>
            </w:tcBorders>
            <w:shd w:val="clear" w:color="auto" w:fill="auto"/>
            <w:vAlign w:val="center"/>
          </w:tcPr>
          <w:p w14:paraId="16AA4C6A">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1类区</w:t>
            </w:r>
            <w:r>
              <w:rPr>
                <w:rFonts w:hint="default" w:ascii="Times New Roman" w:hAnsi="Times New Roman" w:eastAsia="宋体" w:cs="Times New Roman"/>
                <w:sz w:val="21"/>
                <w:szCs w:val="21"/>
                <w:u w:val="none" w:color="auto"/>
              </w:rPr>
              <w:sym w:font="Wingdings" w:char="00A8"/>
            </w:r>
          </w:p>
        </w:tc>
        <w:tc>
          <w:tcPr>
            <w:tcW w:w="611" w:type="pct"/>
            <w:tcBorders>
              <w:tl2br w:val="nil"/>
              <w:tr2bl w:val="nil"/>
            </w:tcBorders>
            <w:shd w:val="clear" w:color="auto" w:fill="auto"/>
            <w:vAlign w:val="center"/>
          </w:tcPr>
          <w:p w14:paraId="1E423B34">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2类区</w:t>
            </w:r>
            <w:r>
              <w:rPr>
                <w:rFonts w:hint="default" w:ascii="Times New Roman" w:hAnsi="Times New Roman" w:eastAsia="宋体" w:cs="Times New Roman"/>
                <w:sz w:val="21"/>
                <w:szCs w:val="21"/>
                <w:u w:val="none" w:color="auto"/>
              </w:rPr>
              <w:sym w:font="Wingdings" w:char="00A8"/>
            </w:r>
          </w:p>
        </w:tc>
        <w:tc>
          <w:tcPr>
            <w:tcW w:w="612" w:type="pct"/>
            <w:gridSpan w:val="2"/>
            <w:tcBorders>
              <w:tl2br w:val="nil"/>
              <w:tr2bl w:val="nil"/>
            </w:tcBorders>
            <w:shd w:val="clear" w:color="auto" w:fill="auto"/>
            <w:vAlign w:val="center"/>
          </w:tcPr>
          <w:p w14:paraId="6DE5F24F">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3类区</w:t>
            </w:r>
            <w:r>
              <w:rPr>
                <w:rFonts w:hint="default" w:ascii="Times New Roman" w:hAnsi="Times New Roman" w:eastAsia="宋体" w:cs="Times New Roman"/>
                <w:sz w:val="21"/>
                <w:szCs w:val="21"/>
                <w:u w:val="none" w:color="auto"/>
              </w:rPr>
              <w:sym w:font="Wingdings" w:char="00FE"/>
            </w:r>
          </w:p>
        </w:tc>
        <w:tc>
          <w:tcPr>
            <w:tcW w:w="612" w:type="pct"/>
            <w:gridSpan w:val="2"/>
            <w:tcBorders>
              <w:tl2br w:val="nil"/>
              <w:tr2bl w:val="nil"/>
            </w:tcBorders>
            <w:shd w:val="clear" w:color="auto" w:fill="auto"/>
            <w:vAlign w:val="center"/>
          </w:tcPr>
          <w:p w14:paraId="298DB849">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4a类区</w:t>
            </w:r>
            <w:r>
              <w:rPr>
                <w:rFonts w:hint="default" w:ascii="Times New Roman" w:hAnsi="Times New Roman" w:eastAsia="宋体" w:cs="Times New Roman"/>
                <w:sz w:val="21"/>
                <w:szCs w:val="21"/>
                <w:u w:val="none" w:color="auto"/>
              </w:rPr>
              <w:sym w:font="Wingdings" w:char="00A8"/>
            </w:r>
          </w:p>
        </w:tc>
        <w:tc>
          <w:tcPr>
            <w:tcW w:w="625" w:type="pct"/>
            <w:tcBorders>
              <w:tl2br w:val="nil"/>
              <w:tr2bl w:val="nil"/>
            </w:tcBorders>
            <w:shd w:val="clear" w:color="auto" w:fill="auto"/>
            <w:vAlign w:val="center"/>
          </w:tcPr>
          <w:p w14:paraId="3CE39E76">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4b类区</w:t>
            </w:r>
            <w:r>
              <w:rPr>
                <w:rFonts w:hint="default" w:ascii="Times New Roman" w:hAnsi="Times New Roman" w:eastAsia="宋体" w:cs="Times New Roman"/>
                <w:sz w:val="21"/>
                <w:szCs w:val="21"/>
                <w:u w:val="none" w:color="auto"/>
              </w:rPr>
              <w:sym w:font="Wingdings" w:char="00A8"/>
            </w:r>
          </w:p>
        </w:tc>
      </w:tr>
      <w:tr w14:paraId="603119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3BC370CB">
            <w:pPr>
              <w:autoSpaceDE w:val="0"/>
              <w:autoSpaceDN w:val="0"/>
              <w:adjustRightInd w:val="0"/>
              <w:snapToGrid w:val="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53CAFCDB">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评价年度</w:t>
            </w:r>
          </w:p>
        </w:tc>
        <w:tc>
          <w:tcPr>
            <w:tcW w:w="1016" w:type="pct"/>
            <w:gridSpan w:val="3"/>
            <w:tcBorders>
              <w:tl2br w:val="nil"/>
              <w:tr2bl w:val="nil"/>
            </w:tcBorders>
            <w:shd w:val="clear" w:color="auto" w:fill="auto"/>
            <w:vAlign w:val="center"/>
          </w:tcPr>
          <w:p w14:paraId="2D5337A0">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初期</w:t>
            </w:r>
            <w:r>
              <w:rPr>
                <w:rFonts w:hint="default" w:ascii="Times New Roman" w:hAnsi="Times New Roman" w:eastAsia="宋体" w:cs="Times New Roman"/>
                <w:sz w:val="21"/>
                <w:szCs w:val="21"/>
                <w:u w:val="none" w:color="auto"/>
              </w:rPr>
              <w:sym w:font="Wingdings" w:char="00FE"/>
            </w:r>
          </w:p>
        </w:tc>
        <w:tc>
          <w:tcPr>
            <w:tcW w:w="919" w:type="pct"/>
            <w:gridSpan w:val="3"/>
            <w:tcBorders>
              <w:tl2br w:val="nil"/>
              <w:tr2bl w:val="nil"/>
            </w:tcBorders>
            <w:shd w:val="clear" w:color="auto" w:fill="auto"/>
            <w:vAlign w:val="center"/>
          </w:tcPr>
          <w:p w14:paraId="6C89B556">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近期</w:t>
            </w:r>
            <w:r>
              <w:rPr>
                <w:rFonts w:hint="default" w:ascii="Times New Roman" w:hAnsi="Times New Roman" w:eastAsia="宋体" w:cs="Times New Roman"/>
                <w:sz w:val="21"/>
                <w:szCs w:val="21"/>
                <w:u w:val="none" w:color="auto"/>
              </w:rPr>
              <w:sym w:font="Wingdings" w:char="00A8"/>
            </w:r>
          </w:p>
        </w:tc>
        <w:tc>
          <w:tcPr>
            <w:tcW w:w="920" w:type="pct"/>
            <w:gridSpan w:val="2"/>
            <w:tcBorders>
              <w:tl2br w:val="nil"/>
              <w:tr2bl w:val="nil"/>
            </w:tcBorders>
            <w:shd w:val="clear" w:color="auto" w:fill="auto"/>
            <w:vAlign w:val="center"/>
          </w:tcPr>
          <w:p w14:paraId="79FE97A1">
            <w:pPr>
              <w:autoSpaceDE w:val="0"/>
              <w:autoSpaceDN w:val="0"/>
              <w:adjustRightInd w:val="0"/>
              <w:snapToGrid w:val="0"/>
              <w:jc w:val="center"/>
              <w:rPr>
                <w:rFonts w:hint="eastAsia"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rPr>
              <w:t>中期</w:t>
            </w:r>
            <w:r>
              <w:rPr>
                <w:rFonts w:hint="default" w:ascii="Times New Roman" w:hAnsi="Times New Roman" w:eastAsia="宋体" w:cs="Times New Roman"/>
                <w:sz w:val="21"/>
                <w:szCs w:val="21"/>
                <w:u w:val="none" w:color="auto"/>
              </w:rPr>
              <w:sym w:font="Wingdings" w:char="00A8"/>
            </w:r>
          </w:p>
        </w:tc>
        <w:tc>
          <w:tcPr>
            <w:tcW w:w="927" w:type="pct"/>
            <w:gridSpan w:val="2"/>
            <w:tcBorders>
              <w:tl2br w:val="nil"/>
              <w:tr2bl w:val="nil"/>
            </w:tcBorders>
            <w:shd w:val="clear" w:color="auto" w:fill="auto"/>
            <w:vAlign w:val="center"/>
          </w:tcPr>
          <w:p w14:paraId="370BF134">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远期</w:t>
            </w:r>
            <w:r>
              <w:rPr>
                <w:rFonts w:hint="default" w:ascii="Times New Roman" w:hAnsi="Times New Roman" w:eastAsia="宋体" w:cs="Times New Roman"/>
                <w:sz w:val="21"/>
                <w:szCs w:val="21"/>
                <w:u w:val="none" w:color="auto"/>
              </w:rPr>
              <w:sym w:font="Wingdings" w:char="00A8"/>
            </w:r>
          </w:p>
        </w:tc>
      </w:tr>
      <w:tr w14:paraId="124C34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569ECF06">
            <w:pPr>
              <w:tabs>
                <w:tab w:val="left" w:pos="540"/>
              </w:tabs>
              <w:adjustRightInd w:val="0"/>
              <w:snapToGrid w:val="0"/>
              <w:spacing w:after="12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2578FB90">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现状调查方法</w:t>
            </w:r>
          </w:p>
        </w:tc>
        <w:tc>
          <w:tcPr>
            <w:tcW w:w="3783" w:type="pct"/>
            <w:gridSpan w:val="10"/>
            <w:tcBorders>
              <w:tl2br w:val="nil"/>
              <w:tr2bl w:val="nil"/>
            </w:tcBorders>
            <w:shd w:val="clear" w:color="auto" w:fill="auto"/>
            <w:vAlign w:val="center"/>
          </w:tcPr>
          <w:p w14:paraId="2D5789BF">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现场实测法</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现场实测加模型计算法</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收集资料</w:t>
            </w:r>
            <w:r>
              <w:rPr>
                <w:rFonts w:hint="default" w:ascii="Times New Roman" w:hAnsi="Times New Roman" w:eastAsia="宋体" w:cs="Times New Roman"/>
                <w:sz w:val="21"/>
                <w:szCs w:val="21"/>
                <w:u w:val="none" w:color="auto"/>
              </w:rPr>
              <w:sym w:font="Wingdings" w:char="00A8"/>
            </w:r>
          </w:p>
        </w:tc>
      </w:tr>
      <w:tr w14:paraId="7C55A9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108099D1">
            <w:pPr>
              <w:tabs>
                <w:tab w:val="left" w:pos="540"/>
              </w:tabs>
              <w:adjustRightInd w:val="0"/>
              <w:snapToGrid w:val="0"/>
              <w:spacing w:after="12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3099A0D9">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现状评价</w:t>
            </w:r>
          </w:p>
        </w:tc>
        <w:tc>
          <w:tcPr>
            <w:tcW w:w="997" w:type="pct"/>
            <w:gridSpan w:val="2"/>
            <w:tcBorders>
              <w:tl2br w:val="nil"/>
              <w:tr2bl w:val="nil"/>
            </w:tcBorders>
            <w:shd w:val="clear" w:color="auto" w:fill="auto"/>
            <w:vAlign w:val="center"/>
          </w:tcPr>
          <w:p w14:paraId="10BC67F9">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达标百分比</w:t>
            </w:r>
          </w:p>
        </w:tc>
        <w:tc>
          <w:tcPr>
            <w:tcW w:w="2785" w:type="pct"/>
            <w:gridSpan w:val="8"/>
            <w:tcBorders>
              <w:tl2br w:val="nil"/>
              <w:tr2bl w:val="nil"/>
            </w:tcBorders>
            <w:shd w:val="clear" w:color="auto" w:fill="auto"/>
            <w:vAlign w:val="center"/>
          </w:tcPr>
          <w:p w14:paraId="26ED6558">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100%</w:t>
            </w:r>
          </w:p>
        </w:tc>
      </w:tr>
      <w:tr w14:paraId="153D02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tcBorders>
              <w:tl2br w:val="nil"/>
              <w:tr2bl w:val="nil"/>
            </w:tcBorders>
            <w:shd w:val="clear" w:color="auto" w:fill="auto"/>
            <w:vAlign w:val="center"/>
          </w:tcPr>
          <w:p w14:paraId="7D432785">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噪声源调查</w:t>
            </w:r>
          </w:p>
        </w:tc>
        <w:tc>
          <w:tcPr>
            <w:tcW w:w="758" w:type="pct"/>
            <w:tcBorders>
              <w:tl2br w:val="nil"/>
              <w:tr2bl w:val="nil"/>
            </w:tcBorders>
            <w:shd w:val="clear" w:color="auto" w:fill="auto"/>
            <w:vAlign w:val="center"/>
          </w:tcPr>
          <w:p w14:paraId="14500464">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噪声源调查方法</w:t>
            </w:r>
          </w:p>
        </w:tc>
        <w:tc>
          <w:tcPr>
            <w:tcW w:w="3783" w:type="pct"/>
            <w:gridSpan w:val="10"/>
            <w:tcBorders>
              <w:tl2br w:val="nil"/>
              <w:tr2bl w:val="nil"/>
            </w:tcBorders>
            <w:shd w:val="clear" w:color="auto" w:fill="auto"/>
            <w:vAlign w:val="center"/>
          </w:tcPr>
          <w:p w14:paraId="5CC53988">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现场实测</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已有资料</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研究成果</w:t>
            </w:r>
            <w:r>
              <w:rPr>
                <w:rFonts w:hint="default" w:ascii="Times New Roman" w:hAnsi="Times New Roman" w:eastAsia="宋体" w:cs="Times New Roman"/>
                <w:sz w:val="21"/>
                <w:szCs w:val="21"/>
                <w:u w:val="none" w:color="auto"/>
              </w:rPr>
              <w:sym w:font="Wingdings" w:char="00A8"/>
            </w:r>
          </w:p>
        </w:tc>
      </w:tr>
      <w:tr w14:paraId="38EA93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restart"/>
            <w:tcBorders>
              <w:tl2br w:val="nil"/>
              <w:tr2bl w:val="nil"/>
            </w:tcBorders>
            <w:shd w:val="clear" w:color="auto" w:fill="auto"/>
            <w:vAlign w:val="center"/>
          </w:tcPr>
          <w:p w14:paraId="61A264E2">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声环境影响预测与评价</w:t>
            </w:r>
          </w:p>
        </w:tc>
        <w:tc>
          <w:tcPr>
            <w:tcW w:w="758" w:type="pct"/>
            <w:tcBorders>
              <w:tl2br w:val="nil"/>
              <w:tr2bl w:val="nil"/>
            </w:tcBorders>
            <w:shd w:val="clear" w:color="auto" w:fill="auto"/>
            <w:vAlign w:val="center"/>
          </w:tcPr>
          <w:p w14:paraId="2E052D96">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预测模型</w:t>
            </w:r>
          </w:p>
        </w:tc>
        <w:tc>
          <w:tcPr>
            <w:tcW w:w="3783" w:type="pct"/>
            <w:gridSpan w:val="10"/>
            <w:tcBorders>
              <w:tl2br w:val="nil"/>
              <w:tr2bl w:val="nil"/>
            </w:tcBorders>
            <w:shd w:val="clear" w:color="auto" w:fill="auto"/>
            <w:vAlign w:val="center"/>
          </w:tcPr>
          <w:p w14:paraId="17B29428">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导则推荐模型</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其他</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w:t>
            </w:r>
          </w:p>
        </w:tc>
      </w:tr>
      <w:tr w14:paraId="639F08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1A166A5A">
            <w:pPr>
              <w:autoSpaceDE w:val="0"/>
              <w:autoSpaceDN w:val="0"/>
              <w:adjustRightInd w:val="0"/>
              <w:snapToGrid w:val="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68FAC221">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预测范围</w:t>
            </w:r>
          </w:p>
        </w:tc>
        <w:tc>
          <w:tcPr>
            <w:tcW w:w="3783" w:type="pct"/>
            <w:gridSpan w:val="10"/>
            <w:tcBorders>
              <w:tl2br w:val="nil"/>
              <w:tr2bl w:val="nil"/>
            </w:tcBorders>
            <w:shd w:val="clear" w:color="auto" w:fill="auto"/>
            <w:vAlign w:val="center"/>
          </w:tcPr>
          <w:p w14:paraId="76F6581B">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200m</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大于200m</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小于200m</w:t>
            </w:r>
            <w:r>
              <w:rPr>
                <w:rFonts w:hint="default" w:ascii="Times New Roman" w:hAnsi="Times New Roman" w:eastAsia="宋体" w:cs="Times New Roman"/>
                <w:sz w:val="21"/>
                <w:szCs w:val="21"/>
                <w:u w:val="none" w:color="auto"/>
              </w:rPr>
              <w:sym w:font="Wingdings" w:char="00A8"/>
            </w:r>
          </w:p>
        </w:tc>
      </w:tr>
      <w:tr w14:paraId="26320F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6707D1A6">
            <w:pPr>
              <w:autoSpaceDE w:val="0"/>
              <w:autoSpaceDN w:val="0"/>
              <w:adjustRightInd w:val="0"/>
              <w:snapToGrid w:val="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3202AA38">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预测因子</w:t>
            </w:r>
          </w:p>
        </w:tc>
        <w:tc>
          <w:tcPr>
            <w:tcW w:w="3783" w:type="pct"/>
            <w:gridSpan w:val="10"/>
            <w:tcBorders>
              <w:tl2br w:val="nil"/>
              <w:tr2bl w:val="nil"/>
            </w:tcBorders>
            <w:shd w:val="clear" w:color="auto" w:fill="auto"/>
            <w:vAlign w:val="center"/>
          </w:tcPr>
          <w:p w14:paraId="2B48E2D0">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等效连续A声级</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最大A声级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计权等效连续感觉噪声级</w:t>
            </w:r>
            <w:r>
              <w:rPr>
                <w:rFonts w:hint="default" w:ascii="Times New Roman" w:hAnsi="Times New Roman" w:eastAsia="宋体" w:cs="Times New Roman"/>
                <w:sz w:val="21"/>
                <w:szCs w:val="21"/>
                <w:u w:val="none" w:color="auto"/>
              </w:rPr>
              <w:sym w:font="Wingdings" w:char="00A8"/>
            </w:r>
          </w:p>
        </w:tc>
      </w:tr>
      <w:tr w14:paraId="3E6F31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69873FA2">
            <w:pPr>
              <w:autoSpaceDE w:val="0"/>
              <w:autoSpaceDN w:val="0"/>
              <w:adjustRightInd w:val="0"/>
              <w:snapToGrid w:val="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04A1250A">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厂界噪声贡献值</w:t>
            </w:r>
          </w:p>
        </w:tc>
        <w:tc>
          <w:tcPr>
            <w:tcW w:w="3783" w:type="pct"/>
            <w:gridSpan w:val="10"/>
            <w:tcBorders>
              <w:tl2br w:val="nil"/>
              <w:tr2bl w:val="nil"/>
            </w:tcBorders>
            <w:shd w:val="clear" w:color="auto" w:fill="auto"/>
            <w:vAlign w:val="center"/>
          </w:tcPr>
          <w:p w14:paraId="3516956C">
            <w:pPr>
              <w:autoSpaceDE w:val="0"/>
              <w:autoSpaceDN w:val="0"/>
              <w:adjustRightInd w:val="0"/>
              <w:snapToGrid w:val="0"/>
              <w:jc w:val="center"/>
              <w:rPr>
                <w:rFonts w:hint="eastAsia" w:ascii="Times New Roman" w:hAnsi="Times New Roman" w:eastAsia="宋体" w:cs="Times New Roman"/>
                <w:sz w:val="21"/>
                <w:szCs w:val="21"/>
                <w:u w:val="none" w:color="auto"/>
                <w:lang w:eastAsia="zh-CN"/>
              </w:rPr>
            </w:pPr>
            <w:r>
              <w:rPr>
                <w:rFonts w:hint="default" w:ascii="Times New Roman" w:hAnsi="Times New Roman" w:eastAsia="宋体" w:cs="Times New Roman"/>
                <w:sz w:val="21"/>
                <w:szCs w:val="21"/>
                <w:u w:val="none" w:color="auto"/>
              </w:rPr>
              <w:t>达标</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不达标</w:t>
            </w:r>
            <w:r>
              <w:rPr>
                <w:rFonts w:hint="default" w:ascii="Times New Roman" w:hAnsi="Times New Roman" w:eastAsia="宋体" w:cs="Times New Roman"/>
                <w:sz w:val="21"/>
                <w:szCs w:val="21"/>
                <w:u w:val="none" w:color="auto"/>
              </w:rPr>
              <w:sym w:font="Wingdings" w:char="00A8"/>
            </w:r>
          </w:p>
        </w:tc>
      </w:tr>
      <w:tr w14:paraId="5C9339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4ABF004A">
            <w:pPr>
              <w:autoSpaceDE w:val="0"/>
              <w:autoSpaceDN w:val="0"/>
              <w:adjustRightInd w:val="0"/>
              <w:snapToGrid w:val="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1C7AE868">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声环境保护目标处噪声值</w:t>
            </w:r>
          </w:p>
        </w:tc>
        <w:tc>
          <w:tcPr>
            <w:tcW w:w="3783" w:type="pct"/>
            <w:gridSpan w:val="10"/>
            <w:tcBorders>
              <w:tl2br w:val="nil"/>
              <w:tr2bl w:val="nil"/>
            </w:tcBorders>
            <w:shd w:val="clear" w:color="auto" w:fill="auto"/>
            <w:vAlign w:val="center"/>
          </w:tcPr>
          <w:p w14:paraId="3232A93C">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达标</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不达标</w:t>
            </w:r>
            <w:r>
              <w:rPr>
                <w:rFonts w:hint="default" w:ascii="Times New Roman" w:hAnsi="Times New Roman" w:eastAsia="宋体" w:cs="Times New Roman"/>
                <w:sz w:val="21"/>
                <w:szCs w:val="21"/>
                <w:u w:val="none" w:color="auto"/>
              </w:rPr>
              <w:sym w:font="Wingdings" w:char="00A8"/>
            </w:r>
          </w:p>
        </w:tc>
      </w:tr>
      <w:tr w14:paraId="120309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restart"/>
            <w:tcBorders>
              <w:tl2br w:val="nil"/>
              <w:tr2bl w:val="nil"/>
            </w:tcBorders>
            <w:shd w:val="clear" w:color="auto" w:fill="auto"/>
            <w:vAlign w:val="center"/>
          </w:tcPr>
          <w:p w14:paraId="436FE2C6">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环境监测计划</w:t>
            </w:r>
          </w:p>
        </w:tc>
        <w:tc>
          <w:tcPr>
            <w:tcW w:w="758" w:type="pct"/>
            <w:tcBorders>
              <w:tl2br w:val="nil"/>
              <w:tr2bl w:val="nil"/>
            </w:tcBorders>
            <w:shd w:val="clear" w:color="auto" w:fill="auto"/>
            <w:vAlign w:val="center"/>
          </w:tcPr>
          <w:p w14:paraId="365BA9A9">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排放监测</w:t>
            </w:r>
          </w:p>
        </w:tc>
        <w:tc>
          <w:tcPr>
            <w:tcW w:w="3783" w:type="pct"/>
            <w:gridSpan w:val="10"/>
            <w:tcBorders>
              <w:tl2br w:val="nil"/>
              <w:tr2bl w:val="nil"/>
            </w:tcBorders>
            <w:shd w:val="clear" w:color="auto" w:fill="auto"/>
            <w:vAlign w:val="center"/>
          </w:tcPr>
          <w:p w14:paraId="7588892A">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厂界监测</w:t>
            </w:r>
            <w:r>
              <w:rPr>
                <w:rFonts w:hint="default" w:ascii="Times New Roman" w:hAnsi="Times New Roman" w:eastAsia="宋体" w:cs="Times New Roman"/>
                <w:sz w:val="21"/>
                <w:szCs w:val="21"/>
                <w:u w:val="none" w:color="auto"/>
              </w:rPr>
              <w:sym w:font="Wingdings" w:char="00FE"/>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固定位置监测</w:t>
            </w:r>
            <w:r>
              <w:rPr>
                <w:rFonts w:hint="default" w:ascii="Times New Roman" w:hAnsi="Times New Roman" w:eastAsia="宋体" w:cs="Times New Roman"/>
                <w:sz w:val="21"/>
                <w:szCs w:val="21"/>
                <w:u w:val="none" w:color="auto"/>
              </w:rPr>
              <w:sym w:font="Wingdings" w:char="00A8"/>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自动监测</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手动监测</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无监测</w:t>
            </w:r>
            <w:r>
              <w:rPr>
                <w:rFonts w:hint="default" w:ascii="Times New Roman" w:hAnsi="Times New Roman" w:eastAsia="宋体" w:cs="Times New Roman"/>
                <w:sz w:val="21"/>
                <w:szCs w:val="21"/>
                <w:u w:val="none" w:color="auto"/>
              </w:rPr>
              <w:sym w:font="Wingdings" w:char="00A8"/>
            </w:r>
          </w:p>
        </w:tc>
      </w:tr>
      <w:tr w14:paraId="2B4237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vMerge w:val="continue"/>
            <w:tcBorders>
              <w:tl2br w:val="nil"/>
              <w:tr2bl w:val="nil"/>
            </w:tcBorders>
            <w:shd w:val="clear" w:color="auto" w:fill="auto"/>
            <w:vAlign w:val="center"/>
          </w:tcPr>
          <w:p w14:paraId="19819D4A">
            <w:pPr>
              <w:autoSpaceDE w:val="0"/>
              <w:autoSpaceDN w:val="0"/>
              <w:adjustRightInd w:val="0"/>
              <w:snapToGrid w:val="0"/>
              <w:jc w:val="center"/>
              <w:rPr>
                <w:rFonts w:hint="default" w:ascii="Times New Roman" w:hAnsi="Times New Roman" w:eastAsia="宋体" w:cs="Times New Roman"/>
                <w:sz w:val="21"/>
                <w:szCs w:val="21"/>
                <w:u w:val="none" w:color="auto"/>
              </w:rPr>
            </w:pPr>
          </w:p>
        </w:tc>
        <w:tc>
          <w:tcPr>
            <w:tcW w:w="758" w:type="pct"/>
            <w:tcBorders>
              <w:tl2br w:val="nil"/>
              <w:tr2bl w:val="nil"/>
            </w:tcBorders>
            <w:shd w:val="clear" w:color="auto" w:fill="auto"/>
            <w:vAlign w:val="center"/>
          </w:tcPr>
          <w:p w14:paraId="1C7BEE1C">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声环境保护目标处噪声监测</w:t>
            </w:r>
          </w:p>
        </w:tc>
        <w:tc>
          <w:tcPr>
            <w:tcW w:w="1321" w:type="pct"/>
            <w:gridSpan w:val="4"/>
            <w:tcBorders>
              <w:tl2br w:val="nil"/>
              <w:tr2bl w:val="nil"/>
            </w:tcBorders>
            <w:shd w:val="clear" w:color="auto" w:fill="auto"/>
            <w:vAlign w:val="center"/>
          </w:tcPr>
          <w:p w14:paraId="596A73EC">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监测因子：（等效连续A声级）</w:t>
            </w:r>
          </w:p>
        </w:tc>
        <w:tc>
          <w:tcPr>
            <w:tcW w:w="1224" w:type="pct"/>
            <w:gridSpan w:val="3"/>
            <w:tcBorders>
              <w:tl2br w:val="nil"/>
              <w:tr2bl w:val="nil"/>
            </w:tcBorders>
            <w:shd w:val="clear" w:color="auto" w:fill="auto"/>
            <w:vAlign w:val="center"/>
          </w:tcPr>
          <w:p w14:paraId="63EE1713">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监测点位数（</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4</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w:t>
            </w:r>
          </w:p>
        </w:tc>
        <w:tc>
          <w:tcPr>
            <w:tcW w:w="1238" w:type="pct"/>
            <w:gridSpan w:val="3"/>
            <w:tcBorders>
              <w:tl2br w:val="nil"/>
              <w:tr2bl w:val="nil"/>
            </w:tcBorders>
            <w:shd w:val="clear" w:color="auto" w:fill="auto"/>
            <w:vAlign w:val="center"/>
          </w:tcPr>
          <w:p w14:paraId="3FF814C9">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无监测</w:t>
            </w:r>
            <w:r>
              <w:rPr>
                <w:rFonts w:hint="default" w:ascii="Times New Roman" w:hAnsi="Times New Roman" w:eastAsia="宋体" w:cs="Times New Roman"/>
                <w:sz w:val="21"/>
                <w:szCs w:val="21"/>
                <w:u w:val="none" w:color="auto"/>
              </w:rPr>
              <w:sym w:font="Wingdings" w:char="00A8"/>
            </w:r>
          </w:p>
        </w:tc>
      </w:tr>
      <w:tr w14:paraId="6AC8C7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58" w:type="pct"/>
            <w:tcBorders>
              <w:tl2br w:val="nil"/>
              <w:tr2bl w:val="nil"/>
            </w:tcBorders>
            <w:shd w:val="clear" w:color="auto" w:fill="auto"/>
            <w:vAlign w:val="center"/>
          </w:tcPr>
          <w:p w14:paraId="26597EC7">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评价结论</w:t>
            </w:r>
          </w:p>
        </w:tc>
        <w:tc>
          <w:tcPr>
            <w:tcW w:w="758" w:type="pct"/>
            <w:tcBorders>
              <w:tl2br w:val="nil"/>
              <w:tr2bl w:val="nil"/>
            </w:tcBorders>
            <w:shd w:val="clear" w:color="auto" w:fill="auto"/>
            <w:vAlign w:val="center"/>
          </w:tcPr>
          <w:p w14:paraId="5261635F">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环境影响</w:t>
            </w:r>
          </w:p>
        </w:tc>
        <w:tc>
          <w:tcPr>
            <w:tcW w:w="3783" w:type="pct"/>
            <w:gridSpan w:val="10"/>
            <w:tcBorders>
              <w:tl2br w:val="nil"/>
              <w:tr2bl w:val="nil"/>
            </w:tcBorders>
            <w:shd w:val="clear" w:color="auto" w:fill="auto"/>
            <w:vAlign w:val="center"/>
          </w:tcPr>
          <w:p w14:paraId="7D2E0D7F">
            <w:pPr>
              <w:autoSpaceDE w:val="0"/>
              <w:autoSpaceDN w:val="0"/>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可行</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 xml:space="preserve">       不可行</w:t>
            </w:r>
            <w:r>
              <w:rPr>
                <w:rFonts w:hint="default" w:ascii="Times New Roman" w:hAnsi="Times New Roman" w:eastAsia="宋体" w:cs="Times New Roman"/>
                <w:sz w:val="21"/>
                <w:szCs w:val="21"/>
                <w:u w:val="none" w:color="auto"/>
              </w:rPr>
              <w:sym w:font="Wingdings" w:char="00A8"/>
            </w:r>
          </w:p>
        </w:tc>
      </w:tr>
      <w:tr w14:paraId="02486E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12"/>
            <w:tcBorders>
              <w:tl2br w:val="nil"/>
              <w:tr2bl w:val="nil"/>
            </w:tcBorders>
            <w:shd w:val="clear" w:color="auto" w:fill="auto"/>
            <w:vAlign w:val="center"/>
          </w:tcPr>
          <w:p w14:paraId="338B4E52">
            <w:pPr>
              <w:autoSpaceDE w:val="0"/>
              <w:autoSpaceDN w:val="0"/>
              <w:adjustRightInd w:val="0"/>
              <w:snapToGrid w:val="0"/>
              <w:jc w:val="left"/>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注：</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 xml:space="preserve"> 为勾选项 ，可√ ；</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 ）</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 xml:space="preserve"> 为内容填写项。</w:t>
            </w:r>
          </w:p>
        </w:tc>
      </w:tr>
    </w:tbl>
    <w:p w14:paraId="6D27BC35">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p w14:paraId="15D38DFD">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6D921A12">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51" w:name="_Toc3101"/>
      <w:bookmarkStart w:id="752" w:name="_Toc1683"/>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附表5  生态环境影响评价自查表</w:t>
      </w:r>
      <w:bookmarkEnd w:id="751"/>
      <w:bookmarkEnd w:id="752"/>
    </w:p>
    <w:tbl>
      <w:tblPr>
        <w:tblStyle w:val="3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94"/>
        <w:gridCol w:w="1499"/>
        <w:gridCol w:w="6332"/>
      </w:tblGrid>
      <w:tr w14:paraId="27C2D1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6" w:type="pct"/>
            <w:gridSpan w:val="2"/>
            <w:tcBorders>
              <w:tl2br w:val="nil"/>
              <w:tr2bl w:val="nil"/>
            </w:tcBorders>
            <w:shd w:val="clear" w:color="auto" w:fill="auto"/>
            <w:vAlign w:val="center"/>
          </w:tcPr>
          <w:p w14:paraId="2EC8AB3D">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工作内容</w:t>
            </w:r>
          </w:p>
        </w:tc>
        <w:tc>
          <w:tcPr>
            <w:tcW w:w="3713" w:type="pct"/>
            <w:tcBorders>
              <w:tl2br w:val="nil"/>
              <w:tr2bl w:val="nil"/>
            </w:tcBorders>
            <w:shd w:val="clear" w:color="auto" w:fill="auto"/>
            <w:vAlign w:val="center"/>
          </w:tcPr>
          <w:p w14:paraId="635DFD14">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自查项目</w:t>
            </w:r>
          </w:p>
        </w:tc>
      </w:tr>
      <w:tr w14:paraId="180C1B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restart"/>
            <w:tcBorders>
              <w:tl2br w:val="nil"/>
              <w:tr2bl w:val="nil"/>
            </w:tcBorders>
            <w:shd w:val="clear" w:color="auto" w:fill="auto"/>
            <w:vAlign w:val="center"/>
          </w:tcPr>
          <w:p w14:paraId="77F61C73">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生态影响识别</w:t>
            </w:r>
          </w:p>
        </w:tc>
        <w:tc>
          <w:tcPr>
            <w:tcW w:w="879" w:type="pct"/>
            <w:tcBorders>
              <w:tl2br w:val="nil"/>
              <w:tr2bl w:val="nil"/>
            </w:tcBorders>
            <w:shd w:val="clear" w:color="auto" w:fill="auto"/>
            <w:vAlign w:val="center"/>
          </w:tcPr>
          <w:p w14:paraId="37AE5639">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生态保护目标</w:t>
            </w:r>
          </w:p>
        </w:tc>
        <w:tc>
          <w:tcPr>
            <w:tcW w:w="3713" w:type="pct"/>
            <w:tcBorders>
              <w:tl2br w:val="nil"/>
              <w:tr2bl w:val="nil"/>
            </w:tcBorders>
            <w:shd w:val="clear" w:color="auto" w:fill="auto"/>
            <w:vAlign w:val="center"/>
          </w:tcPr>
          <w:p w14:paraId="349D77DD">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重要物种</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；国家公园</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；自然保护区</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；自然公园</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；世界自然遗产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；生态保护红线</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；重要生境</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；其他具有重要生态功能、对保护生物多样性具有重要意义的区域</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w:char="00FE"/>
            </w:r>
          </w:p>
        </w:tc>
      </w:tr>
      <w:tr w14:paraId="705213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continue"/>
            <w:tcBorders>
              <w:tl2br w:val="nil"/>
              <w:tr2bl w:val="nil"/>
            </w:tcBorders>
            <w:shd w:val="clear" w:color="auto" w:fill="auto"/>
            <w:vAlign w:val="center"/>
          </w:tcPr>
          <w:p w14:paraId="2385CD2A">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p>
        </w:tc>
        <w:tc>
          <w:tcPr>
            <w:tcW w:w="879" w:type="pct"/>
            <w:tcBorders>
              <w:tl2br w:val="nil"/>
              <w:tr2bl w:val="nil"/>
            </w:tcBorders>
            <w:shd w:val="clear" w:color="auto" w:fill="auto"/>
            <w:vAlign w:val="center"/>
          </w:tcPr>
          <w:p w14:paraId="5F1C9B8C">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影响方式</w:t>
            </w:r>
          </w:p>
        </w:tc>
        <w:tc>
          <w:tcPr>
            <w:tcW w:w="3713" w:type="pct"/>
            <w:tcBorders>
              <w:tl2br w:val="nil"/>
              <w:tr2bl w:val="nil"/>
            </w:tcBorders>
            <w:shd w:val="clear" w:color="auto" w:fill="auto"/>
            <w:vAlign w:val="center"/>
          </w:tcPr>
          <w:p w14:paraId="67883B26">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工程占用</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施工活动干扰</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；改变环境条件</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其他</w:t>
            </w:r>
            <w:r>
              <w:rPr>
                <w:rFonts w:hint="default" w:ascii="Times New Roman" w:hAnsi="Times New Roman" w:eastAsia="宋体" w:cs="Times New Roman"/>
                <w:sz w:val="21"/>
                <w:szCs w:val="21"/>
                <w:u w:val="none" w:color="auto"/>
              </w:rPr>
              <w:sym w:font="Wingdings" w:char="00FE"/>
            </w:r>
          </w:p>
        </w:tc>
      </w:tr>
      <w:tr w14:paraId="000EE6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continue"/>
            <w:tcBorders>
              <w:tl2br w:val="nil"/>
              <w:tr2bl w:val="nil"/>
            </w:tcBorders>
            <w:shd w:val="clear" w:color="auto" w:fill="auto"/>
            <w:vAlign w:val="center"/>
          </w:tcPr>
          <w:p w14:paraId="17B83332">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p>
        </w:tc>
        <w:tc>
          <w:tcPr>
            <w:tcW w:w="879" w:type="pct"/>
            <w:tcBorders>
              <w:tl2br w:val="nil"/>
              <w:tr2bl w:val="nil"/>
            </w:tcBorders>
            <w:shd w:val="clear" w:color="auto" w:fill="auto"/>
            <w:vAlign w:val="center"/>
          </w:tcPr>
          <w:p w14:paraId="1090D591">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评价因子</w:t>
            </w:r>
          </w:p>
        </w:tc>
        <w:tc>
          <w:tcPr>
            <w:tcW w:w="3713" w:type="pct"/>
            <w:tcBorders>
              <w:tl2br w:val="nil"/>
              <w:tr2bl w:val="nil"/>
            </w:tcBorders>
            <w:shd w:val="clear" w:color="auto" w:fill="auto"/>
            <w:vAlign w:val="center"/>
          </w:tcPr>
          <w:p w14:paraId="1F5DCB55">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物种</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（分布范围、种群数量、种群结构、行为等）</w:t>
            </w:r>
          </w:p>
          <w:p w14:paraId="6C4E436F">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生境</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(生境面积、质量、连通性等)</w:t>
            </w:r>
          </w:p>
          <w:p w14:paraId="117DE513">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生物群落</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(物种组成、群落结构等)</w:t>
            </w:r>
          </w:p>
          <w:p w14:paraId="25C9C506">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生态系统</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(植被覆盖度、生产力、生物量、生态系统功能等)</w:t>
            </w:r>
          </w:p>
          <w:p w14:paraId="489836B8">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生物多样性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(物种丰富度、均匀度、优势度等)</w:t>
            </w:r>
          </w:p>
          <w:p w14:paraId="12780BE2">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生态敏感区</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(主要保护对象、生态功能等)</w:t>
            </w:r>
          </w:p>
          <w:p w14:paraId="226CAB2E">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自然景观</w:t>
            </w:r>
            <w:r>
              <w:rPr>
                <w:rFonts w:hint="default" w:ascii="Times New Roman" w:hAnsi="Times New Roman" w:eastAsia="宋体" w:cs="Times New Roman"/>
                <w:sz w:val="21"/>
                <w:szCs w:val="21"/>
                <w:u w:val="none" w:color="auto"/>
              </w:rPr>
              <w:sym w:font="Wingdings" w:char="00A8"/>
            </w:r>
          </w:p>
          <w:p w14:paraId="3DEFC187">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自然遗迹</w:t>
            </w:r>
            <w:r>
              <w:rPr>
                <w:rFonts w:hint="default" w:ascii="Times New Roman" w:hAnsi="Times New Roman" w:eastAsia="宋体" w:cs="Times New Roman"/>
                <w:sz w:val="21"/>
                <w:szCs w:val="21"/>
                <w:u w:val="none" w:color="auto"/>
              </w:rPr>
              <w:sym w:font="Wingdings" w:char="00A8"/>
            </w:r>
          </w:p>
          <w:p w14:paraId="31E02C43">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w:char="00A8"/>
            </w:r>
          </w:p>
        </w:tc>
      </w:tr>
      <w:tr w14:paraId="788FEB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6" w:type="pct"/>
            <w:gridSpan w:val="2"/>
            <w:tcBorders>
              <w:tl2br w:val="nil"/>
              <w:tr2bl w:val="nil"/>
            </w:tcBorders>
            <w:shd w:val="clear" w:color="auto" w:fill="auto"/>
            <w:vAlign w:val="center"/>
          </w:tcPr>
          <w:p w14:paraId="56AC8B85">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评价等级</w:t>
            </w:r>
          </w:p>
        </w:tc>
        <w:tc>
          <w:tcPr>
            <w:tcW w:w="3713" w:type="pct"/>
            <w:tcBorders>
              <w:tl2br w:val="nil"/>
              <w:tr2bl w:val="nil"/>
            </w:tcBorders>
            <w:shd w:val="clear" w:color="auto" w:fill="auto"/>
            <w:vAlign w:val="center"/>
          </w:tcPr>
          <w:p w14:paraId="347145CF">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一级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二级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三级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xml:space="preserve">     生态影响简单分析</w:t>
            </w:r>
            <w:r>
              <w:rPr>
                <w:rFonts w:hint="default" w:ascii="Times New Roman" w:hAnsi="Times New Roman" w:eastAsia="宋体" w:cs="Times New Roman"/>
                <w:sz w:val="21"/>
                <w:szCs w:val="21"/>
                <w:u w:val="none" w:color="auto"/>
              </w:rPr>
              <w:sym w:font="Wingdings" w:char="00FE"/>
            </w:r>
          </w:p>
        </w:tc>
      </w:tr>
      <w:tr w14:paraId="1E653E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86" w:type="pct"/>
            <w:gridSpan w:val="2"/>
            <w:tcBorders>
              <w:tl2br w:val="nil"/>
              <w:tr2bl w:val="nil"/>
            </w:tcBorders>
            <w:shd w:val="clear" w:color="auto" w:fill="auto"/>
            <w:vAlign w:val="center"/>
          </w:tcPr>
          <w:p w14:paraId="443DA9B6">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评价范围</w:t>
            </w:r>
          </w:p>
        </w:tc>
        <w:tc>
          <w:tcPr>
            <w:tcW w:w="3713" w:type="pct"/>
            <w:tcBorders>
              <w:tl2br w:val="nil"/>
              <w:tr2bl w:val="nil"/>
            </w:tcBorders>
            <w:shd w:val="clear" w:color="auto" w:fill="auto"/>
            <w:vAlign w:val="center"/>
          </w:tcPr>
          <w:p w14:paraId="0CA483E9">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陆域面积：（</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）km</w:t>
            </w:r>
            <w:r>
              <w:rPr>
                <w:rFonts w:hint="default" w:ascii="Times New Roman" w:hAnsi="Times New Roman" w:eastAsia="宋体" w:cs="Times New Roman"/>
                <w:sz w:val="21"/>
                <w:szCs w:val="21"/>
                <w:u w:val="none" w:color="auto"/>
                <w:vertAlign w:val="superscript"/>
              </w:rPr>
              <w:t>2</w:t>
            </w:r>
            <w:r>
              <w:rPr>
                <w:rFonts w:hint="default" w:ascii="Times New Roman" w:hAnsi="Times New Roman" w:eastAsia="宋体" w:cs="Times New Roman"/>
                <w:sz w:val="21"/>
                <w:szCs w:val="21"/>
                <w:u w:val="none" w:color="auto"/>
              </w:rPr>
              <w:t>；水域面积：（</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）km</w:t>
            </w:r>
            <w:r>
              <w:rPr>
                <w:rFonts w:hint="default" w:ascii="Times New Roman" w:hAnsi="Times New Roman" w:eastAsia="宋体" w:cs="Times New Roman"/>
                <w:sz w:val="21"/>
                <w:szCs w:val="21"/>
                <w:u w:val="none" w:color="auto"/>
                <w:vertAlign w:val="superscript"/>
              </w:rPr>
              <w:t>2</w:t>
            </w:r>
          </w:p>
        </w:tc>
      </w:tr>
      <w:tr w14:paraId="013D4F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restart"/>
            <w:tcBorders>
              <w:tl2br w:val="nil"/>
              <w:tr2bl w:val="nil"/>
            </w:tcBorders>
            <w:shd w:val="clear" w:color="auto" w:fill="auto"/>
            <w:vAlign w:val="center"/>
          </w:tcPr>
          <w:p w14:paraId="2D1B07C5">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生态现状调查与评价</w:t>
            </w:r>
          </w:p>
        </w:tc>
        <w:tc>
          <w:tcPr>
            <w:tcW w:w="879" w:type="pct"/>
            <w:tcBorders>
              <w:tl2br w:val="nil"/>
              <w:tr2bl w:val="nil"/>
            </w:tcBorders>
            <w:shd w:val="clear" w:color="auto" w:fill="auto"/>
            <w:vAlign w:val="center"/>
          </w:tcPr>
          <w:p w14:paraId="0105D98D">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调查方法</w:t>
            </w:r>
          </w:p>
        </w:tc>
        <w:tc>
          <w:tcPr>
            <w:tcW w:w="3713" w:type="pct"/>
            <w:tcBorders>
              <w:tl2br w:val="nil"/>
              <w:tr2bl w:val="nil"/>
            </w:tcBorders>
            <w:shd w:val="clear" w:color="auto" w:fill="auto"/>
            <w:vAlign w:val="center"/>
          </w:tcPr>
          <w:p w14:paraId="5877A68D">
            <w:pPr>
              <w:keepNext w:val="0"/>
              <w:keepLines w:val="0"/>
              <w:pageBreakBefore w:val="0"/>
              <w:widowControl w:val="0"/>
              <w:kinsoku/>
              <w:wordWrap/>
              <w:overflowPunct/>
              <w:topLinePunct w:val="0"/>
              <w:autoSpaceDE w:val="0"/>
              <w:autoSpaceDN w:val="0"/>
              <w:bidi w:val="0"/>
              <w:adjustRightInd/>
              <w:snapToGrid/>
              <w:spacing w:line="240" w:lineRule="auto"/>
              <w:contextualSpacing/>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资料收集</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；遥感调查</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；调查样方、样线</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；调查点位、断面</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；专家和公众咨询法</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w:char="00FE"/>
            </w:r>
          </w:p>
        </w:tc>
      </w:tr>
      <w:tr w14:paraId="3B5629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continue"/>
            <w:tcBorders>
              <w:tl2br w:val="nil"/>
              <w:tr2bl w:val="nil"/>
            </w:tcBorders>
            <w:shd w:val="clear" w:color="auto" w:fill="auto"/>
            <w:vAlign w:val="center"/>
          </w:tcPr>
          <w:p w14:paraId="28119D7A">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p>
        </w:tc>
        <w:tc>
          <w:tcPr>
            <w:tcW w:w="879" w:type="pct"/>
            <w:tcBorders>
              <w:tl2br w:val="nil"/>
              <w:tr2bl w:val="nil"/>
            </w:tcBorders>
            <w:shd w:val="clear" w:color="auto" w:fill="auto"/>
            <w:vAlign w:val="center"/>
          </w:tcPr>
          <w:p w14:paraId="46D307CB">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调查时间</w:t>
            </w:r>
          </w:p>
        </w:tc>
        <w:tc>
          <w:tcPr>
            <w:tcW w:w="3713" w:type="pct"/>
            <w:tcBorders>
              <w:tl2br w:val="nil"/>
              <w:tr2bl w:val="nil"/>
            </w:tcBorders>
            <w:shd w:val="clear" w:color="auto" w:fill="auto"/>
            <w:vAlign w:val="center"/>
          </w:tcPr>
          <w:p w14:paraId="28DEDE1D">
            <w:pPr>
              <w:keepNext w:val="0"/>
              <w:keepLines w:val="0"/>
              <w:pageBreakBefore w:val="0"/>
              <w:widowControl w:val="0"/>
              <w:kinsoku/>
              <w:wordWrap/>
              <w:overflowPunct/>
              <w:topLinePunct w:val="0"/>
              <w:autoSpaceDE w:val="0"/>
              <w:autoSpaceDN w:val="0"/>
              <w:bidi w:val="0"/>
              <w:adjustRightInd/>
              <w:snapToGrid/>
              <w:spacing w:line="240" w:lineRule="auto"/>
              <w:contextualSpacing/>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春季</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；夏季</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；秋季</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；冬季</w:t>
            </w:r>
            <w:r>
              <w:rPr>
                <w:rFonts w:hint="default" w:ascii="Times New Roman" w:hAnsi="Times New Roman" w:eastAsia="宋体" w:cs="Times New Roman"/>
                <w:sz w:val="21"/>
                <w:szCs w:val="21"/>
                <w:u w:val="none" w:color="auto"/>
              </w:rPr>
              <w:sym w:font="Wingdings" w:char="00A8"/>
            </w:r>
          </w:p>
          <w:p w14:paraId="08FBB4DD">
            <w:pPr>
              <w:keepNext w:val="0"/>
              <w:keepLines w:val="0"/>
              <w:pageBreakBefore w:val="0"/>
              <w:widowControl w:val="0"/>
              <w:kinsoku/>
              <w:wordWrap/>
              <w:overflowPunct/>
              <w:topLinePunct w:val="0"/>
              <w:autoSpaceDE w:val="0"/>
              <w:autoSpaceDN w:val="0"/>
              <w:bidi w:val="0"/>
              <w:adjustRightInd/>
              <w:snapToGrid/>
              <w:spacing w:line="240" w:lineRule="auto"/>
              <w:contextualSpacing/>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丰水期</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；枯水期</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；平水期</w:t>
            </w:r>
            <w:r>
              <w:rPr>
                <w:rFonts w:hint="default" w:ascii="Times New Roman" w:hAnsi="Times New Roman" w:eastAsia="宋体" w:cs="Times New Roman"/>
                <w:sz w:val="21"/>
                <w:szCs w:val="21"/>
                <w:u w:val="none" w:color="auto"/>
              </w:rPr>
              <w:sym w:font="Wingdings" w:char="00A8"/>
            </w:r>
          </w:p>
        </w:tc>
      </w:tr>
      <w:tr w14:paraId="0551E4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continue"/>
            <w:tcBorders>
              <w:tl2br w:val="nil"/>
              <w:tr2bl w:val="nil"/>
            </w:tcBorders>
            <w:shd w:val="clear" w:color="auto" w:fill="auto"/>
            <w:vAlign w:val="center"/>
          </w:tcPr>
          <w:p w14:paraId="73904012">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p>
        </w:tc>
        <w:tc>
          <w:tcPr>
            <w:tcW w:w="879" w:type="pct"/>
            <w:tcBorders>
              <w:tl2br w:val="nil"/>
              <w:tr2bl w:val="nil"/>
            </w:tcBorders>
            <w:shd w:val="clear" w:color="auto" w:fill="auto"/>
            <w:vAlign w:val="center"/>
          </w:tcPr>
          <w:p w14:paraId="7FF6F55C">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所在区域的生态问题</w:t>
            </w:r>
          </w:p>
        </w:tc>
        <w:tc>
          <w:tcPr>
            <w:tcW w:w="3713" w:type="pct"/>
            <w:tcBorders>
              <w:tl2br w:val="nil"/>
              <w:tr2bl w:val="nil"/>
            </w:tcBorders>
            <w:shd w:val="clear" w:color="auto" w:fill="auto"/>
            <w:vAlign w:val="center"/>
          </w:tcPr>
          <w:p w14:paraId="402FD02B">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水土流失</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沙漠化</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石漠化</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盐渍化</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生物入侵</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 污染危害</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w:char="00A8"/>
            </w:r>
          </w:p>
        </w:tc>
      </w:tr>
      <w:tr w14:paraId="2F5839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continue"/>
            <w:tcBorders>
              <w:tl2br w:val="nil"/>
              <w:tr2bl w:val="nil"/>
            </w:tcBorders>
            <w:shd w:val="clear" w:color="auto" w:fill="auto"/>
            <w:vAlign w:val="center"/>
          </w:tcPr>
          <w:p w14:paraId="31B04048">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p>
        </w:tc>
        <w:tc>
          <w:tcPr>
            <w:tcW w:w="879" w:type="pct"/>
            <w:tcBorders>
              <w:tl2br w:val="nil"/>
              <w:tr2bl w:val="nil"/>
            </w:tcBorders>
            <w:shd w:val="clear" w:color="auto" w:fill="auto"/>
            <w:vAlign w:val="center"/>
          </w:tcPr>
          <w:p w14:paraId="519EC99F">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评价内容</w:t>
            </w:r>
          </w:p>
        </w:tc>
        <w:tc>
          <w:tcPr>
            <w:tcW w:w="3713" w:type="pct"/>
            <w:tcBorders>
              <w:tl2br w:val="nil"/>
              <w:tr2bl w:val="nil"/>
            </w:tcBorders>
            <w:shd w:val="clear" w:color="auto" w:fill="auto"/>
            <w:vAlign w:val="center"/>
          </w:tcPr>
          <w:p w14:paraId="53A9ACD5">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植被/植物群落</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；土地利用</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；生态系统</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；生物多样性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；重要物种</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；生态敏感区</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w:char="00A8"/>
            </w:r>
          </w:p>
        </w:tc>
      </w:tr>
      <w:tr w14:paraId="288945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restart"/>
            <w:tcBorders>
              <w:tl2br w:val="nil"/>
              <w:tr2bl w:val="nil"/>
            </w:tcBorders>
            <w:shd w:val="clear" w:color="auto" w:fill="auto"/>
            <w:vAlign w:val="center"/>
          </w:tcPr>
          <w:p w14:paraId="66A5A034">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生态影响预测与评价</w:t>
            </w:r>
          </w:p>
        </w:tc>
        <w:tc>
          <w:tcPr>
            <w:tcW w:w="879" w:type="pct"/>
            <w:tcBorders>
              <w:tl2br w:val="nil"/>
              <w:tr2bl w:val="nil"/>
            </w:tcBorders>
            <w:shd w:val="clear" w:color="auto" w:fill="auto"/>
            <w:vAlign w:val="center"/>
          </w:tcPr>
          <w:p w14:paraId="7AFFE8FE">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评价方法</w:t>
            </w:r>
          </w:p>
        </w:tc>
        <w:tc>
          <w:tcPr>
            <w:tcW w:w="3713" w:type="pct"/>
            <w:tcBorders>
              <w:tl2br w:val="nil"/>
              <w:tr2bl w:val="nil"/>
            </w:tcBorders>
            <w:shd w:val="clear" w:color="auto" w:fill="auto"/>
            <w:vAlign w:val="center"/>
          </w:tcPr>
          <w:p w14:paraId="469A4D03">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定性</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；定性和定量</w:t>
            </w:r>
            <w:r>
              <w:rPr>
                <w:rFonts w:hint="default" w:ascii="Times New Roman" w:hAnsi="Times New Roman" w:eastAsia="宋体" w:cs="Times New Roman"/>
                <w:sz w:val="21"/>
                <w:szCs w:val="21"/>
                <w:u w:val="none" w:color="auto"/>
              </w:rPr>
              <w:sym w:font="Wingdings" w:char="00A8"/>
            </w:r>
          </w:p>
        </w:tc>
      </w:tr>
      <w:tr w14:paraId="6B0779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continue"/>
            <w:tcBorders>
              <w:tl2br w:val="nil"/>
              <w:tr2bl w:val="nil"/>
            </w:tcBorders>
            <w:shd w:val="clear" w:color="auto" w:fill="auto"/>
            <w:vAlign w:val="center"/>
          </w:tcPr>
          <w:p w14:paraId="3546CD64">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p>
        </w:tc>
        <w:tc>
          <w:tcPr>
            <w:tcW w:w="879" w:type="pct"/>
            <w:tcBorders>
              <w:tl2br w:val="nil"/>
              <w:tr2bl w:val="nil"/>
            </w:tcBorders>
            <w:shd w:val="clear" w:color="auto" w:fill="auto"/>
            <w:vAlign w:val="center"/>
          </w:tcPr>
          <w:p w14:paraId="784256F5">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评价内容</w:t>
            </w:r>
          </w:p>
        </w:tc>
        <w:tc>
          <w:tcPr>
            <w:tcW w:w="3713" w:type="pct"/>
            <w:tcBorders>
              <w:tl2br w:val="nil"/>
              <w:tr2bl w:val="nil"/>
            </w:tcBorders>
            <w:shd w:val="clear" w:color="auto" w:fill="auto"/>
            <w:vAlign w:val="center"/>
          </w:tcPr>
          <w:p w14:paraId="240EE8D8">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植植被/植物群落</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；土地利用</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；生态系统</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；生物多样性</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；重要物种</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；生态敏感区</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；生物入侵风险</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w:char="00FE"/>
            </w:r>
          </w:p>
        </w:tc>
      </w:tr>
      <w:tr w14:paraId="3064C3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restart"/>
            <w:tcBorders>
              <w:tl2br w:val="nil"/>
              <w:tr2bl w:val="nil"/>
            </w:tcBorders>
            <w:shd w:val="clear" w:color="auto" w:fill="auto"/>
            <w:vAlign w:val="center"/>
          </w:tcPr>
          <w:p w14:paraId="18C3F488">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生态保护对策措施</w:t>
            </w:r>
          </w:p>
        </w:tc>
        <w:tc>
          <w:tcPr>
            <w:tcW w:w="879" w:type="pct"/>
            <w:tcBorders>
              <w:tl2br w:val="nil"/>
              <w:tr2bl w:val="nil"/>
            </w:tcBorders>
            <w:shd w:val="clear" w:color="auto" w:fill="auto"/>
            <w:vAlign w:val="center"/>
          </w:tcPr>
          <w:p w14:paraId="3088BC2E">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对策措施</w:t>
            </w:r>
          </w:p>
        </w:tc>
        <w:tc>
          <w:tcPr>
            <w:tcW w:w="3713" w:type="pct"/>
            <w:tcBorders>
              <w:tl2br w:val="nil"/>
              <w:tr2bl w:val="nil"/>
            </w:tcBorders>
            <w:shd w:val="clear" w:color="auto" w:fill="auto"/>
            <w:vAlign w:val="center"/>
          </w:tcPr>
          <w:p w14:paraId="08A80216">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避让</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；减缓</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；生态修复</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；生态补偿</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；科研</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w:char="00FE"/>
            </w:r>
          </w:p>
        </w:tc>
      </w:tr>
      <w:tr w14:paraId="4C5FBD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continue"/>
            <w:tcBorders>
              <w:tl2br w:val="nil"/>
              <w:tr2bl w:val="nil"/>
            </w:tcBorders>
            <w:shd w:val="clear" w:color="auto" w:fill="auto"/>
            <w:vAlign w:val="center"/>
          </w:tcPr>
          <w:p w14:paraId="24AD30F0">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p>
        </w:tc>
        <w:tc>
          <w:tcPr>
            <w:tcW w:w="879" w:type="pct"/>
            <w:tcBorders>
              <w:tl2br w:val="nil"/>
              <w:tr2bl w:val="nil"/>
            </w:tcBorders>
            <w:shd w:val="clear" w:color="auto" w:fill="auto"/>
            <w:vAlign w:val="center"/>
          </w:tcPr>
          <w:p w14:paraId="233B3172">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生态监测计划</w:t>
            </w:r>
          </w:p>
        </w:tc>
        <w:tc>
          <w:tcPr>
            <w:tcW w:w="3713" w:type="pct"/>
            <w:tcBorders>
              <w:tl2br w:val="nil"/>
              <w:tr2bl w:val="nil"/>
            </w:tcBorders>
            <w:shd w:val="clear" w:color="auto" w:fill="auto"/>
            <w:vAlign w:val="center"/>
          </w:tcPr>
          <w:p w14:paraId="30E4961E">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全生命周期</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；长期跟踪</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；常规</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；无</w:t>
            </w:r>
            <w:r>
              <w:rPr>
                <w:rFonts w:hint="default" w:ascii="Times New Roman" w:hAnsi="Times New Roman" w:eastAsia="宋体" w:cs="Times New Roman"/>
                <w:sz w:val="21"/>
                <w:szCs w:val="21"/>
                <w:u w:val="none" w:color="auto"/>
              </w:rPr>
              <w:sym w:font="Wingdings" w:char="00FE"/>
            </w:r>
          </w:p>
        </w:tc>
      </w:tr>
      <w:tr w14:paraId="1D38F1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vMerge w:val="continue"/>
            <w:tcBorders>
              <w:tl2br w:val="nil"/>
              <w:tr2bl w:val="nil"/>
            </w:tcBorders>
            <w:shd w:val="clear" w:color="auto" w:fill="auto"/>
            <w:vAlign w:val="center"/>
          </w:tcPr>
          <w:p w14:paraId="0FE6CE91">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p>
        </w:tc>
        <w:tc>
          <w:tcPr>
            <w:tcW w:w="879" w:type="pct"/>
            <w:tcBorders>
              <w:tl2br w:val="nil"/>
              <w:tr2bl w:val="nil"/>
            </w:tcBorders>
            <w:shd w:val="clear" w:color="auto" w:fill="auto"/>
            <w:vAlign w:val="center"/>
          </w:tcPr>
          <w:p w14:paraId="248F39AA">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环境管理</w:t>
            </w:r>
          </w:p>
        </w:tc>
        <w:tc>
          <w:tcPr>
            <w:tcW w:w="3713" w:type="pct"/>
            <w:tcBorders>
              <w:tl2br w:val="nil"/>
              <w:tr2bl w:val="nil"/>
            </w:tcBorders>
            <w:shd w:val="clear" w:color="auto" w:fill="auto"/>
            <w:vAlign w:val="center"/>
          </w:tcPr>
          <w:p w14:paraId="25A3EFF3">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环境监理</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；环境影响后评价</w:t>
            </w:r>
            <w:r>
              <w:rPr>
                <w:rFonts w:hint="default" w:ascii="Times New Roman" w:hAnsi="Times New Roman" w:eastAsia="宋体" w:cs="Times New Roman"/>
                <w:sz w:val="21"/>
                <w:szCs w:val="21"/>
                <w:u w:val="none" w:color="auto"/>
              </w:rPr>
              <w:sym w:font="Wingdings" w:char="00A8"/>
            </w: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w:char="00FE"/>
            </w:r>
          </w:p>
        </w:tc>
      </w:tr>
      <w:tr w14:paraId="521A4A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vAlign w:val="center"/>
          </w:tcPr>
          <w:p w14:paraId="2CA12BFA">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评价结论</w:t>
            </w:r>
          </w:p>
        </w:tc>
        <w:tc>
          <w:tcPr>
            <w:tcW w:w="879" w:type="pct"/>
            <w:tcBorders>
              <w:tl2br w:val="nil"/>
              <w:tr2bl w:val="nil"/>
            </w:tcBorders>
            <w:shd w:val="clear" w:color="auto" w:fill="auto"/>
            <w:vAlign w:val="center"/>
          </w:tcPr>
          <w:p w14:paraId="3E20DBE1">
            <w:pPr>
              <w:keepNext w:val="0"/>
              <w:keepLines w:val="0"/>
              <w:pageBreakBefore w:val="0"/>
              <w:widowControl w:val="0"/>
              <w:kinsoku/>
              <w:wordWrap/>
              <w:overflowPunct/>
              <w:topLinePunct w:val="0"/>
              <w:autoSpaceDE w:val="0"/>
              <w:autoSpaceDN w:val="0"/>
              <w:bidi w:val="0"/>
              <w:adjustRightInd/>
              <w:snapToGrid/>
              <w:spacing w:line="240" w:lineRule="auto"/>
              <w:contextualSpacing/>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生态影响</w:t>
            </w:r>
          </w:p>
        </w:tc>
        <w:tc>
          <w:tcPr>
            <w:tcW w:w="3713" w:type="pct"/>
            <w:tcBorders>
              <w:tl2br w:val="nil"/>
              <w:tr2bl w:val="nil"/>
            </w:tcBorders>
            <w:shd w:val="clear" w:color="auto" w:fill="auto"/>
            <w:vAlign w:val="center"/>
          </w:tcPr>
          <w:p w14:paraId="0DA01A36">
            <w:pPr>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可行</w:t>
            </w:r>
            <w:r>
              <w:rPr>
                <w:rFonts w:hint="default" w:ascii="Times New Roman" w:hAnsi="Times New Roman" w:eastAsia="宋体" w:cs="Times New Roman"/>
                <w:sz w:val="21"/>
                <w:szCs w:val="21"/>
                <w:u w:val="none" w:color="auto"/>
              </w:rPr>
              <w:sym w:font="Wingdings" w:char="00FE"/>
            </w:r>
            <w:r>
              <w:rPr>
                <w:rFonts w:hint="default" w:ascii="Times New Roman" w:hAnsi="Times New Roman" w:eastAsia="宋体" w:cs="Times New Roman"/>
                <w:sz w:val="21"/>
                <w:szCs w:val="21"/>
                <w:u w:val="none" w:color="auto"/>
              </w:rPr>
              <w:t>；不可行</w:t>
            </w:r>
            <w:r>
              <w:rPr>
                <w:rFonts w:hint="default" w:ascii="Times New Roman" w:hAnsi="Times New Roman" w:eastAsia="宋体" w:cs="Times New Roman"/>
                <w:sz w:val="21"/>
                <w:szCs w:val="21"/>
                <w:u w:val="none" w:color="auto"/>
              </w:rPr>
              <w:sym w:font="Wingdings" w:char="00A8"/>
            </w:r>
          </w:p>
        </w:tc>
      </w:tr>
      <w:tr w14:paraId="6566DD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shd w:val="clear" w:color="auto" w:fill="auto"/>
            <w:vAlign w:val="center"/>
          </w:tcPr>
          <w:p w14:paraId="55A63C5F">
            <w:pPr>
              <w:keepNext w:val="0"/>
              <w:keepLines w:val="0"/>
              <w:pageBreakBefore w:val="0"/>
              <w:widowControl w:val="0"/>
              <w:kinsoku/>
              <w:wordWrap/>
              <w:overflowPunct/>
              <w:topLinePunct w:val="0"/>
              <w:autoSpaceDE w:val="0"/>
              <w:autoSpaceDN w:val="0"/>
              <w:bidi w:val="0"/>
              <w:adjustRightInd/>
              <w:snapToGrid/>
              <w:spacing w:line="240" w:lineRule="auto"/>
              <w:contextualSpacing/>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注： </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 xml:space="preserve"> 为勾选项 ，可√ ；</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 ）</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 xml:space="preserve"> 为内容填写项。</w:t>
            </w:r>
          </w:p>
        </w:tc>
      </w:tr>
    </w:tbl>
    <w:p w14:paraId="13B7B828">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p w14:paraId="1D9B212E">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4D073505">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53" w:name="_Toc20572"/>
      <w:bookmarkStart w:id="754" w:name="_Toc11857"/>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附表6  环境风险评价自查表</w:t>
      </w:r>
      <w:bookmarkEnd w:id="753"/>
      <w:bookmarkEnd w:id="754"/>
    </w:p>
    <w:tbl>
      <w:tblPr>
        <w:tblStyle w:val="37"/>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368"/>
        <w:gridCol w:w="1426"/>
        <w:gridCol w:w="790"/>
        <w:gridCol w:w="866"/>
        <w:gridCol w:w="645"/>
        <w:gridCol w:w="421"/>
        <w:gridCol w:w="7"/>
        <w:gridCol w:w="6"/>
        <w:gridCol w:w="577"/>
        <w:gridCol w:w="385"/>
        <w:gridCol w:w="39"/>
        <w:gridCol w:w="239"/>
        <w:gridCol w:w="681"/>
        <w:gridCol w:w="12"/>
        <w:gridCol w:w="12"/>
        <w:gridCol w:w="292"/>
        <w:gridCol w:w="200"/>
        <w:gridCol w:w="128"/>
        <w:gridCol w:w="1327"/>
      </w:tblGrid>
      <w:tr w14:paraId="2086F6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tblHeader/>
          <w:jc w:val="center"/>
        </w:trPr>
        <w:tc>
          <w:tcPr>
            <w:tcW w:w="1065" w:type="pct"/>
            <w:gridSpan w:val="2"/>
            <w:tcBorders>
              <w:tl2br w:val="nil"/>
              <w:tr2bl w:val="nil"/>
            </w:tcBorders>
            <w:vAlign w:val="center"/>
          </w:tcPr>
          <w:p w14:paraId="46D478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工作内容</w:t>
            </w:r>
          </w:p>
        </w:tc>
        <w:tc>
          <w:tcPr>
            <w:tcW w:w="3934" w:type="pct"/>
            <w:gridSpan w:val="17"/>
            <w:tcBorders>
              <w:tl2br w:val="nil"/>
              <w:tr2bl w:val="nil"/>
            </w:tcBorders>
            <w:vAlign w:val="center"/>
          </w:tcPr>
          <w:p w14:paraId="6011A8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完成情况</w:t>
            </w:r>
          </w:p>
        </w:tc>
      </w:tr>
      <w:tr w14:paraId="50EED4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restart"/>
            <w:tcBorders>
              <w:tl2br w:val="nil"/>
              <w:tr2bl w:val="nil"/>
            </w:tcBorders>
            <w:vAlign w:val="center"/>
          </w:tcPr>
          <w:p w14:paraId="38C6A4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风险调查</w:t>
            </w:r>
          </w:p>
        </w:tc>
        <w:tc>
          <w:tcPr>
            <w:tcW w:w="846" w:type="pct"/>
            <w:vMerge w:val="restart"/>
            <w:tcBorders>
              <w:tl2br w:val="nil"/>
              <w:tr2bl w:val="nil"/>
            </w:tcBorders>
            <w:vAlign w:val="center"/>
          </w:tcPr>
          <w:p w14:paraId="37B3C0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危险物质</w:t>
            </w:r>
          </w:p>
        </w:tc>
        <w:tc>
          <w:tcPr>
            <w:tcW w:w="469" w:type="pct"/>
            <w:tcBorders>
              <w:tl2br w:val="nil"/>
              <w:tr2bl w:val="nil"/>
            </w:tcBorders>
            <w:vAlign w:val="center"/>
          </w:tcPr>
          <w:p w14:paraId="05DD38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名称</w:t>
            </w:r>
          </w:p>
        </w:tc>
        <w:tc>
          <w:tcPr>
            <w:tcW w:w="1147" w:type="pct"/>
            <w:gridSpan w:val="3"/>
            <w:tcBorders>
              <w:tl2br w:val="nil"/>
              <w:tr2bl w:val="nil"/>
            </w:tcBorders>
            <w:vAlign w:val="center"/>
          </w:tcPr>
          <w:p w14:paraId="12C0FF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废弃油脂</w:t>
            </w:r>
          </w:p>
        </w:tc>
        <w:tc>
          <w:tcPr>
            <w:tcW w:w="1148" w:type="pct"/>
            <w:gridSpan w:val="7"/>
            <w:tcBorders>
              <w:tl2br w:val="nil"/>
              <w:tr2bl w:val="nil"/>
            </w:tcBorders>
            <w:vAlign w:val="center"/>
          </w:tcPr>
          <w:p w14:paraId="1126D7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成品油脂</w:t>
            </w:r>
          </w:p>
        </w:tc>
        <w:tc>
          <w:tcPr>
            <w:tcW w:w="1170" w:type="pct"/>
            <w:gridSpan w:val="6"/>
            <w:tcBorders>
              <w:tl2br w:val="nil"/>
              <w:tr2bl w:val="nil"/>
            </w:tcBorders>
            <w:vAlign w:val="center"/>
          </w:tcPr>
          <w:p w14:paraId="48BE8B3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危险废物</w:t>
            </w:r>
          </w:p>
        </w:tc>
      </w:tr>
      <w:tr w14:paraId="2E2A18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754DD7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466261D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tcBorders>
              <w:tl2br w:val="nil"/>
              <w:tr2bl w:val="nil"/>
            </w:tcBorders>
            <w:vAlign w:val="center"/>
          </w:tcPr>
          <w:p w14:paraId="474F4E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存在总量/t</w:t>
            </w:r>
          </w:p>
        </w:tc>
        <w:tc>
          <w:tcPr>
            <w:tcW w:w="1147" w:type="pct"/>
            <w:gridSpan w:val="3"/>
            <w:tcBorders>
              <w:tl2br w:val="nil"/>
              <w:tr2bl w:val="nil"/>
            </w:tcBorders>
            <w:vAlign w:val="center"/>
          </w:tcPr>
          <w:p w14:paraId="489625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70</w:t>
            </w:r>
          </w:p>
        </w:tc>
        <w:tc>
          <w:tcPr>
            <w:tcW w:w="1148" w:type="pct"/>
            <w:gridSpan w:val="7"/>
            <w:tcBorders>
              <w:tl2br w:val="nil"/>
              <w:tr2bl w:val="nil"/>
            </w:tcBorders>
            <w:vAlign w:val="center"/>
          </w:tcPr>
          <w:p w14:paraId="432438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234</w:t>
            </w:r>
          </w:p>
        </w:tc>
        <w:tc>
          <w:tcPr>
            <w:tcW w:w="1170" w:type="pct"/>
            <w:gridSpan w:val="6"/>
            <w:tcBorders>
              <w:tl2br w:val="nil"/>
              <w:tr2bl w:val="nil"/>
            </w:tcBorders>
            <w:vAlign w:val="center"/>
          </w:tcPr>
          <w:p w14:paraId="32B03D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1.804</w:t>
            </w:r>
          </w:p>
        </w:tc>
      </w:tr>
      <w:tr w14:paraId="524EFA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2007B5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restart"/>
            <w:tcBorders>
              <w:tl2br w:val="nil"/>
              <w:tr2bl w:val="nil"/>
            </w:tcBorders>
            <w:vAlign w:val="center"/>
          </w:tcPr>
          <w:p w14:paraId="62BBFE8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环境敏感性</w:t>
            </w:r>
          </w:p>
        </w:tc>
        <w:tc>
          <w:tcPr>
            <w:tcW w:w="469" w:type="pct"/>
            <w:vMerge w:val="restart"/>
            <w:tcBorders>
              <w:tl2br w:val="nil"/>
              <w:tr2bl w:val="nil"/>
            </w:tcBorders>
            <w:vAlign w:val="center"/>
          </w:tcPr>
          <w:p w14:paraId="6120C8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大气</w:t>
            </w:r>
          </w:p>
        </w:tc>
        <w:tc>
          <w:tcPr>
            <w:tcW w:w="1726" w:type="pct"/>
            <w:gridSpan w:val="7"/>
            <w:tcBorders>
              <w:tl2br w:val="nil"/>
              <w:tr2bl w:val="nil"/>
            </w:tcBorders>
            <w:vAlign w:val="center"/>
          </w:tcPr>
          <w:p w14:paraId="41B024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500m范围内人口数约</w:t>
            </w:r>
            <w:r>
              <w:rPr>
                <w:rFonts w:hint="eastAsia" w:ascii="Times New Roman" w:hAnsi="Times New Roman" w:eastAsia="宋体" w:cs="Times New Roman"/>
                <w:sz w:val="21"/>
                <w:szCs w:val="21"/>
                <w:u w:val="none" w:color="auto"/>
                <w:lang w:val="en-US" w:eastAsia="zh-CN"/>
              </w:rPr>
              <w:t>400</w:t>
            </w:r>
            <w:r>
              <w:rPr>
                <w:rFonts w:hint="default" w:ascii="Times New Roman" w:hAnsi="Times New Roman" w:eastAsia="宋体" w:cs="Times New Roman"/>
                <w:sz w:val="21"/>
                <w:szCs w:val="21"/>
                <w:u w:val="none" w:color="auto"/>
              </w:rPr>
              <w:t>人</w:t>
            </w:r>
          </w:p>
        </w:tc>
        <w:tc>
          <w:tcPr>
            <w:tcW w:w="1739" w:type="pct"/>
            <w:gridSpan w:val="9"/>
            <w:tcBorders>
              <w:tl2br w:val="nil"/>
              <w:tr2bl w:val="nil"/>
            </w:tcBorders>
            <w:vAlign w:val="center"/>
          </w:tcPr>
          <w:p w14:paraId="1D86AA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5km范围内人口数约</w:t>
            </w:r>
            <w:r>
              <w:rPr>
                <w:rFonts w:hint="eastAsia" w:ascii="Times New Roman" w:hAnsi="Times New Roman" w:eastAsia="宋体" w:cs="Times New Roman"/>
                <w:sz w:val="21"/>
                <w:szCs w:val="21"/>
                <w:u w:val="none" w:color="auto"/>
                <w:lang w:val="en-US" w:eastAsia="zh-CN"/>
              </w:rPr>
              <w:t>2990</w:t>
            </w:r>
            <w:r>
              <w:rPr>
                <w:rFonts w:hint="default" w:ascii="Times New Roman" w:hAnsi="Times New Roman" w:eastAsia="宋体" w:cs="Times New Roman"/>
                <w:sz w:val="21"/>
                <w:szCs w:val="21"/>
                <w:u w:val="none" w:color="auto"/>
              </w:rPr>
              <w:t>人</w:t>
            </w:r>
          </w:p>
        </w:tc>
      </w:tr>
      <w:tr w14:paraId="35A10B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3ADBB5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19DFA3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vMerge w:val="continue"/>
            <w:tcBorders>
              <w:tl2br w:val="nil"/>
              <w:tr2bl w:val="nil"/>
            </w:tcBorders>
            <w:vAlign w:val="center"/>
          </w:tcPr>
          <w:p w14:paraId="339569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2601" w:type="pct"/>
            <w:gridSpan w:val="14"/>
            <w:tcBorders>
              <w:tl2br w:val="nil"/>
              <w:tr2bl w:val="nil"/>
            </w:tcBorders>
            <w:vAlign w:val="center"/>
          </w:tcPr>
          <w:p w14:paraId="060993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每公里管段周边200m范围内人口数（最大）</w:t>
            </w:r>
          </w:p>
        </w:tc>
        <w:tc>
          <w:tcPr>
            <w:tcW w:w="863" w:type="pct"/>
            <w:gridSpan w:val="2"/>
            <w:tcBorders>
              <w:tl2br w:val="nil"/>
              <w:tr2bl w:val="nil"/>
            </w:tcBorders>
            <w:vAlign w:val="center"/>
          </w:tcPr>
          <w:p w14:paraId="38732D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  /  人</w:t>
            </w:r>
          </w:p>
        </w:tc>
      </w:tr>
      <w:tr w14:paraId="64B23A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7E34B4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46FD5F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vMerge w:val="restart"/>
            <w:tcBorders>
              <w:tl2br w:val="nil"/>
              <w:tr2bl w:val="nil"/>
            </w:tcBorders>
            <w:vAlign w:val="center"/>
          </w:tcPr>
          <w:p w14:paraId="013B0D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地表水</w:t>
            </w:r>
          </w:p>
        </w:tc>
        <w:tc>
          <w:tcPr>
            <w:tcW w:w="897" w:type="pct"/>
            <w:gridSpan w:val="2"/>
            <w:tcBorders>
              <w:tl2br w:val="nil"/>
              <w:tr2bl w:val="nil"/>
            </w:tcBorders>
            <w:vAlign w:val="center"/>
          </w:tcPr>
          <w:p w14:paraId="519175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地表水功能敏感性</w:t>
            </w:r>
          </w:p>
        </w:tc>
        <w:tc>
          <w:tcPr>
            <w:tcW w:w="852" w:type="pct"/>
            <w:gridSpan w:val="6"/>
            <w:tcBorders>
              <w:tl2br w:val="nil"/>
              <w:tr2bl w:val="nil"/>
            </w:tcBorders>
            <w:vAlign w:val="center"/>
          </w:tcPr>
          <w:p w14:paraId="544E7D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F1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623D94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F2 </w:t>
            </w:r>
            <w:r>
              <w:rPr>
                <w:rFonts w:hint="default" w:ascii="Times New Roman" w:hAnsi="Times New Roman" w:eastAsia="宋体" w:cs="Times New Roman"/>
                <w:sz w:val="21"/>
                <w:szCs w:val="21"/>
                <w:u w:val="none" w:color="auto"/>
              </w:rPr>
              <w:sym w:font="Wingdings 2" w:char="00A3"/>
            </w:r>
          </w:p>
        </w:tc>
        <w:tc>
          <w:tcPr>
            <w:tcW w:w="863" w:type="pct"/>
            <w:gridSpan w:val="2"/>
            <w:tcBorders>
              <w:tl2br w:val="nil"/>
              <w:tr2bl w:val="nil"/>
            </w:tcBorders>
            <w:vAlign w:val="center"/>
          </w:tcPr>
          <w:p w14:paraId="6F7B35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F3 </w:t>
            </w:r>
            <w:r>
              <w:rPr>
                <w:rFonts w:hint="default" w:ascii="Times New Roman" w:hAnsi="Times New Roman" w:eastAsia="宋体" w:cs="Times New Roman"/>
                <w:sz w:val="21"/>
                <w:szCs w:val="21"/>
                <w:u w:val="none" w:color="auto"/>
              </w:rPr>
              <w:sym w:font="Wingdings 2" w:char="00A3"/>
            </w:r>
          </w:p>
        </w:tc>
      </w:tr>
      <w:tr w14:paraId="092456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248DA3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68B6CF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vMerge w:val="continue"/>
            <w:tcBorders>
              <w:tl2br w:val="nil"/>
              <w:tr2bl w:val="nil"/>
            </w:tcBorders>
            <w:vAlign w:val="center"/>
          </w:tcPr>
          <w:p w14:paraId="4850828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97" w:type="pct"/>
            <w:gridSpan w:val="2"/>
            <w:tcBorders>
              <w:tl2br w:val="nil"/>
              <w:tr2bl w:val="nil"/>
            </w:tcBorders>
            <w:vAlign w:val="center"/>
          </w:tcPr>
          <w:p w14:paraId="53AC9F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环境敏感目标分级</w:t>
            </w:r>
          </w:p>
        </w:tc>
        <w:tc>
          <w:tcPr>
            <w:tcW w:w="852" w:type="pct"/>
            <w:gridSpan w:val="6"/>
            <w:tcBorders>
              <w:tl2br w:val="nil"/>
              <w:tr2bl w:val="nil"/>
            </w:tcBorders>
            <w:vAlign w:val="center"/>
          </w:tcPr>
          <w:p w14:paraId="20675B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S1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381B2B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S2 </w:t>
            </w:r>
            <w:r>
              <w:rPr>
                <w:rFonts w:hint="default" w:ascii="Times New Roman" w:hAnsi="Times New Roman" w:eastAsia="宋体" w:cs="Times New Roman"/>
                <w:sz w:val="21"/>
                <w:szCs w:val="21"/>
                <w:u w:val="none" w:color="auto"/>
              </w:rPr>
              <w:sym w:font="Wingdings 2" w:char="00A3"/>
            </w:r>
          </w:p>
        </w:tc>
        <w:tc>
          <w:tcPr>
            <w:tcW w:w="863" w:type="pct"/>
            <w:gridSpan w:val="2"/>
            <w:tcBorders>
              <w:tl2br w:val="nil"/>
              <w:tr2bl w:val="nil"/>
            </w:tcBorders>
            <w:vAlign w:val="center"/>
          </w:tcPr>
          <w:p w14:paraId="054D7F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S3 </w:t>
            </w:r>
            <w:r>
              <w:rPr>
                <w:rFonts w:hint="default" w:ascii="Times New Roman" w:hAnsi="Times New Roman" w:eastAsia="宋体" w:cs="Times New Roman"/>
                <w:sz w:val="21"/>
                <w:szCs w:val="21"/>
                <w:u w:val="none" w:color="auto"/>
              </w:rPr>
              <w:sym w:font="Wingdings 2" w:char="00A3"/>
            </w:r>
          </w:p>
        </w:tc>
      </w:tr>
      <w:tr w14:paraId="1174E0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520962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4D21C2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vMerge w:val="restart"/>
            <w:tcBorders>
              <w:tl2br w:val="nil"/>
              <w:tr2bl w:val="nil"/>
            </w:tcBorders>
            <w:vAlign w:val="center"/>
          </w:tcPr>
          <w:p w14:paraId="231E2E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地下水</w:t>
            </w:r>
          </w:p>
        </w:tc>
        <w:tc>
          <w:tcPr>
            <w:tcW w:w="897" w:type="pct"/>
            <w:gridSpan w:val="2"/>
            <w:tcBorders>
              <w:tl2br w:val="nil"/>
              <w:tr2bl w:val="nil"/>
            </w:tcBorders>
            <w:vAlign w:val="center"/>
          </w:tcPr>
          <w:p w14:paraId="57E83D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地下水功能敏感性</w:t>
            </w:r>
          </w:p>
        </w:tc>
        <w:tc>
          <w:tcPr>
            <w:tcW w:w="852" w:type="pct"/>
            <w:gridSpan w:val="6"/>
            <w:tcBorders>
              <w:tl2br w:val="nil"/>
              <w:tr2bl w:val="nil"/>
            </w:tcBorders>
            <w:vAlign w:val="center"/>
          </w:tcPr>
          <w:p w14:paraId="039113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G1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6F983B1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G2 </w:t>
            </w:r>
            <w:r>
              <w:rPr>
                <w:rFonts w:hint="default" w:ascii="Times New Roman" w:hAnsi="Times New Roman" w:eastAsia="宋体" w:cs="Times New Roman"/>
                <w:sz w:val="21"/>
                <w:szCs w:val="21"/>
                <w:u w:val="none" w:color="auto"/>
              </w:rPr>
              <w:sym w:font="Wingdings 2" w:char="00A3"/>
            </w:r>
          </w:p>
        </w:tc>
        <w:tc>
          <w:tcPr>
            <w:tcW w:w="863" w:type="pct"/>
            <w:gridSpan w:val="2"/>
            <w:tcBorders>
              <w:tl2br w:val="nil"/>
              <w:tr2bl w:val="nil"/>
            </w:tcBorders>
            <w:vAlign w:val="center"/>
          </w:tcPr>
          <w:p w14:paraId="3E20F5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G3 </w:t>
            </w:r>
            <w:r>
              <w:rPr>
                <w:rFonts w:hint="default" w:ascii="Times New Roman" w:hAnsi="Times New Roman" w:eastAsia="宋体" w:cs="Times New Roman"/>
                <w:sz w:val="21"/>
                <w:szCs w:val="21"/>
                <w:u w:val="none" w:color="auto"/>
              </w:rPr>
              <w:sym w:font="Wingdings 2" w:char="00A3"/>
            </w:r>
          </w:p>
        </w:tc>
      </w:tr>
      <w:tr w14:paraId="7CB133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4BD61A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6FC14F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vMerge w:val="continue"/>
            <w:tcBorders>
              <w:tl2br w:val="nil"/>
              <w:tr2bl w:val="nil"/>
            </w:tcBorders>
            <w:vAlign w:val="center"/>
          </w:tcPr>
          <w:p w14:paraId="6621EA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97" w:type="pct"/>
            <w:gridSpan w:val="2"/>
            <w:tcBorders>
              <w:tl2br w:val="nil"/>
              <w:tr2bl w:val="nil"/>
            </w:tcBorders>
            <w:vAlign w:val="center"/>
          </w:tcPr>
          <w:p w14:paraId="3E25EF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包气带防污性能</w:t>
            </w:r>
          </w:p>
        </w:tc>
        <w:tc>
          <w:tcPr>
            <w:tcW w:w="852" w:type="pct"/>
            <w:gridSpan w:val="6"/>
            <w:tcBorders>
              <w:tl2br w:val="nil"/>
              <w:tr2bl w:val="nil"/>
            </w:tcBorders>
            <w:vAlign w:val="center"/>
          </w:tcPr>
          <w:p w14:paraId="50593A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D1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0A32AE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D2 </w:t>
            </w:r>
            <w:r>
              <w:rPr>
                <w:rFonts w:hint="default" w:ascii="Times New Roman" w:hAnsi="Times New Roman" w:eastAsia="宋体" w:cs="Times New Roman"/>
                <w:sz w:val="21"/>
                <w:szCs w:val="21"/>
                <w:u w:val="none" w:color="auto"/>
              </w:rPr>
              <w:sym w:font="Wingdings 2" w:char="00A3"/>
            </w:r>
          </w:p>
        </w:tc>
        <w:tc>
          <w:tcPr>
            <w:tcW w:w="863" w:type="pct"/>
            <w:gridSpan w:val="2"/>
            <w:tcBorders>
              <w:tl2br w:val="nil"/>
              <w:tr2bl w:val="nil"/>
            </w:tcBorders>
            <w:vAlign w:val="center"/>
          </w:tcPr>
          <w:p w14:paraId="555017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D3 </w:t>
            </w:r>
            <w:r>
              <w:rPr>
                <w:rFonts w:hint="default" w:ascii="Times New Roman" w:hAnsi="Times New Roman" w:eastAsia="宋体" w:cs="Times New Roman"/>
                <w:sz w:val="21"/>
                <w:szCs w:val="21"/>
                <w:u w:val="none" w:color="auto"/>
              </w:rPr>
              <w:sym w:font="Wingdings 2" w:char="00A3"/>
            </w:r>
          </w:p>
        </w:tc>
      </w:tr>
      <w:tr w14:paraId="351D31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vMerge w:val="restart"/>
            <w:tcBorders>
              <w:tl2br w:val="nil"/>
              <w:tr2bl w:val="nil"/>
            </w:tcBorders>
            <w:vAlign w:val="center"/>
          </w:tcPr>
          <w:p w14:paraId="7B20853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物质及工艺系统危险性</w:t>
            </w:r>
          </w:p>
        </w:tc>
        <w:tc>
          <w:tcPr>
            <w:tcW w:w="469" w:type="pct"/>
            <w:tcBorders>
              <w:tl2br w:val="nil"/>
              <w:tr2bl w:val="nil"/>
            </w:tcBorders>
            <w:vAlign w:val="center"/>
          </w:tcPr>
          <w:p w14:paraId="29A31B1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Q值</w:t>
            </w:r>
          </w:p>
        </w:tc>
        <w:tc>
          <w:tcPr>
            <w:tcW w:w="897" w:type="pct"/>
            <w:gridSpan w:val="2"/>
            <w:tcBorders>
              <w:tl2br w:val="nil"/>
              <w:tr2bl w:val="nil"/>
            </w:tcBorders>
            <w:vAlign w:val="center"/>
          </w:tcPr>
          <w:p w14:paraId="7154381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Q＜1 </w:t>
            </w:r>
            <w:r>
              <w:rPr>
                <w:rFonts w:hint="default" w:ascii="Times New Roman" w:hAnsi="Times New Roman" w:eastAsia="宋体" w:cs="Times New Roman"/>
                <w:sz w:val="21"/>
                <w:szCs w:val="21"/>
                <w:u w:val="none" w:color="auto"/>
              </w:rPr>
              <w:sym w:font="Wingdings 2" w:char="0052"/>
            </w:r>
          </w:p>
        </w:tc>
        <w:tc>
          <w:tcPr>
            <w:tcW w:w="852" w:type="pct"/>
            <w:gridSpan w:val="6"/>
            <w:tcBorders>
              <w:tl2br w:val="nil"/>
              <w:tr2bl w:val="nil"/>
            </w:tcBorders>
            <w:vAlign w:val="center"/>
          </w:tcPr>
          <w:p w14:paraId="46F7F3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1≤Q＜10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313775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10≤Q＜100 </w:t>
            </w:r>
            <w:r>
              <w:rPr>
                <w:rFonts w:hint="default" w:ascii="Times New Roman" w:hAnsi="Times New Roman" w:eastAsia="宋体" w:cs="Times New Roman"/>
                <w:sz w:val="21"/>
                <w:szCs w:val="21"/>
                <w:u w:val="none" w:color="auto"/>
              </w:rPr>
              <w:sym w:font="Wingdings 2" w:char="00A3"/>
            </w:r>
          </w:p>
        </w:tc>
        <w:tc>
          <w:tcPr>
            <w:tcW w:w="863" w:type="pct"/>
            <w:gridSpan w:val="2"/>
            <w:tcBorders>
              <w:tl2br w:val="nil"/>
              <w:tr2bl w:val="nil"/>
            </w:tcBorders>
            <w:vAlign w:val="center"/>
          </w:tcPr>
          <w:p w14:paraId="37A0F6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Q＞100 </w:t>
            </w:r>
            <w:r>
              <w:rPr>
                <w:rFonts w:hint="default" w:ascii="Times New Roman" w:hAnsi="Times New Roman" w:eastAsia="宋体" w:cs="Times New Roman"/>
                <w:sz w:val="21"/>
                <w:szCs w:val="21"/>
                <w:u w:val="none" w:color="auto"/>
              </w:rPr>
              <w:sym w:font="Wingdings 2" w:char="00A3"/>
            </w:r>
          </w:p>
        </w:tc>
      </w:tr>
      <w:tr w14:paraId="613387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vMerge w:val="continue"/>
            <w:tcBorders>
              <w:tl2br w:val="nil"/>
              <w:tr2bl w:val="nil"/>
            </w:tcBorders>
            <w:vAlign w:val="center"/>
          </w:tcPr>
          <w:p w14:paraId="3BFE849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tcBorders>
              <w:tl2br w:val="nil"/>
              <w:tr2bl w:val="nil"/>
            </w:tcBorders>
            <w:vAlign w:val="center"/>
          </w:tcPr>
          <w:p w14:paraId="2E311B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M值</w:t>
            </w:r>
          </w:p>
        </w:tc>
        <w:tc>
          <w:tcPr>
            <w:tcW w:w="897" w:type="pct"/>
            <w:gridSpan w:val="2"/>
            <w:tcBorders>
              <w:tl2br w:val="nil"/>
              <w:tr2bl w:val="nil"/>
            </w:tcBorders>
            <w:vAlign w:val="center"/>
          </w:tcPr>
          <w:p w14:paraId="2CF404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M1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284FEA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M2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1CD913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M3 </w:t>
            </w:r>
            <w:r>
              <w:rPr>
                <w:rFonts w:hint="default" w:ascii="Times New Roman" w:hAnsi="Times New Roman" w:eastAsia="宋体" w:cs="Times New Roman"/>
                <w:sz w:val="21"/>
                <w:szCs w:val="21"/>
                <w:u w:val="none" w:color="auto"/>
              </w:rPr>
              <w:sym w:font="Wingdings 2" w:char="00A3"/>
            </w:r>
          </w:p>
        </w:tc>
        <w:tc>
          <w:tcPr>
            <w:tcW w:w="863" w:type="pct"/>
            <w:gridSpan w:val="2"/>
            <w:tcBorders>
              <w:tl2br w:val="nil"/>
              <w:tr2bl w:val="nil"/>
            </w:tcBorders>
            <w:vAlign w:val="center"/>
          </w:tcPr>
          <w:p w14:paraId="4ED1C9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M4 </w:t>
            </w:r>
            <w:r>
              <w:rPr>
                <w:rFonts w:hint="default" w:ascii="Times New Roman" w:hAnsi="Times New Roman" w:eastAsia="宋体" w:cs="Times New Roman"/>
                <w:sz w:val="21"/>
                <w:szCs w:val="21"/>
                <w:u w:val="none" w:color="auto"/>
              </w:rPr>
              <w:sym w:font="Wingdings 2" w:char="00A3"/>
            </w:r>
          </w:p>
        </w:tc>
      </w:tr>
      <w:tr w14:paraId="46B754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vMerge w:val="continue"/>
            <w:tcBorders>
              <w:tl2br w:val="nil"/>
              <w:tr2bl w:val="nil"/>
            </w:tcBorders>
            <w:vAlign w:val="center"/>
          </w:tcPr>
          <w:p w14:paraId="10EECB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tcBorders>
              <w:tl2br w:val="nil"/>
              <w:tr2bl w:val="nil"/>
            </w:tcBorders>
            <w:vAlign w:val="center"/>
          </w:tcPr>
          <w:p w14:paraId="34100D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P值</w:t>
            </w:r>
          </w:p>
        </w:tc>
        <w:tc>
          <w:tcPr>
            <w:tcW w:w="897" w:type="pct"/>
            <w:gridSpan w:val="2"/>
            <w:tcBorders>
              <w:tl2br w:val="nil"/>
              <w:tr2bl w:val="nil"/>
            </w:tcBorders>
            <w:vAlign w:val="center"/>
          </w:tcPr>
          <w:p w14:paraId="66E363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P1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3C60E0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P2 </w:t>
            </w:r>
            <w:r>
              <w:rPr>
                <w:rFonts w:hint="default" w:ascii="Times New Roman" w:hAnsi="Times New Roman" w:eastAsia="宋体" w:cs="Times New Roman"/>
                <w:sz w:val="21"/>
                <w:szCs w:val="21"/>
                <w:u w:val="none" w:color="auto"/>
              </w:rPr>
              <w:sym w:font="Wingdings 2" w:char="00A3"/>
            </w:r>
          </w:p>
        </w:tc>
        <w:tc>
          <w:tcPr>
            <w:tcW w:w="852" w:type="pct"/>
            <w:gridSpan w:val="6"/>
            <w:tcBorders>
              <w:tl2br w:val="nil"/>
              <w:tr2bl w:val="nil"/>
            </w:tcBorders>
            <w:vAlign w:val="center"/>
          </w:tcPr>
          <w:p w14:paraId="6BA209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P3 </w:t>
            </w:r>
            <w:r>
              <w:rPr>
                <w:rFonts w:hint="default" w:ascii="Times New Roman" w:hAnsi="Times New Roman" w:eastAsia="宋体" w:cs="Times New Roman"/>
                <w:sz w:val="21"/>
                <w:szCs w:val="21"/>
                <w:u w:val="none" w:color="auto"/>
              </w:rPr>
              <w:sym w:font="Wingdings 2" w:char="00A3"/>
            </w:r>
          </w:p>
        </w:tc>
        <w:tc>
          <w:tcPr>
            <w:tcW w:w="863" w:type="pct"/>
            <w:gridSpan w:val="2"/>
            <w:tcBorders>
              <w:tl2br w:val="nil"/>
              <w:tr2bl w:val="nil"/>
            </w:tcBorders>
            <w:vAlign w:val="center"/>
          </w:tcPr>
          <w:p w14:paraId="4240B0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P4 </w:t>
            </w:r>
            <w:r>
              <w:rPr>
                <w:rFonts w:hint="default" w:ascii="Times New Roman" w:hAnsi="Times New Roman" w:eastAsia="宋体" w:cs="Times New Roman"/>
                <w:sz w:val="21"/>
                <w:szCs w:val="21"/>
                <w:u w:val="none" w:color="auto"/>
              </w:rPr>
              <w:sym w:font="Wingdings 2" w:char="00A3"/>
            </w:r>
          </w:p>
        </w:tc>
      </w:tr>
      <w:tr w14:paraId="210115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vMerge w:val="restart"/>
            <w:tcBorders>
              <w:tl2br w:val="nil"/>
              <w:tr2bl w:val="nil"/>
            </w:tcBorders>
            <w:vAlign w:val="center"/>
          </w:tcPr>
          <w:p w14:paraId="023B5C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环境敏感</w:t>
            </w:r>
          </w:p>
          <w:p w14:paraId="3A56E75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程度</w:t>
            </w:r>
          </w:p>
        </w:tc>
        <w:tc>
          <w:tcPr>
            <w:tcW w:w="469" w:type="pct"/>
            <w:tcBorders>
              <w:tl2br w:val="nil"/>
              <w:tr2bl w:val="nil"/>
            </w:tcBorders>
            <w:vAlign w:val="center"/>
          </w:tcPr>
          <w:p w14:paraId="32F6EC7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大气</w:t>
            </w:r>
          </w:p>
        </w:tc>
        <w:tc>
          <w:tcPr>
            <w:tcW w:w="1151" w:type="pct"/>
            <w:gridSpan w:val="4"/>
            <w:tcBorders>
              <w:tl2br w:val="nil"/>
              <w:tr2bl w:val="nil"/>
            </w:tcBorders>
            <w:vAlign w:val="center"/>
          </w:tcPr>
          <w:p w14:paraId="45D9C67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E1 </w:t>
            </w:r>
            <w:r>
              <w:rPr>
                <w:rFonts w:hint="default" w:ascii="Times New Roman" w:hAnsi="Times New Roman" w:eastAsia="宋体" w:cs="Times New Roman"/>
                <w:sz w:val="21"/>
                <w:szCs w:val="21"/>
                <w:u w:val="none" w:color="auto"/>
              </w:rPr>
              <w:sym w:font="Wingdings 2" w:char="00A3"/>
            </w:r>
          </w:p>
        </w:tc>
        <w:tc>
          <w:tcPr>
            <w:tcW w:w="1151" w:type="pct"/>
            <w:gridSpan w:val="7"/>
            <w:tcBorders>
              <w:tl2br w:val="nil"/>
              <w:tr2bl w:val="nil"/>
            </w:tcBorders>
            <w:vAlign w:val="center"/>
          </w:tcPr>
          <w:p w14:paraId="4E9F1F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E2 </w:t>
            </w:r>
            <w:r>
              <w:rPr>
                <w:rFonts w:hint="default" w:ascii="Times New Roman" w:hAnsi="Times New Roman" w:eastAsia="宋体" w:cs="Times New Roman"/>
                <w:sz w:val="21"/>
                <w:szCs w:val="21"/>
                <w:u w:val="none" w:color="auto"/>
              </w:rPr>
              <w:sym w:font="Wingdings 2" w:char="00A3"/>
            </w:r>
          </w:p>
        </w:tc>
        <w:tc>
          <w:tcPr>
            <w:tcW w:w="1163" w:type="pct"/>
            <w:gridSpan w:val="5"/>
            <w:tcBorders>
              <w:tl2br w:val="nil"/>
              <w:tr2bl w:val="nil"/>
            </w:tcBorders>
            <w:vAlign w:val="center"/>
          </w:tcPr>
          <w:p w14:paraId="498226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E3 </w:t>
            </w:r>
            <w:r>
              <w:rPr>
                <w:rFonts w:hint="default" w:ascii="Times New Roman" w:hAnsi="Times New Roman" w:eastAsia="宋体" w:cs="Times New Roman"/>
                <w:sz w:val="21"/>
                <w:szCs w:val="21"/>
                <w:u w:val="none" w:color="auto"/>
              </w:rPr>
              <w:sym w:font="Wingdings 2" w:char="00A3"/>
            </w:r>
          </w:p>
        </w:tc>
      </w:tr>
      <w:tr w14:paraId="254B7B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vMerge w:val="continue"/>
            <w:tcBorders>
              <w:tl2br w:val="nil"/>
              <w:tr2bl w:val="nil"/>
            </w:tcBorders>
            <w:vAlign w:val="center"/>
          </w:tcPr>
          <w:p w14:paraId="41A1A8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tcBorders>
              <w:tl2br w:val="nil"/>
              <w:tr2bl w:val="nil"/>
            </w:tcBorders>
            <w:vAlign w:val="center"/>
          </w:tcPr>
          <w:p w14:paraId="71D21B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地表水</w:t>
            </w:r>
          </w:p>
        </w:tc>
        <w:tc>
          <w:tcPr>
            <w:tcW w:w="1151" w:type="pct"/>
            <w:gridSpan w:val="4"/>
            <w:tcBorders>
              <w:tl2br w:val="nil"/>
              <w:tr2bl w:val="nil"/>
            </w:tcBorders>
            <w:vAlign w:val="center"/>
          </w:tcPr>
          <w:p w14:paraId="246B09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E1 </w:t>
            </w:r>
            <w:r>
              <w:rPr>
                <w:rFonts w:hint="default" w:ascii="Times New Roman" w:hAnsi="Times New Roman" w:eastAsia="宋体" w:cs="Times New Roman"/>
                <w:sz w:val="21"/>
                <w:szCs w:val="21"/>
                <w:u w:val="none" w:color="auto"/>
              </w:rPr>
              <w:sym w:font="Wingdings 2" w:char="00A3"/>
            </w:r>
          </w:p>
        </w:tc>
        <w:tc>
          <w:tcPr>
            <w:tcW w:w="1151" w:type="pct"/>
            <w:gridSpan w:val="7"/>
            <w:tcBorders>
              <w:tl2br w:val="nil"/>
              <w:tr2bl w:val="nil"/>
            </w:tcBorders>
            <w:vAlign w:val="center"/>
          </w:tcPr>
          <w:p w14:paraId="395E7B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E2 </w:t>
            </w:r>
            <w:r>
              <w:rPr>
                <w:rFonts w:hint="default" w:ascii="Times New Roman" w:hAnsi="Times New Roman" w:eastAsia="宋体" w:cs="Times New Roman"/>
                <w:sz w:val="21"/>
                <w:szCs w:val="21"/>
                <w:u w:val="none" w:color="auto"/>
              </w:rPr>
              <w:sym w:font="Wingdings 2" w:char="00A3"/>
            </w:r>
          </w:p>
        </w:tc>
        <w:tc>
          <w:tcPr>
            <w:tcW w:w="1163" w:type="pct"/>
            <w:gridSpan w:val="5"/>
            <w:tcBorders>
              <w:tl2br w:val="nil"/>
              <w:tr2bl w:val="nil"/>
            </w:tcBorders>
            <w:vAlign w:val="center"/>
          </w:tcPr>
          <w:p w14:paraId="78C128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E3 </w:t>
            </w:r>
            <w:r>
              <w:rPr>
                <w:rFonts w:hint="default" w:ascii="Times New Roman" w:hAnsi="Times New Roman" w:eastAsia="宋体" w:cs="Times New Roman"/>
                <w:sz w:val="21"/>
                <w:szCs w:val="21"/>
                <w:u w:val="none" w:color="auto"/>
              </w:rPr>
              <w:sym w:font="Wingdings 2" w:char="00A3"/>
            </w:r>
          </w:p>
        </w:tc>
      </w:tr>
      <w:tr w14:paraId="248865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vMerge w:val="continue"/>
            <w:tcBorders>
              <w:tl2br w:val="nil"/>
              <w:tr2bl w:val="nil"/>
            </w:tcBorders>
            <w:vAlign w:val="center"/>
          </w:tcPr>
          <w:p w14:paraId="5BE070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tcBorders>
              <w:tl2br w:val="nil"/>
              <w:tr2bl w:val="nil"/>
            </w:tcBorders>
            <w:vAlign w:val="center"/>
          </w:tcPr>
          <w:p w14:paraId="4C5444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地下水</w:t>
            </w:r>
          </w:p>
        </w:tc>
        <w:tc>
          <w:tcPr>
            <w:tcW w:w="1151" w:type="pct"/>
            <w:gridSpan w:val="4"/>
            <w:tcBorders>
              <w:tl2br w:val="nil"/>
              <w:tr2bl w:val="nil"/>
            </w:tcBorders>
            <w:vAlign w:val="center"/>
          </w:tcPr>
          <w:p w14:paraId="57DFA4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E1 </w:t>
            </w:r>
            <w:r>
              <w:rPr>
                <w:rFonts w:hint="default" w:ascii="Times New Roman" w:hAnsi="Times New Roman" w:eastAsia="宋体" w:cs="Times New Roman"/>
                <w:sz w:val="21"/>
                <w:szCs w:val="21"/>
                <w:u w:val="none" w:color="auto"/>
              </w:rPr>
              <w:sym w:font="Wingdings 2" w:char="00A3"/>
            </w:r>
          </w:p>
        </w:tc>
        <w:tc>
          <w:tcPr>
            <w:tcW w:w="1151" w:type="pct"/>
            <w:gridSpan w:val="7"/>
            <w:tcBorders>
              <w:tl2br w:val="nil"/>
              <w:tr2bl w:val="nil"/>
            </w:tcBorders>
            <w:vAlign w:val="center"/>
          </w:tcPr>
          <w:p w14:paraId="39B554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E2 </w:t>
            </w:r>
            <w:r>
              <w:rPr>
                <w:rFonts w:hint="default" w:ascii="Times New Roman" w:hAnsi="Times New Roman" w:eastAsia="宋体" w:cs="Times New Roman"/>
                <w:sz w:val="21"/>
                <w:szCs w:val="21"/>
                <w:u w:val="none" w:color="auto"/>
              </w:rPr>
              <w:sym w:font="Wingdings 2" w:char="00A3"/>
            </w:r>
          </w:p>
        </w:tc>
        <w:tc>
          <w:tcPr>
            <w:tcW w:w="1163" w:type="pct"/>
            <w:gridSpan w:val="5"/>
            <w:tcBorders>
              <w:tl2br w:val="nil"/>
              <w:tr2bl w:val="nil"/>
            </w:tcBorders>
            <w:vAlign w:val="center"/>
          </w:tcPr>
          <w:p w14:paraId="7C675DD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E3 </w:t>
            </w:r>
            <w:r>
              <w:rPr>
                <w:rFonts w:hint="default" w:ascii="Times New Roman" w:hAnsi="Times New Roman" w:eastAsia="宋体" w:cs="Times New Roman"/>
                <w:sz w:val="21"/>
                <w:szCs w:val="21"/>
                <w:u w:val="none" w:color="auto"/>
              </w:rPr>
              <w:sym w:font="Wingdings 2" w:char="00A3"/>
            </w:r>
          </w:p>
        </w:tc>
      </w:tr>
      <w:tr w14:paraId="09DDCF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tcBorders>
              <w:tl2br w:val="nil"/>
              <w:tr2bl w:val="nil"/>
            </w:tcBorders>
            <w:vAlign w:val="center"/>
          </w:tcPr>
          <w:p w14:paraId="272B47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环境风险潜势</w:t>
            </w:r>
          </w:p>
        </w:tc>
        <w:tc>
          <w:tcPr>
            <w:tcW w:w="983" w:type="pct"/>
            <w:gridSpan w:val="2"/>
            <w:tcBorders>
              <w:tl2br w:val="nil"/>
              <w:tr2bl w:val="nil"/>
            </w:tcBorders>
            <w:vAlign w:val="center"/>
          </w:tcPr>
          <w:p w14:paraId="425598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Ⅳ</w:t>
            </w:r>
            <w:r>
              <w:rPr>
                <w:rFonts w:hint="default" w:ascii="Times New Roman" w:hAnsi="Times New Roman" w:eastAsia="宋体" w:cs="Times New Roman"/>
                <w:sz w:val="21"/>
                <w:szCs w:val="21"/>
                <w:u w:val="none" w:color="auto"/>
                <w:vertAlign w:val="superscript"/>
              </w:rPr>
              <w:t>+</w:t>
            </w:r>
            <w:r>
              <w:rPr>
                <w:rFonts w:hint="default" w:ascii="Times New Roman" w:hAnsi="Times New Roman" w:eastAsia="宋体" w:cs="Times New Roman"/>
                <w:sz w:val="21"/>
                <w:szCs w:val="21"/>
                <w:u w:val="none" w:color="auto"/>
              </w:rPr>
              <w:t xml:space="preserve"> </w:t>
            </w:r>
            <w:r>
              <w:rPr>
                <w:rFonts w:hint="default" w:ascii="Times New Roman" w:hAnsi="Times New Roman" w:eastAsia="宋体" w:cs="Times New Roman"/>
                <w:sz w:val="21"/>
                <w:szCs w:val="21"/>
                <w:u w:val="none" w:color="auto"/>
              </w:rPr>
              <w:sym w:font="Wingdings 2" w:char="00A3"/>
            </w:r>
          </w:p>
        </w:tc>
        <w:tc>
          <w:tcPr>
            <w:tcW w:w="637" w:type="pct"/>
            <w:gridSpan w:val="3"/>
            <w:tcBorders>
              <w:tl2br w:val="nil"/>
              <w:tr2bl w:val="nil"/>
            </w:tcBorders>
            <w:vAlign w:val="center"/>
          </w:tcPr>
          <w:p w14:paraId="68C598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Ⅳ </w:t>
            </w:r>
            <w:r>
              <w:rPr>
                <w:rFonts w:hint="default" w:ascii="Times New Roman" w:hAnsi="Times New Roman" w:eastAsia="宋体" w:cs="Times New Roman"/>
                <w:sz w:val="21"/>
                <w:szCs w:val="21"/>
                <w:u w:val="none" w:color="auto"/>
              </w:rPr>
              <w:sym w:font="Wingdings 2" w:char="00A3"/>
            </w:r>
          </w:p>
        </w:tc>
        <w:tc>
          <w:tcPr>
            <w:tcW w:w="739" w:type="pct"/>
            <w:gridSpan w:val="5"/>
            <w:tcBorders>
              <w:tl2br w:val="nil"/>
              <w:tr2bl w:val="nil"/>
            </w:tcBorders>
            <w:vAlign w:val="center"/>
          </w:tcPr>
          <w:p w14:paraId="7F6791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Ⅲ </w:t>
            </w:r>
            <w:r>
              <w:rPr>
                <w:rFonts w:hint="default" w:ascii="Times New Roman" w:hAnsi="Times New Roman" w:eastAsia="宋体" w:cs="Times New Roman"/>
                <w:sz w:val="21"/>
                <w:szCs w:val="21"/>
                <w:u w:val="none" w:color="auto"/>
              </w:rPr>
              <w:sym w:font="Wingdings 2" w:char="00A3"/>
            </w:r>
          </w:p>
        </w:tc>
        <w:tc>
          <w:tcPr>
            <w:tcW w:w="786" w:type="pct"/>
            <w:gridSpan w:val="6"/>
            <w:tcBorders>
              <w:tl2br w:val="nil"/>
              <w:tr2bl w:val="nil"/>
            </w:tcBorders>
            <w:vAlign w:val="center"/>
          </w:tcPr>
          <w:p w14:paraId="4342E6D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Ⅱ </w:t>
            </w:r>
            <w:r>
              <w:rPr>
                <w:rFonts w:hint="default" w:ascii="Times New Roman" w:hAnsi="Times New Roman" w:eastAsia="宋体" w:cs="Times New Roman"/>
                <w:sz w:val="21"/>
                <w:szCs w:val="21"/>
                <w:u w:val="none" w:color="auto"/>
              </w:rPr>
              <w:sym w:font="Wingdings 2" w:char="00A3"/>
            </w:r>
          </w:p>
        </w:tc>
        <w:tc>
          <w:tcPr>
            <w:tcW w:w="787" w:type="pct"/>
            <w:tcBorders>
              <w:tl2br w:val="nil"/>
              <w:tr2bl w:val="nil"/>
            </w:tcBorders>
            <w:vAlign w:val="center"/>
          </w:tcPr>
          <w:p w14:paraId="789F14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I </w:t>
            </w:r>
            <w:r>
              <w:rPr>
                <w:rFonts w:hint="default" w:ascii="Times New Roman" w:hAnsi="Times New Roman" w:eastAsia="宋体" w:cs="Times New Roman"/>
                <w:sz w:val="21"/>
                <w:szCs w:val="21"/>
                <w:u w:val="none" w:color="auto"/>
              </w:rPr>
              <w:sym w:font="Wingdings 2" w:char="0052"/>
            </w:r>
          </w:p>
        </w:tc>
      </w:tr>
      <w:tr w14:paraId="1276AC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tcBorders>
              <w:tl2br w:val="nil"/>
              <w:tr2bl w:val="nil"/>
            </w:tcBorders>
            <w:vAlign w:val="center"/>
          </w:tcPr>
          <w:p w14:paraId="1D7295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评价等级</w:t>
            </w:r>
          </w:p>
        </w:tc>
        <w:tc>
          <w:tcPr>
            <w:tcW w:w="983" w:type="pct"/>
            <w:gridSpan w:val="2"/>
            <w:tcBorders>
              <w:tl2br w:val="nil"/>
              <w:tr2bl w:val="nil"/>
            </w:tcBorders>
            <w:vAlign w:val="center"/>
          </w:tcPr>
          <w:p w14:paraId="4FF046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一级</w:t>
            </w:r>
            <w:r>
              <w:rPr>
                <w:rFonts w:hint="default" w:ascii="Times New Roman" w:hAnsi="Times New Roman" w:eastAsia="宋体" w:cs="Times New Roman"/>
                <w:sz w:val="21"/>
                <w:szCs w:val="21"/>
                <w:u w:val="none" w:color="auto"/>
              </w:rPr>
              <w:sym w:font="Wingdings 2" w:char="00A3"/>
            </w:r>
          </w:p>
        </w:tc>
        <w:tc>
          <w:tcPr>
            <w:tcW w:w="983" w:type="pct"/>
            <w:gridSpan w:val="5"/>
            <w:tcBorders>
              <w:tl2br w:val="nil"/>
              <w:tr2bl w:val="nil"/>
            </w:tcBorders>
            <w:vAlign w:val="center"/>
          </w:tcPr>
          <w:p w14:paraId="4FCA9C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二级</w:t>
            </w:r>
            <w:r>
              <w:rPr>
                <w:rFonts w:hint="default" w:ascii="Times New Roman" w:hAnsi="Times New Roman" w:eastAsia="宋体" w:cs="Times New Roman"/>
                <w:sz w:val="21"/>
                <w:szCs w:val="21"/>
                <w:u w:val="none" w:color="auto"/>
              </w:rPr>
              <w:sym w:font="Wingdings 2" w:char="00A3"/>
            </w:r>
          </w:p>
        </w:tc>
        <w:tc>
          <w:tcPr>
            <w:tcW w:w="985" w:type="pct"/>
            <w:gridSpan w:val="7"/>
            <w:tcBorders>
              <w:tl2br w:val="nil"/>
              <w:tr2bl w:val="nil"/>
            </w:tcBorders>
            <w:vAlign w:val="center"/>
          </w:tcPr>
          <w:p w14:paraId="2AE9E4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三级</w:t>
            </w:r>
            <w:r>
              <w:rPr>
                <w:rFonts w:hint="default" w:ascii="Times New Roman" w:hAnsi="Times New Roman" w:eastAsia="宋体" w:cs="Times New Roman"/>
                <w:sz w:val="21"/>
                <w:szCs w:val="21"/>
                <w:u w:val="none" w:color="auto"/>
              </w:rPr>
              <w:sym w:font="Wingdings 2" w:char="00A3"/>
            </w:r>
          </w:p>
        </w:tc>
        <w:tc>
          <w:tcPr>
            <w:tcW w:w="982" w:type="pct"/>
            <w:gridSpan w:val="3"/>
            <w:tcBorders>
              <w:tl2br w:val="nil"/>
              <w:tr2bl w:val="nil"/>
            </w:tcBorders>
            <w:vAlign w:val="center"/>
          </w:tcPr>
          <w:p w14:paraId="69F5B6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简单分析</w:t>
            </w:r>
            <w:r>
              <w:rPr>
                <w:rFonts w:hint="default" w:ascii="Times New Roman" w:hAnsi="Times New Roman" w:eastAsia="宋体" w:cs="Times New Roman"/>
                <w:sz w:val="21"/>
                <w:szCs w:val="21"/>
                <w:u w:val="none" w:color="auto"/>
              </w:rPr>
              <w:sym w:font="Wingdings 2" w:char="0052"/>
            </w:r>
          </w:p>
        </w:tc>
      </w:tr>
      <w:tr w14:paraId="5ED437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restart"/>
            <w:tcBorders>
              <w:tl2br w:val="nil"/>
              <w:tr2bl w:val="nil"/>
            </w:tcBorders>
            <w:vAlign w:val="center"/>
          </w:tcPr>
          <w:p w14:paraId="2587E6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风险识别</w:t>
            </w:r>
          </w:p>
        </w:tc>
        <w:tc>
          <w:tcPr>
            <w:tcW w:w="846" w:type="pct"/>
            <w:tcBorders>
              <w:tl2br w:val="nil"/>
              <w:tr2bl w:val="nil"/>
            </w:tcBorders>
            <w:vAlign w:val="center"/>
          </w:tcPr>
          <w:p w14:paraId="699D4D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物质危险性</w:t>
            </w:r>
          </w:p>
        </w:tc>
        <w:tc>
          <w:tcPr>
            <w:tcW w:w="983" w:type="pct"/>
            <w:gridSpan w:val="2"/>
            <w:tcBorders>
              <w:tl2br w:val="nil"/>
              <w:tr2bl w:val="nil"/>
            </w:tcBorders>
            <w:vAlign w:val="center"/>
          </w:tcPr>
          <w:p w14:paraId="52C1B79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有毒有害</w:t>
            </w:r>
            <w:r>
              <w:rPr>
                <w:rFonts w:hint="default" w:ascii="Times New Roman" w:hAnsi="Times New Roman" w:eastAsia="宋体" w:cs="Times New Roman"/>
                <w:sz w:val="21"/>
                <w:szCs w:val="21"/>
                <w:u w:val="none" w:color="auto"/>
              </w:rPr>
              <w:sym w:font="Wingdings 2" w:char="F052"/>
            </w:r>
          </w:p>
        </w:tc>
        <w:tc>
          <w:tcPr>
            <w:tcW w:w="2951" w:type="pct"/>
            <w:gridSpan w:val="15"/>
            <w:tcBorders>
              <w:tl2br w:val="nil"/>
              <w:tr2bl w:val="nil"/>
            </w:tcBorders>
            <w:vAlign w:val="center"/>
          </w:tcPr>
          <w:p w14:paraId="6CADB3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易燃易爆</w:t>
            </w:r>
            <w:r>
              <w:rPr>
                <w:rFonts w:hint="default" w:ascii="Times New Roman" w:hAnsi="Times New Roman" w:eastAsia="宋体" w:cs="Times New Roman"/>
                <w:sz w:val="21"/>
                <w:szCs w:val="21"/>
                <w:u w:val="none" w:color="auto"/>
              </w:rPr>
              <w:sym w:font="Wingdings 2" w:char="00A3"/>
            </w:r>
          </w:p>
        </w:tc>
      </w:tr>
      <w:tr w14:paraId="123B48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0E5CDA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tcBorders>
              <w:tl2br w:val="nil"/>
              <w:tr2bl w:val="nil"/>
            </w:tcBorders>
            <w:vAlign w:val="center"/>
          </w:tcPr>
          <w:p w14:paraId="58F902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环境风险类型</w:t>
            </w:r>
          </w:p>
        </w:tc>
        <w:tc>
          <w:tcPr>
            <w:tcW w:w="983" w:type="pct"/>
            <w:gridSpan w:val="2"/>
            <w:tcBorders>
              <w:tl2br w:val="nil"/>
              <w:tr2bl w:val="nil"/>
            </w:tcBorders>
            <w:vAlign w:val="center"/>
          </w:tcPr>
          <w:p w14:paraId="63ECED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泄漏</w:t>
            </w:r>
            <w:r>
              <w:rPr>
                <w:rFonts w:hint="default" w:ascii="Times New Roman" w:hAnsi="Times New Roman" w:eastAsia="宋体" w:cs="Times New Roman"/>
                <w:sz w:val="21"/>
                <w:szCs w:val="21"/>
                <w:u w:val="none" w:color="auto"/>
              </w:rPr>
              <w:sym w:font="Wingdings 2" w:char="F052"/>
            </w:r>
          </w:p>
        </w:tc>
        <w:tc>
          <w:tcPr>
            <w:tcW w:w="2951" w:type="pct"/>
            <w:gridSpan w:val="15"/>
            <w:tcBorders>
              <w:tl2br w:val="nil"/>
              <w:tr2bl w:val="nil"/>
            </w:tcBorders>
            <w:vAlign w:val="center"/>
          </w:tcPr>
          <w:p w14:paraId="13612E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火灾、爆炸引发伴生/次生污染物排放</w:t>
            </w:r>
            <w:r>
              <w:rPr>
                <w:rFonts w:hint="default" w:ascii="Times New Roman" w:hAnsi="Times New Roman" w:eastAsia="宋体" w:cs="Times New Roman"/>
                <w:sz w:val="21"/>
                <w:szCs w:val="21"/>
                <w:u w:val="none" w:color="auto"/>
              </w:rPr>
              <w:sym w:font="Wingdings 2" w:char="00A3"/>
            </w:r>
          </w:p>
        </w:tc>
      </w:tr>
      <w:tr w14:paraId="536FBC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0745E8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tcBorders>
              <w:tl2br w:val="nil"/>
              <w:tr2bl w:val="nil"/>
            </w:tcBorders>
            <w:vAlign w:val="center"/>
          </w:tcPr>
          <w:p w14:paraId="1FFB92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影响途径</w:t>
            </w:r>
          </w:p>
        </w:tc>
        <w:tc>
          <w:tcPr>
            <w:tcW w:w="1623" w:type="pct"/>
            <w:gridSpan w:val="6"/>
            <w:tcBorders>
              <w:tl2br w:val="nil"/>
              <w:tr2bl w:val="nil"/>
            </w:tcBorders>
            <w:vAlign w:val="center"/>
          </w:tcPr>
          <w:p w14:paraId="1125BE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大气</w:t>
            </w:r>
            <w:r>
              <w:rPr>
                <w:rFonts w:hint="default" w:ascii="Times New Roman" w:hAnsi="Times New Roman" w:eastAsia="宋体" w:cs="Times New Roman"/>
                <w:sz w:val="21"/>
                <w:szCs w:val="21"/>
                <w:u w:val="none" w:color="auto"/>
              </w:rPr>
              <w:sym w:font="Wingdings 2" w:char="F052"/>
            </w:r>
          </w:p>
        </w:tc>
        <w:tc>
          <w:tcPr>
            <w:tcW w:w="1154" w:type="pct"/>
            <w:gridSpan w:val="7"/>
            <w:tcBorders>
              <w:tl2br w:val="nil"/>
              <w:tr2bl w:val="nil"/>
            </w:tcBorders>
            <w:vAlign w:val="center"/>
          </w:tcPr>
          <w:p w14:paraId="7006F8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地表水</w:t>
            </w:r>
            <w:r>
              <w:rPr>
                <w:rFonts w:hint="default" w:ascii="Times New Roman" w:hAnsi="Times New Roman" w:eastAsia="宋体" w:cs="Times New Roman"/>
                <w:sz w:val="21"/>
                <w:szCs w:val="21"/>
                <w:u w:val="none" w:color="auto"/>
              </w:rPr>
              <w:sym w:font="Wingdings 2" w:char="0052"/>
            </w:r>
          </w:p>
        </w:tc>
        <w:tc>
          <w:tcPr>
            <w:tcW w:w="1156" w:type="pct"/>
            <w:gridSpan w:val="4"/>
            <w:tcBorders>
              <w:tl2br w:val="nil"/>
              <w:tr2bl w:val="nil"/>
            </w:tcBorders>
            <w:vAlign w:val="center"/>
          </w:tcPr>
          <w:p w14:paraId="567EA4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地下水</w:t>
            </w:r>
            <w:r>
              <w:rPr>
                <w:rFonts w:hint="default" w:ascii="Times New Roman" w:hAnsi="Times New Roman" w:eastAsia="宋体" w:cs="Times New Roman"/>
                <w:sz w:val="21"/>
                <w:szCs w:val="21"/>
                <w:u w:val="none" w:color="auto"/>
              </w:rPr>
              <w:sym w:font="Wingdings 2" w:char="0052"/>
            </w:r>
          </w:p>
        </w:tc>
      </w:tr>
      <w:tr w14:paraId="5077EB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tcBorders>
              <w:tl2br w:val="nil"/>
              <w:tr2bl w:val="nil"/>
            </w:tcBorders>
            <w:vAlign w:val="center"/>
          </w:tcPr>
          <w:p w14:paraId="00A192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事故情形分析</w:t>
            </w:r>
          </w:p>
        </w:tc>
        <w:tc>
          <w:tcPr>
            <w:tcW w:w="469" w:type="pct"/>
            <w:tcBorders>
              <w:tl2br w:val="nil"/>
              <w:tr2bl w:val="nil"/>
            </w:tcBorders>
            <w:vAlign w:val="center"/>
          </w:tcPr>
          <w:p w14:paraId="517320C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源强设定方法</w:t>
            </w:r>
          </w:p>
        </w:tc>
        <w:tc>
          <w:tcPr>
            <w:tcW w:w="1154" w:type="pct"/>
            <w:gridSpan w:val="5"/>
            <w:tcBorders>
              <w:tl2br w:val="nil"/>
              <w:tr2bl w:val="nil"/>
            </w:tcBorders>
            <w:vAlign w:val="center"/>
          </w:tcPr>
          <w:p w14:paraId="48BD08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计算法</w:t>
            </w:r>
            <w:r>
              <w:rPr>
                <w:rFonts w:hint="default" w:ascii="Times New Roman" w:hAnsi="Times New Roman" w:eastAsia="宋体" w:cs="Times New Roman"/>
                <w:sz w:val="21"/>
                <w:szCs w:val="21"/>
                <w:u w:val="none" w:color="auto"/>
              </w:rPr>
              <w:sym w:font="Wingdings 2" w:char="00A3"/>
            </w:r>
          </w:p>
        </w:tc>
        <w:tc>
          <w:tcPr>
            <w:tcW w:w="1154" w:type="pct"/>
            <w:gridSpan w:val="7"/>
            <w:tcBorders>
              <w:tl2br w:val="nil"/>
              <w:tr2bl w:val="nil"/>
            </w:tcBorders>
            <w:vAlign w:val="center"/>
          </w:tcPr>
          <w:p w14:paraId="170665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经验估算法</w:t>
            </w:r>
            <w:r>
              <w:rPr>
                <w:rFonts w:hint="default" w:ascii="Times New Roman" w:hAnsi="Times New Roman" w:eastAsia="宋体" w:cs="Times New Roman"/>
                <w:sz w:val="21"/>
                <w:szCs w:val="21"/>
                <w:u w:val="none" w:color="auto"/>
              </w:rPr>
              <w:sym w:font="Wingdings 2" w:char="00A3"/>
            </w:r>
          </w:p>
        </w:tc>
        <w:tc>
          <w:tcPr>
            <w:tcW w:w="1156" w:type="pct"/>
            <w:gridSpan w:val="4"/>
            <w:tcBorders>
              <w:tl2br w:val="nil"/>
              <w:tr2bl w:val="nil"/>
            </w:tcBorders>
            <w:vAlign w:val="center"/>
          </w:tcPr>
          <w:p w14:paraId="6B7A5E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其他估算法</w:t>
            </w:r>
            <w:r>
              <w:rPr>
                <w:rFonts w:hint="default" w:ascii="Times New Roman" w:hAnsi="Times New Roman" w:eastAsia="宋体" w:cs="Times New Roman"/>
                <w:sz w:val="21"/>
                <w:szCs w:val="21"/>
                <w:u w:val="none" w:color="auto"/>
              </w:rPr>
              <w:sym w:font="Wingdings 2" w:char="00A3"/>
            </w:r>
          </w:p>
        </w:tc>
      </w:tr>
      <w:tr w14:paraId="28C76F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restart"/>
            <w:tcBorders>
              <w:tl2br w:val="nil"/>
              <w:tr2bl w:val="nil"/>
            </w:tcBorders>
            <w:vAlign w:val="center"/>
          </w:tcPr>
          <w:p w14:paraId="2388C2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风险预测与评价</w:t>
            </w:r>
          </w:p>
        </w:tc>
        <w:tc>
          <w:tcPr>
            <w:tcW w:w="846" w:type="pct"/>
            <w:vMerge w:val="restart"/>
            <w:tcBorders>
              <w:tl2br w:val="nil"/>
              <w:tr2bl w:val="nil"/>
            </w:tcBorders>
            <w:vAlign w:val="center"/>
          </w:tcPr>
          <w:p w14:paraId="50A42B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大气</w:t>
            </w:r>
          </w:p>
        </w:tc>
        <w:tc>
          <w:tcPr>
            <w:tcW w:w="469" w:type="pct"/>
            <w:tcBorders>
              <w:tl2br w:val="nil"/>
              <w:tr2bl w:val="nil"/>
            </w:tcBorders>
            <w:vAlign w:val="center"/>
          </w:tcPr>
          <w:p w14:paraId="451449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预测模型</w:t>
            </w:r>
          </w:p>
        </w:tc>
        <w:tc>
          <w:tcPr>
            <w:tcW w:w="1154" w:type="pct"/>
            <w:gridSpan w:val="5"/>
            <w:tcBorders>
              <w:tl2br w:val="nil"/>
              <w:tr2bl w:val="nil"/>
            </w:tcBorders>
            <w:vAlign w:val="center"/>
          </w:tcPr>
          <w:p w14:paraId="36507F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SLAB </w:t>
            </w:r>
            <w:r>
              <w:rPr>
                <w:rFonts w:hint="default" w:ascii="Times New Roman" w:hAnsi="Times New Roman" w:eastAsia="宋体" w:cs="Times New Roman"/>
                <w:sz w:val="21"/>
                <w:szCs w:val="21"/>
                <w:u w:val="none" w:color="auto"/>
              </w:rPr>
              <w:sym w:font="Wingdings 2" w:char="00A3"/>
            </w:r>
          </w:p>
        </w:tc>
        <w:tc>
          <w:tcPr>
            <w:tcW w:w="1154" w:type="pct"/>
            <w:gridSpan w:val="7"/>
            <w:tcBorders>
              <w:tl2br w:val="nil"/>
              <w:tr2bl w:val="nil"/>
            </w:tcBorders>
            <w:vAlign w:val="center"/>
          </w:tcPr>
          <w:p w14:paraId="4949B2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 xml:space="preserve">AFTOX </w:t>
            </w:r>
            <w:r>
              <w:rPr>
                <w:rFonts w:hint="default" w:ascii="Times New Roman" w:hAnsi="Times New Roman" w:eastAsia="宋体" w:cs="Times New Roman"/>
                <w:sz w:val="21"/>
                <w:szCs w:val="21"/>
                <w:u w:val="none" w:color="auto"/>
              </w:rPr>
              <w:sym w:font="Wingdings 2" w:char="00A3"/>
            </w:r>
          </w:p>
        </w:tc>
        <w:tc>
          <w:tcPr>
            <w:tcW w:w="1156" w:type="pct"/>
            <w:gridSpan w:val="4"/>
            <w:tcBorders>
              <w:tl2br w:val="nil"/>
              <w:tr2bl w:val="nil"/>
            </w:tcBorders>
            <w:vAlign w:val="center"/>
          </w:tcPr>
          <w:p w14:paraId="2B5CF8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其他</w:t>
            </w:r>
            <w:r>
              <w:rPr>
                <w:rFonts w:hint="default" w:ascii="Times New Roman" w:hAnsi="Times New Roman" w:eastAsia="宋体" w:cs="Times New Roman"/>
                <w:sz w:val="21"/>
                <w:szCs w:val="21"/>
                <w:u w:val="none" w:color="auto"/>
              </w:rPr>
              <w:sym w:font="Wingdings 2" w:char="00A3"/>
            </w:r>
          </w:p>
        </w:tc>
      </w:tr>
      <w:tr w14:paraId="04A021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05FA1B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671042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vMerge w:val="restart"/>
            <w:tcBorders>
              <w:tl2br w:val="nil"/>
              <w:tr2bl w:val="nil"/>
            </w:tcBorders>
            <w:vAlign w:val="center"/>
          </w:tcPr>
          <w:p w14:paraId="75E26B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预测结果</w:t>
            </w:r>
          </w:p>
        </w:tc>
        <w:tc>
          <w:tcPr>
            <w:tcW w:w="3465" w:type="pct"/>
            <w:gridSpan w:val="16"/>
            <w:tcBorders>
              <w:tl2br w:val="nil"/>
              <w:tr2bl w:val="nil"/>
            </w:tcBorders>
            <w:vAlign w:val="center"/>
          </w:tcPr>
          <w:p w14:paraId="0A3A96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大气毒性终点浓度-1 最大影响范围</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m</w:t>
            </w:r>
          </w:p>
        </w:tc>
      </w:tr>
      <w:tr w14:paraId="559A6D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0E296D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666CA0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469" w:type="pct"/>
            <w:vMerge w:val="continue"/>
            <w:tcBorders>
              <w:tl2br w:val="nil"/>
              <w:tr2bl w:val="nil"/>
            </w:tcBorders>
            <w:vAlign w:val="center"/>
          </w:tcPr>
          <w:p w14:paraId="7051888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3465" w:type="pct"/>
            <w:gridSpan w:val="16"/>
            <w:tcBorders>
              <w:tl2br w:val="nil"/>
              <w:tr2bl w:val="nil"/>
            </w:tcBorders>
            <w:vAlign w:val="center"/>
          </w:tcPr>
          <w:p w14:paraId="02F03E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大气毒性终点浓度-2 最大影响范围</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m</w:t>
            </w:r>
          </w:p>
        </w:tc>
      </w:tr>
      <w:tr w14:paraId="45A9B4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206E29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tcBorders>
              <w:tl2br w:val="nil"/>
              <w:tr2bl w:val="nil"/>
            </w:tcBorders>
            <w:vAlign w:val="center"/>
          </w:tcPr>
          <w:p w14:paraId="3D4148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地表水</w:t>
            </w:r>
          </w:p>
        </w:tc>
        <w:tc>
          <w:tcPr>
            <w:tcW w:w="3934" w:type="pct"/>
            <w:gridSpan w:val="17"/>
            <w:tcBorders>
              <w:tl2br w:val="nil"/>
              <w:tr2bl w:val="nil"/>
            </w:tcBorders>
            <w:vAlign w:val="center"/>
          </w:tcPr>
          <w:p w14:paraId="0C94DB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最近环境敏感目标</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，到达时间</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h</w:t>
            </w:r>
          </w:p>
        </w:tc>
      </w:tr>
      <w:tr w14:paraId="4D41C0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1A75DA9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restart"/>
            <w:tcBorders>
              <w:tl2br w:val="nil"/>
              <w:tr2bl w:val="nil"/>
            </w:tcBorders>
            <w:vAlign w:val="center"/>
          </w:tcPr>
          <w:p w14:paraId="364FA1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地下水</w:t>
            </w:r>
          </w:p>
        </w:tc>
        <w:tc>
          <w:tcPr>
            <w:tcW w:w="3934" w:type="pct"/>
            <w:gridSpan w:val="17"/>
            <w:tcBorders>
              <w:tl2br w:val="nil"/>
              <w:tr2bl w:val="nil"/>
            </w:tcBorders>
            <w:vAlign w:val="center"/>
          </w:tcPr>
          <w:p w14:paraId="27FA6D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下游厂区边界到达时间</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d</w:t>
            </w:r>
          </w:p>
        </w:tc>
      </w:tr>
      <w:tr w14:paraId="197B2E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218" w:type="pct"/>
            <w:vMerge w:val="continue"/>
            <w:tcBorders>
              <w:tl2br w:val="nil"/>
              <w:tr2bl w:val="nil"/>
            </w:tcBorders>
            <w:vAlign w:val="center"/>
          </w:tcPr>
          <w:p w14:paraId="6E8A9D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846" w:type="pct"/>
            <w:vMerge w:val="continue"/>
            <w:tcBorders>
              <w:tl2br w:val="nil"/>
              <w:tr2bl w:val="nil"/>
            </w:tcBorders>
            <w:vAlign w:val="center"/>
          </w:tcPr>
          <w:p w14:paraId="56C03E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p>
        </w:tc>
        <w:tc>
          <w:tcPr>
            <w:tcW w:w="3934" w:type="pct"/>
            <w:gridSpan w:val="17"/>
            <w:tcBorders>
              <w:tl2br w:val="nil"/>
              <w:tr2bl w:val="nil"/>
            </w:tcBorders>
            <w:vAlign w:val="center"/>
          </w:tcPr>
          <w:p w14:paraId="283522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最近环境敏感目标</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，到达时间</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 xml:space="preserve"> / </w:t>
            </w:r>
            <w:r>
              <w:rPr>
                <w:rFonts w:hint="eastAsia" w:ascii="Times New Roman" w:hAnsi="Times New Roman" w:eastAsia="宋体" w:cs="Times New Roman"/>
                <w:sz w:val="21"/>
                <w:szCs w:val="21"/>
                <w:u w:val="none" w:color="auto"/>
                <w:lang w:val="en-US" w:eastAsia="zh-CN"/>
              </w:rPr>
              <w:t xml:space="preserve"> </w:t>
            </w:r>
            <w:r>
              <w:rPr>
                <w:rFonts w:hint="default" w:ascii="Times New Roman" w:hAnsi="Times New Roman" w:eastAsia="宋体" w:cs="Times New Roman"/>
                <w:sz w:val="21"/>
                <w:szCs w:val="21"/>
                <w:u w:val="none" w:color="auto"/>
              </w:rPr>
              <w:t>d</w:t>
            </w:r>
          </w:p>
        </w:tc>
      </w:tr>
      <w:tr w14:paraId="7D7EED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tcBorders>
              <w:tl2br w:val="nil"/>
              <w:tr2bl w:val="nil"/>
            </w:tcBorders>
            <w:vAlign w:val="center"/>
          </w:tcPr>
          <w:p w14:paraId="25C3FA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重点风险防范措施</w:t>
            </w:r>
          </w:p>
        </w:tc>
        <w:tc>
          <w:tcPr>
            <w:tcW w:w="3934" w:type="pct"/>
            <w:gridSpan w:val="17"/>
            <w:tcBorders>
              <w:tl2br w:val="nil"/>
              <w:tr2bl w:val="nil"/>
            </w:tcBorders>
            <w:vAlign w:val="center"/>
          </w:tcPr>
          <w:p w14:paraId="6A669C16">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做好运输系统、贮存系统、污水处理系统等的风险防范措施，做好事故废水处理、事故大气污染物排放、风险物质泄漏的风险防范措施，落实应急预案。</w:t>
            </w:r>
          </w:p>
        </w:tc>
      </w:tr>
      <w:tr w14:paraId="170948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1065" w:type="pct"/>
            <w:gridSpan w:val="2"/>
            <w:tcBorders>
              <w:tl2br w:val="nil"/>
              <w:tr2bl w:val="nil"/>
            </w:tcBorders>
            <w:vAlign w:val="center"/>
          </w:tcPr>
          <w:p w14:paraId="0971F9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评价结论与建议</w:t>
            </w:r>
          </w:p>
        </w:tc>
        <w:tc>
          <w:tcPr>
            <w:tcW w:w="3934" w:type="pct"/>
            <w:gridSpan w:val="17"/>
            <w:tcBorders>
              <w:tl2br w:val="nil"/>
              <w:tr2bl w:val="nil"/>
            </w:tcBorders>
            <w:vAlign w:val="center"/>
          </w:tcPr>
          <w:p w14:paraId="748E6D7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bCs/>
                <w:kern w:val="0"/>
                <w:sz w:val="21"/>
                <w:szCs w:val="21"/>
                <w:u w:val="none" w:color="auto"/>
              </w:rPr>
              <w:t>鉴于本项目涉及的部分物料具有毒有害的特性，采取有效的安全防控措施阻止安全事故的发生，从而有效预防安全事故以及带来的次生环境风险响分析，在落实各项环境风险措施的前提下，本项目环境风险水平可以接受。建设单位采取的应急措施包括但不限于本文提出的应急措施，建议企业认真落实安全预评价中相关措施。项目建成后应及时更新编制应急预案，并充分落实应急预案中相关要求。</w:t>
            </w:r>
          </w:p>
        </w:tc>
      </w:tr>
      <w:tr w14:paraId="163BDC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25" w:hRule="atLeast"/>
          <w:jc w:val="center"/>
        </w:trPr>
        <w:tc>
          <w:tcPr>
            <w:tcW w:w="5000" w:type="pct"/>
            <w:gridSpan w:val="19"/>
            <w:tcBorders>
              <w:tl2br w:val="nil"/>
              <w:tr2bl w:val="nil"/>
            </w:tcBorders>
            <w:vAlign w:val="center"/>
          </w:tcPr>
          <w:p w14:paraId="5A2345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注：</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sym w:font="Wingdings 2" w:char="00A3"/>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为勾选项，</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 xml:space="preserve">  </w:t>
            </w:r>
            <w:r>
              <w:rPr>
                <w:rFonts w:hint="eastAsia" w:ascii="Times New Roman" w:hAnsi="Times New Roman" w:eastAsia="宋体" w:cs="Times New Roman"/>
                <w:sz w:val="21"/>
                <w:szCs w:val="21"/>
                <w:u w:val="none" w:color="auto"/>
                <w:lang w:eastAsia="zh-CN"/>
              </w:rPr>
              <w:t>”</w:t>
            </w:r>
            <w:r>
              <w:rPr>
                <w:rFonts w:hint="default" w:ascii="Times New Roman" w:hAnsi="Times New Roman" w:eastAsia="宋体" w:cs="Times New Roman"/>
                <w:sz w:val="21"/>
                <w:szCs w:val="21"/>
                <w:u w:val="none" w:color="auto"/>
              </w:rPr>
              <w:t>为填写项。</w:t>
            </w:r>
          </w:p>
        </w:tc>
      </w:tr>
    </w:tbl>
    <w:p w14:paraId="0B159E5B">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pPr>
    </w:p>
    <w:p w14:paraId="4516BD0E">
      <w:pPr>
        <w:keepNext w:val="0"/>
        <w:keepLines w:val="0"/>
        <w:pageBreakBefore w:val="0"/>
        <w:widowControl w:val="0"/>
        <w:kinsoku/>
        <w:wordWrap/>
        <w:overflowPunct/>
        <w:topLinePunct w:val="0"/>
        <w:autoSpaceDE w:val="0"/>
        <w:autoSpaceDN w:val="0"/>
        <w:bidi w:val="0"/>
        <w:spacing w:line="360" w:lineRule="auto"/>
        <w:jc w:val="center"/>
        <w:rPr>
          <w:rFonts w:hint="default" w:ascii="Times New Roman" w:hAnsi="Times New Roman" w:eastAsia="宋体" w:cs="Times New Roman"/>
          <w:color w:val="000000" w:themeColor="text1"/>
          <w:u w:val="none" w:color="auto"/>
          <w:lang w:val="en-US" w:eastAsia="zh-CN"/>
          <w14:textFill>
            <w14:solidFill>
              <w14:schemeClr w14:val="tx1"/>
            </w14:solidFill>
          </w14:textFill>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linePitch="326" w:charSpace="0"/>
        </w:sectPr>
      </w:pPr>
    </w:p>
    <w:p w14:paraId="7C6B6A0D">
      <w:pPr>
        <w:pStyle w:val="4"/>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outlineLvl w:val="0"/>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pPr>
      <w:bookmarkStart w:id="755" w:name="_Toc10025"/>
      <w:bookmarkStart w:id="756" w:name="_Toc11372"/>
      <w:r>
        <w:rPr>
          <w:rFonts w:hint="eastAsia" w:ascii="Times New Roman" w:hAnsi="Times New Roman" w:eastAsia="宋体" w:cs="Times New Roman"/>
          <w:color w:val="000000" w:themeColor="text1"/>
          <w:sz w:val="24"/>
          <w:szCs w:val="24"/>
          <w:u w:val="none" w:color="auto"/>
          <w:lang w:val="en-US" w:eastAsia="zh-CN"/>
          <w14:textFill>
            <w14:solidFill>
              <w14:schemeClr w14:val="tx1"/>
            </w14:solidFill>
          </w14:textFill>
        </w:rPr>
        <w:t>附表7  建设项目环评审批基础信息表</w:t>
      </w:r>
      <w:bookmarkEnd w:id="755"/>
      <w:bookmarkEnd w:id="756"/>
    </w:p>
    <w:tbl>
      <w:tblPr>
        <w:tblStyle w:val="37"/>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14"/>
        <w:gridCol w:w="9"/>
        <w:gridCol w:w="187"/>
        <w:gridCol w:w="629"/>
        <w:gridCol w:w="880"/>
        <w:gridCol w:w="932"/>
        <w:gridCol w:w="8"/>
        <w:gridCol w:w="942"/>
        <w:gridCol w:w="802"/>
        <w:gridCol w:w="64"/>
        <w:gridCol w:w="574"/>
        <w:gridCol w:w="1138"/>
        <w:gridCol w:w="6"/>
        <w:gridCol w:w="8"/>
        <w:gridCol w:w="75"/>
        <w:gridCol w:w="7"/>
        <w:gridCol w:w="760"/>
        <w:gridCol w:w="396"/>
        <w:gridCol w:w="573"/>
        <w:gridCol w:w="79"/>
        <w:gridCol w:w="2"/>
        <w:gridCol w:w="700"/>
        <w:gridCol w:w="4"/>
        <w:gridCol w:w="1112"/>
        <w:gridCol w:w="617"/>
        <w:gridCol w:w="3"/>
        <w:gridCol w:w="247"/>
        <w:gridCol w:w="3"/>
        <w:gridCol w:w="347"/>
        <w:gridCol w:w="581"/>
        <w:gridCol w:w="2"/>
        <w:gridCol w:w="446"/>
        <w:gridCol w:w="22"/>
        <w:gridCol w:w="92"/>
        <w:gridCol w:w="7"/>
        <w:gridCol w:w="6"/>
        <w:gridCol w:w="535"/>
        <w:gridCol w:w="642"/>
        <w:gridCol w:w="2"/>
        <w:gridCol w:w="48"/>
        <w:gridCol w:w="6"/>
        <w:gridCol w:w="181"/>
        <w:gridCol w:w="713"/>
        <w:gridCol w:w="8"/>
        <w:gridCol w:w="247"/>
        <w:gridCol w:w="372"/>
        <w:gridCol w:w="40"/>
        <w:gridCol w:w="196"/>
        <w:gridCol w:w="51"/>
        <w:gridCol w:w="153"/>
        <w:gridCol w:w="393"/>
        <w:gridCol w:w="7"/>
        <w:gridCol w:w="1"/>
        <w:gridCol w:w="799"/>
        <w:gridCol w:w="3"/>
        <w:gridCol w:w="43"/>
        <w:gridCol w:w="354"/>
        <w:gridCol w:w="2"/>
        <w:gridCol w:w="48"/>
        <w:gridCol w:w="5"/>
        <w:gridCol w:w="687"/>
        <w:gridCol w:w="12"/>
        <w:gridCol w:w="65"/>
        <w:gridCol w:w="414"/>
        <w:gridCol w:w="580"/>
        <w:gridCol w:w="46"/>
        <w:gridCol w:w="4"/>
        <w:gridCol w:w="4"/>
        <w:gridCol w:w="1812"/>
      </w:tblGrid>
      <w:tr w14:paraId="7A3ACE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723" w:type="pct"/>
            <w:gridSpan w:val="7"/>
            <w:tcBorders>
              <w:top w:val="nil"/>
              <w:left w:val="nil"/>
              <w:bottom w:val="nil"/>
              <w:right w:val="nil"/>
            </w:tcBorders>
            <w:shd w:val="clear" w:color="auto" w:fill="auto"/>
            <w:noWrap/>
            <w:vAlign w:val="center"/>
          </w:tcPr>
          <w:p w14:paraId="18DCD9E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填表单位（盖章）：</w:t>
            </w:r>
          </w:p>
        </w:tc>
        <w:tc>
          <w:tcPr>
            <w:tcW w:w="1712" w:type="pct"/>
            <w:gridSpan w:val="17"/>
            <w:tcBorders>
              <w:top w:val="nil"/>
              <w:left w:val="nil"/>
              <w:bottom w:val="nil"/>
              <w:right w:val="nil"/>
            </w:tcBorders>
            <w:shd w:val="clear" w:color="auto" w:fill="auto"/>
            <w:noWrap/>
            <w:vAlign w:val="center"/>
          </w:tcPr>
          <w:p w14:paraId="5AE0AFC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湖南信达生物能源有限公司</w:t>
            </w:r>
          </w:p>
        </w:tc>
        <w:tc>
          <w:tcPr>
            <w:tcW w:w="536" w:type="pct"/>
            <w:gridSpan w:val="9"/>
            <w:tcBorders>
              <w:top w:val="nil"/>
              <w:left w:val="nil"/>
              <w:bottom w:val="nil"/>
              <w:right w:val="nil"/>
            </w:tcBorders>
            <w:shd w:val="clear" w:color="auto" w:fill="auto"/>
            <w:noWrap/>
            <w:vAlign w:val="center"/>
          </w:tcPr>
          <w:p w14:paraId="56F13B77">
            <w:pPr>
              <w:keepNext w:val="0"/>
              <w:keepLines w:val="0"/>
              <w:widowControl/>
              <w:suppressLineNumbers w:val="0"/>
              <w:jc w:val="left"/>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 xml:space="preserve"> </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填表人（签字）：</w:t>
            </w:r>
          </w:p>
        </w:tc>
        <w:tc>
          <w:tcPr>
            <w:tcW w:w="675" w:type="pct"/>
            <w:gridSpan w:val="13"/>
            <w:tcBorders>
              <w:top w:val="nil"/>
              <w:left w:val="nil"/>
              <w:bottom w:val="nil"/>
              <w:right w:val="nil"/>
            </w:tcBorders>
            <w:shd w:val="clear" w:color="auto" w:fill="auto"/>
            <w:noWrap/>
            <w:vAlign w:val="center"/>
          </w:tcPr>
          <w:p w14:paraId="12E32EB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75" w:type="pct"/>
            <w:gridSpan w:val="17"/>
            <w:tcBorders>
              <w:top w:val="nil"/>
              <w:left w:val="nil"/>
              <w:bottom w:val="nil"/>
              <w:right w:val="nil"/>
            </w:tcBorders>
            <w:shd w:val="clear" w:color="auto" w:fill="auto"/>
            <w:noWrap/>
            <w:vAlign w:val="center"/>
          </w:tcPr>
          <w:p w14:paraId="5C2C2DC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 xml:space="preserve"> </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项目经办人（签字）：</w:t>
            </w:r>
          </w:p>
        </w:tc>
        <w:tc>
          <w:tcPr>
            <w:tcW w:w="676" w:type="pct"/>
            <w:gridSpan w:val="6"/>
            <w:tcBorders>
              <w:top w:val="nil"/>
              <w:left w:val="nil"/>
              <w:bottom w:val="nil"/>
              <w:right w:val="nil"/>
            </w:tcBorders>
            <w:shd w:val="clear" w:color="auto" w:fill="auto"/>
            <w:noWrap/>
            <w:vAlign w:val="center"/>
          </w:tcPr>
          <w:p w14:paraId="79FD49C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4B56F6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restart"/>
            <w:tcBorders>
              <w:tl2br w:val="nil"/>
              <w:tr2bl w:val="nil"/>
            </w:tcBorders>
            <w:shd w:val="clear" w:color="auto" w:fill="auto"/>
            <w:vAlign w:val="center"/>
          </w:tcPr>
          <w:p w14:paraId="44D7E2B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建设</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项目</w:t>
            </w:r>
          </w:p>
        </w:tc>
        <w:tc>
          <w:tcPr>
            <w:tcW w:w="623" w:type="pct"/>
            <w:gridSpan w:val="5"/>
            <w:tcBorders>
              <w:tl2br w:val="nil"/>
              <w:tr2bl w:val="nil"/>
            </w:tcBorders>
            <w:shd w:val="clear" w:color="auto" w:fill="auto"/>
            <w:vAlign w:val="center"/>
          </w:tcPr>
          <w:p w14:paraId="065E748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项目名称</w:t>
            </w:r>
          </w:p>
        </w:tc>
        <w:tc>
          <w:tcPr>
            <w:tcW w:w="1712" w:type="pct"/>
            <w:gridSpan w:val="17"/>
            <w:tcBorders>
              <w:tl2br w:val="nil"/>
              <w:tr2bl w:val="nil"/>
            </w:tcBorders>
            <w:shd w:val="clear" w:color="auto" w:fill="auto"/>
            <w:noWrap/>
            <w:vAlign w:val="center"/>
          </w:tcPr>
          <w:p w14:paraId="5BA1A96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湖南信达生物能源有限公司年产10000吨工业级混合油（非食用动植物油脂）初加工、仓储及转运收集建设项目</w:t>
            </w:r>
          </w:p>
        </w:tc>
        <w:tc>
          <w:tcPr>
            <w:tcW w:w="852" w:type="pct"/>
            <w:gridSpan w:val="17"/>
            <w:vMerge w:val="restart"/>
            <w:tcBorders>
              <w:tl2br w:val="nil"/>
              <w:tr2bl w:val="nil"/>
            </w:tcBorders>
            <w:shd w:val="clear" w:color="auto" w:fill="auto"/>
            <w:vAlign w:val="center"/>
          </w:tcPr>
          <w:p w14:paraId="7425542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建设内容</w:t>
            </w:r>
          </w:p>
        </w:tc>
        <w:tc>
          <w:tcPr>
            <w:tcW w:w="1711" w:type="pct"/>
            <w:gridSpan w:val="28"/>
            <w:vMerge w:val="restart"/>
            <w:tcBorders>
              <w:tl2br w:val="nil"/>
              <w:tr2bl w:val="nil"/>
            </w:tcBorders>
            <w:shd w:val="clear" w:color="auto" w:fill="auto"/>
            <w:vAlign w:val="center"/>
          </w:tcPr>
          <w:p w14:paraId="4D6AABB7">
            <w:pPr>
              <w:keepNext w:val="0"/>
              <w:keepLines w:val="0"/>
              <w:pageBreakBefore w:val="0"/>
              <w:widowControl/>
              <w:suppressLineNumbers w:val="0"/>
              <w:kinsoku/>
              <w:wordWrap/>
              <w:overflowPunct/>
              <w:topLinePunct w:val="0"/>
              <w:autoSpaceDE/>
              <w:autoSpaceDN/>
              <w:bidi w:val="0"/>
              <w:adjustRightInd/>
              <w:snapToGrid/>
              <w:jc w:val="left"/>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项目总占地面积为</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3849.6 </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m2，</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建设年产10000吨工业级混合油（非食用动植物油脂）初加工生产线，建设内容</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主要包括</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购置安装除杂机、加热罐、储油罐、三相分离机、挤压机等环保生产设备。</w:t>
            </w:r>
          </w:p>
        </w:tc>
      </w:tr>
      <w:tr w14:paraId="09AC8B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15AF49B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5DA0C29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项目代码</w:t>
            </w:r>
          </w:p>
        </w:tc>
        <w:tc>
          <w:tcPr>
            <w:tcW w:w="1712" w:type="pct"/>
            <w:gridSpan w:val="17"/>
            <w:tcBorders>
              <w:tl2br w:val="nil"/>
              <w:tr2bl w:val="nil"/>
            </w:tcBorders>
            <w:shd w:val="clear" w:color="auto" w:fill="auto"/>
            <w:vAlign w:val="center"/>
          </w:tcPr>
          <w:p w14:paraId="1C87155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2601-430626-04-01-198094</w:t>
            </w:r>
          </w:p>
        </w:tc>
        <w:tc>
          <w:tcPr>
            <w:tcW w:w="852" w:type="pct"/>
            <w:gridSpan w:val="17"/>
            <w:vMerge w:val="continue"/>
            <w:tcBorders>
              <w:tl2br w:val="nil"/>
              <w:tr2bl w:val="nil"/>
            </w:tcBorders>
            <w:shd w:val="clear" w:color="auto" w:fill="auto"/>
            <w:vAlign w:val="center"/>
          </w:tcPr>
          <w:p w14:paraId="2E05756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711" w:type="pct"/>
            <w:gridSpan w:val="28"/>
            <w:vMerge w:val="continue"/>
            <w:tcBorders>
              <w:tl2br w:val="nil"/>
              <w:tr2bl w:val="nil"/>
            </w:tcBorders>
            <w:shd w:val="clear" w:color="auto" w:fill="auto"/>
            <w:vAlign w:val="center"/>
          </w:tcPr>
          <w:p w14:paraId="6F39AB7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3686F65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200640C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6B813D7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环评信用平台项目编号</w:t>
            </w:r>
          </w:p>
        </w:tc>
        <w:tc>
          <w:tcPr>
            <w:tcW w:w="1712" w:type="pct"/>
            <w:gridSpan w:val="17"/>
            <w:tcBorders>
              <w:tl2br w:val="nil"/>
              <w:tr2bl w:val="nil"/>
            </w:tcBorders>
            <w:shd w:val="clear" w:color="auto" w:fill="auto"/>
            <w:noWrap/>
            <w:vAlign w:val="center"/>
          </w:tcPr>
          <w:p w14:paraId="70D9585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2" w:type="pct"/>
            <w:gridSpan w:val="17"/>
            <w:vMerge w:val="continue"/>
            <w:tcBorders>
              <w:tl2br w:val="nil"/>
              <w:tr2bl w:val="nil"/>
            </w:tcBorders>
            <w:shd w:val="clear" w:color="auto" w:fill="auto"/>
            <w:vAlign w:val="center"/>
          </w:tcPr>
          <w:p w14:paraId="6902420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711" w:type="pct"/>
            <w:gridSpan w:val="28"/>
            <w:vMerge w:val="continue"/>
            <w:tcBorders>
              <w:tl2br w:val="nil"/>
              <w:tr2bl w:val="nil"/>
            </w:tcBorders>
            <w:shd w:val="clear" w:color="auto" w:fill="auto"/>
            <w:vAlign w:val="center"/>
          </w:tcPr>
          <w:p w14:paraId="0137049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4F54C05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36F4D2D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3824EFE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建设地点</w:t>
            </w:r>
          </w:p>
        </w:tc>
        <w:tc>
          <w:tcPr>
            <w:tcW w:w="1712" w:type="pct"/>
            <w:gridSpan w:val="17"/>
            <w:tcBorders>
              <w:tl2br w:val="nil"/>
              <w:tr2bl w:val="nil"/>
            </w:tcBorders>
            <w:shd w:val="clear" w:color="auto" w:fill="auto"/>
            <w:noWrap/>
            <w:vAlign w:val="center"/>
          </w:tcPr>
          <w:p w14:paraId="572D166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平江高新技术产业园区兴东路与兴旺路交叉口</w:t>
            </w:r>
          </w:p>
        </w:tc>
        <w:tc>
          <w:tcPr>
            <w:tcW w:w="852" w:type="pct"/>
            <w:gridSpan w:val="17"/>
            <w:tcBorders>
              <w:tl2br w:val="nil"/>
              <w:tr2bl w:val="nil"/>
            </w:tcBorders>
            <w:shd w:val="clear" w:color="auto" w:fill="auto"/>
            <w:vAlign w:val="center"/>
          </w:tcPr>
          <w:p w14:paraId="1FF2740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建设规模</w:t>
            </w:r>
          </w:p>
        </w:tc>
        <w:tc>
          <w:tcPr>
            <w:tcW w:w="1711" w:type="pct"/>
            <w:gridSpan w:val="28"/>
            <w:tcBorders>
              <w:tl2br w:val="nil"/>
              <w:tr2bl w:val="nil"/>
            </w:tcBorders>
            <w:shd w:val="clear" w:color="auto" w:fill="auto"/>
            <w:vAlign w:val="center"/>
          </w:tcPr>
          <w:p w14:paraId="31886A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年产10000吨工业级混合油（非食用动植物油脂）</w:t>
            </w:r>
          </w:p>
        </w:tc>
      </w:tr>
      <w:tr w14:paraId="35444ED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2A97A71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453336E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项目建设周期（月）</w:t>
            </w:r>
          </w:p>
        </w:tc>
        <w:tc>
          <w:tcPr>
            <w:tcW w:w="1712" w:type="pct"/>
            <w:gridSpan w:val="17"/>
            <w:tcBorders>
              <w:tl2br w:val="nil"/>
              <w:tr2bl w:val="nil"/>
            </w:tcBorders>
            <w:shd w:val="clear" w:color="auto" w:fill="auto"/>
            <w:noWrap/>
            <w:vAlign w:val="center"/>
          </w:tcPr>
          <w:p w14:paraId="0BC3815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 xml:space="preserve">2.0 </w:t>
            </w:r>
          </w:p>
        </w:tc>
        <w:tc>
          <w:tcPr>
            <w:tcW w:w="852" w:type="pct"/>
            <w:gridSpan w:val="17"/>
            <w:tcBorders>
              <w:tl2br w:val="nil"/>
              <w:tr2bl w:val="nil"/>
            </w:tcBorders>
            <w:shd w:val="clear" w:color="auto" w:fill="auto"/>
            <w:vAlign w:val="center"/>
          </w:tcPr>
          <w:p w14:paraId="5D2A6BF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计划开工时间</w:t>
            </w:r>
          </w:p>
        </w:tc>
        <w:tc>
          <w:tcPr>
            <w:tcW w:w="1711" w:type="pct"/>
            <w:gridSpan w:val="28"/>
            <w:tcBorders>
              <w:tl2br w:val="nil"/>
              <w:tr2bl w:val="nil"/>
            </w:tcBorders>
            <w:shd w:val="clear" w:color="auto" w:fill="auto"/>
            <w:vAlign w:val="center"/>
          </w:tcPr>
          <w:p w14:paraId="3AB75E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2026年5月</w:t>
            </w:r>
          </w:p>
        </w:tc>
      </w:tr>
      <w:tr w14:paraId="7930DF5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5F29893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0E7B94C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建设性质</w:t>
            </w:r>
          </w:p>
        </w:tc>
        <w:tc>
          <w:tcPr>
            <w:tcW w:w="1712" w:type="pct"/>
            <w:gridSpan w:val="17"/>
            <w:tcBorders>
              <w:tl2br w:val="nil"/>
              <w:tr2bl w:val="nil"/>
            </w:tcBorders>
            <w:shd w:val="clear" w:color="auto" w:fill="auto"/>
            <w:noWrap/>
            <w:vAlign w:val="center"/>
          </w:tcPr>
          <w:p w14:paraId="1B7F9D9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新建(迁建）</w:t>
            </w:r>
          </w:p>
        </w:tc>
        <w:tc>
          <w:tcPr>
            <w:tcW w:w="852" w:type="pct"/>
            <w:gridSpan w:val="17"/>
            <w:tcBorders>
              <w:tl2br w:val="nil"/>
              <w:tr2bl w:val="nil"/>
            </w:tcBorders>
            <w:shd w:val="clear" w:color="auto" w:fill="auto"/>
            <w:vAlign w:val="center"/>
          </w:tcPr>
          <w:p w14:paraId="2ACF6A8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预计投产时间</w:t>
            </w:r>
          </w:p>
        </w:tc>
        <w:tc>
          <w:tcPr>
            <w:tcW w:w="1711" w:type="pct"/>
            <w:gridSpan w:val="28"/>
            <w:tcBorders>
              <w:tl2br w:val="nil"/>
              <w:tr2bl w:val="nil"/>
            </w:tcBorders>
            <w:shd w:val="clear" w:color="auto" w:fill="auto"/>
            <w:vAlign w:val="center"/>
          </w:tcPr>
          <w:p w14:paraId="032389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2026年7月</w:t>
            </w:r>
          </w:p>
        </w:tc>
      </w:tr>
      <w:tr w14:paraId="5D6A46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08DB555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2EF5639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环境影响评价行业类别</w:t>
            </w:r>
          </w:p>
        </w:tc>
        <w:tc>
          <w:tcPr>
            <w:tcW w:w="1712" w:type="pct"/>
            <w:gridSpan w:val="17"/>
            <w:tcBorders>
              <w:tl2br w:val="nil"/>
              <w:tr2bl w:val="nil"/>
            </w:tcBorders>
            <w:shd w:val="clear" w:color="auto" w:fill="auto"/>
            <w:noWrap/>
            <w:vAlign w:val="center"/>
          </w:tcPr>
          <w:p w14:paraId="16B1DB3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三十九、废弃资源综合利用业 85 废油加工处理</w:t>
            </w:r>
          </w:p>
        </w:tc>
        <w:tc>
          <w:tcPr>
            <w:tcW w:w="852" w:type="pct"/>
            <w:gridSpan w:val="17"/>
            <w:tcBorders>
              <w:tl2br w:val="nil"/>
              <w:tr2bl w:val="nil"/>
            </w:tcBorders>
            <w:shd w:val="clear" w:color="auto" w:fill="auto"/>
            <w:vAlign w:val="center"/>
          </w:tcPr>
          <w:p w14:paraId="6FBDBBD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国民经济行业类型及代码</w:t>
            </w:r>
          </w:p>
        </w:tc>
        <w:tc>
          <w:tcPr>
            <w:tcW w:w="1711" w:type="pct"/>
            <w:gridSpan w:val="28"/>
            <w:tcBorders>
              <w:tl2br w:val="nil"/>
              <w:tr2bl w:val="nil"/>
            </w:tcBorders>
            <w:shd w:val="clear" w:color="auto" w:fill="auto"/>
            <w:vAlign w:val="center"/>
          </w:tcPr>
          <w:p w14:paraId="1282B98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C4220 非金属废料和碎屑加工</w:t>
            </w:r>
          </w:p>
        </w:tc>
      </w:tr>
      <w:tr w14:paraId="6A7411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611902E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2996E38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现有工程排污许可证或排污登记表编号（改、扩建项目）</w:t>
            </w:r>
          </w:p>
        </w:tc>
        <w:tc>
          <w:tcPr>
            <w:tcW w:w="854" w:type="pct"/>
            <w:gridSpan w:val="9"/>
            <w:tcBorders>
              <w:tl2br w:val="nil"/>
              <w:tr2bl w:val="nil"/>
            </w:tcBorders>
            <w:shd w:val="clear" w:color="auto" w:fill="auto"/>
            <w:noWrap/>
            <w:vAlign w:val="center"/>
          </w:tcPr>
          <w:p w14:paraId="07EA12E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427" w:type="pct"/>
            <w:gridSpan w:val="4"/>
            <w:tcBorders>
              <w:tl2br w:val="nil"/>
              <w:tr2bl w:val="nil"/>
            </w:tcBorders>
            <w:shd w:val="clear" w:color="auto" w:fill="auto"/>
            <w:vAlign w:val="center"/>
          </w:tcPr>
          <w:p w14:paraId="6F34CA3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现有工程排污许可管理类别（改、扩建项目）</w:t>
            </w:r>
          </w:p>
        </w:tc>
        <w:tc>
          <w:tcPr>
            <w:tcW w:w="429" w:type="pct"/>
            <w:gridSpan w:val="4"/>
            <w:tcBorders>
              <w:tl2br w:val="nil"/>
              <w:tr2bl w:val="nil"/>
            </w:tcBorders>
            <w:shd w:val="clear" w:color="auto" w:fill="auto"/>
            <w:noWrap/>
            <w:vAlign w:val="center"/>
          </w:tcPr>
          <w:p w14:paraId="05053221">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2" w:type="pct"/>
            <w:gridSpan w:val="17"/>
            <w:tcBorders>
              <w:tl2br w:val="nil"/>
              <w:tr2bl w:val="nil"/>
            </w:tcBorders>
            <w:shd w:val="clear" w:color="auto" w:fill="auto"/>
            <w:noWrap/>
            <w:vAlign w:val="center"/>
          </w:tcPr>
          <w:p w14:paraId="334C68C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项目申请类别</w:t>
            </w:r>
          </w:p>
        </w:tc>
        <w:tc>
          <w:tcPr>
            <w:tcW w:w="1711" w:type="pct"/>
            <w:gridSpan w:val="28"/>
            <w:tcBorders>
              <w:tl2br w:val="nil"/>
              <w:tr2bl w:val="nil"/>
            </w:tcBorders>
            <w:shd w:val="clear" w:color="auto" w:fill="auto"/>
            <w:vAlign w:val="center"/>
          </w:tcPr>
          <w:p w14:paraId="0253C43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新建</w:t>
            </w:r>
          </w:p>
        </w:tc>
      </w:tr>
      <w:tr w14:paraId="74A8CC4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198EA74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7372BCF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规划环评开展情况</w:t>
            </w:r>
          </w:p>
        </w:tc>
        <w:tc>
          <w:tcPr>
            <w:tcW w:w="1712" w:type="pct"/>
            <w:gridSpan w:val="17"/>
            <w:tcBorders>
              <w:tl2br w:val="nil"/>
              <w:tr2bl w:val="nil"/>
            </w:tcBorders>
            <w:shd w:val="clear" w:color="auto" w:fill="auto"/>
            <w:noWrap/>
            <w:vAlign w:val="center"/>
          </w:tcPr>
          <w:p w14:paraId="764E72E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有</w:t>
            </w:r>
          </w:p>
        </w:tc>
        <w:tc>
          <w:tcPr>
            <w:tcW w:w="852" w:type="pct"/>
            <w:gridSpan w:val="17"/>
            <w:tcBorders>
              <w:tl2br w:val="nil"/>
              <w:tr2bl w:val="nil"/>
            </w:tcBorders>
            <w:shd w:val="clear" w:color="auto" w:fill="auto"/>
            <w:vAlign w:val="center"/>
          </w:tcPr>
          <w:p w14:paraId="29C6041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规划环评文件名</w:t>
            </w:r>
          </w:p>
        </w:tc>
        <w:tc>
          <w:tcPr>
            <w:tcW w:w="1711" w:type="pct"/>
            <w:gridSpan w:val="28"/>
            <w:tcBorders>
              <w:tl2br w:val="nil"/>
              <w:tr2bl w:val="nil"/>
            </w:tcBorders>
            <w:shd w:val="clear" w:color="auto" w:fill="auto"/>
            <w:vAlign w:val="center"/>
          </w:tcPr>
          <w:p w14:paraId="1DFEA1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平江高新技术产业园区总体规划环境影响报告书</w:t>
            </w:r>
          </w:p>
        </w:tc>
      </w:tr>
      <w:tr w14:paraId="6390650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0C85970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386E8A6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规划环评审查机关</w:t>
            </w:r>
          </w:p>
        </w:tc>
        <w:tc>
          <w:tcPr>
            <w:tcW w:w="1712" w:type="pct"/>
            <w:gridSpan w:val="17"/>
            <w:tcBorders>
              <w:tl2br w:val="nil"/>
              <w:tr2bl w:val="nil"/>
            </w:tcBorders>
            <w:shd w:val="clear" w:color="auto" w:fill="auto"/>
            <w:noWrap/>
            <w:vAlign w:val="center"/>
          </w:tcPr>
          <w:p w14:paraId="7832F52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湖南省生态环境厅</w:t>
            </w:r>
          </w:p>
        </w:tc>
        <w:tc>
          <w:tcPr>
            <w:tcW w:w="852" w:type="pct"/>
            <w:gridSpan w:val="17"/>
            <w:tcBorders>
              <w:tl2br w:val="nil"/>
              <w:tr2bl w:val="nil"/>
            </w:tcBorders>
            <w:shd w:val="clear" w:color="auto" w:fill="auto"/>
            <w:vAlign w:val="center"/>
          </w:tcPr>
          <w:p w14:paraId="4DEFE3D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规划环评审查意见文号</w:t>
            </w:r>
          </w:p>
        </w:tc>
        <w:tc>
          <w:tcPr>
            <w:tcW w:w="1711" w:type="pct"/>
            <w:gridSpan w:val="28"/>
            <w:tcBorders>
              <w:tl2br w:val="nil"/>
              <w:tr2bl w:val="nil"/>
            </w:tcBorders>
            <w:shd w:val="clear" w:color="auto" w:fill="auto"/>
            <w:vAlign w:val="center"/>
          </w:tcPr>
          <w:p w14:paraId="1968AD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湘环评函</w:t>
            </w:r>
            <w:r>
              <w:rPr>
                <w:rFonts w:hint="default" w:ascii="Times New Roman" w:hAnsi="Times New Roman" w:eastAsia="宋体" w:cs="Times New Roman"/>
                <w:i w:val="0"/>
                <w:iCs w:val="0"/>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2024</w:t>
            </w:r>
            <w:r>
              <w:rPr>
                <w:rFonts w:hint="default" w:ascii="Times New Roman" w:hAnsi="Times New Roman" w:eastAsia="宋体" w:cs="Times New Roman"/>
                <w:i w:val="0"/>
                <w:iCs w:val="0"/>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37号</w:t>
            </w:r>
          </w:p>
        </w:tc>
      </w:tr>
      <w:tr w14:paraId="21D76BA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401AF04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2C8A322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建设地点中心坐标</w:t>
            </w:r>
            <w:r>
              <w:rPr>
                <w:rStyle w:val="158"/>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（非线性工程）</w:t>
            </w:r>
          </w:p>
        </w:tc>
        <w:tc>
          <w:tcPr>
            <w:tcW w:w="427" w:type="pct"/>
            <w:gridSpan w:val="3"/>
            <w:tcBorders>
              <w:tl2br w:val="nil"/>
              <w:tr2bl w:val="nil"/>
            </w:tcBorders>
            <w:shd w:val="clear" w:color="auto" w:fill="auto"/>
            <w:vAlign w:val="center"/>
          </w:tcPr>
          <w:p w14:paraId="4910ADC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经度</w:t>
            </w:r>
          </w:p>
        </w:tc>
        <w:tc>
          <w:tcPr>
            <w:tcW w:w="427" w:type="pct"/>
            <w:gridSpan w:val="6"/>
            <w:tcBorders>
              <w:tl2br w:val="nil"/>
              <w:tr2bl w:val="nil"/>
            </w:tcBorders>
            <w:shd w:val="clear" w:color="auto" w:fill="auto"/>
            <w:vAlign w:val="center"/>
          </w:tcPr>
          <w:p w14:paraId="13EC3D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113°16′23.712″</w:t>
            </w:r>
          </w:p>
        </w:tc>
        <w:tc>
          <w:tcPr>
            <w:tcW w:w="427" w:type="pct"/>
            <w:gridSpan w:val="4"/>
            <w:tcBorders>
              <w:tl2br w:val="nil"/>
              <w:tr2bl w:val="nil"/>
            </w:tcBorders>
            <w:shd w:val="clear" w:color="auto" w:fill="auto"/>
            <w:vAlign w:val="center"/>
          </w:tcPr>
          <w:p w14:paraId="50B7B02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纬度</w:t>
            </w:r>
          </w:p>
        </w:tc>
        <w:tc>
          <w:tcPr>
            <w:tcW w:w="429" w:type="pct"/>
            <w:gridSpan w:val="4"/>
            <w:tcBorders>
              <w:tl2br w:val="nil"/>
              <w:tr2bl w:val="nil"/>
            </w:tcBorders>
            <w:shd w:val="clear" w:color="auto" w:fill="auto"/>
            <w:vAlign w:val="center"/>
          </w:tcPr>
          <w:p w14:paraId="5839A55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 xml:space="preserve">28°47′9.122″ </w:t>
            </w:r>
          </w:p>
        </w:tc>
        <w:tc>
          <w:tcPr>
            <w:tcW w:w="425" w:type="pct"/>
            <w:gridSpan w:val="6"/>
            <w:tcBorders>
              <w:tl2br w:val="nil"/>
              <w:tr2bl w:val="nil"/>
            </w:tcBorders>
            <w:shd w:val="clear" w:color="auto" w:fill="auto"/>
            <w:vAlign w:val="center"/>
          </w:tcPr>
          <w:p w14:paraId="0210091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占地面积（平方米）</w:t>
            </w:r>
          </w:p>
        </w:tc>
        <w:tc>
          <w:tcPr>
            <w:tcW w:w="427" w:type="pct"/>
            <w:gridSpan w:val="11"/>
            <w:tcBorders>
              <w:tl2br w:val="nil"/>
              <w:tr2bl w:val="nil"/>
            </w:tcBorders>
            <w:shd w:val="clear" w:color="auto" w:fill="auto"/>
            <w:noWrap/>
            <w:vAlign w:val="center"/>
          </w:tcPr>
          <w:p w14:paraId="67586A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3849.6</w:t>
            </w:r>
          </w:p>
        </w:tc>
        <w:tc>
          <w:tcPr>
            <w:tcW w:w="427" w:type="pct"/>
            <w:gridSpan w:val="8"/>
            <w:tcBorders>
              <w:tl2br w:val="nil"/>
              <w:tr2bl w:val="nil"/>
            </w:tcBorders>
            <w:shd w:val="clear" w:color="auto" w:fill="auto"/>
            <w:vAlign w:val="center"/>
          </w:tcPr>
          <w:p w14:paraId="60EDB8C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环评文件类别</w:t>
            </w:r>
          </w:p>
        </w:tc>
        <w:tc>
          <w:tcPr>
            <w:tcW w:w="1284" w:type="pct"/>
            <w:gridSpan w:val="20"/>
            <w:tcBorders>
              <w:tl2br w:val="nil"/>
              <w:tr2bl w:val="nil"/>
            </w:tcBorders>
            <w:shd w:val="clear" w:color="auto" w:fill="auto"/>
            <w:vAlign w:val="center"/>
          </w:tcPr>
          <w:p w14:paraId="157C15B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环境影响报告书</w:t>
            </w:r>
          </w:p>
        </w:tc>
      </w:tr>
      <w:tr w14:paraId="4F9D2AA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0F4942E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24F0977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建设地点坐标（线性工程）</w:t>
            </w:r>
          </w:p>
        </w:tc>
        <w:tc>
          <w:tcPr>
            <w:tcW w:w="427" w:type="pct"/>
            <w:gridSpan w:val="3"/>
            <w:tcBorders>
              <w:tl2br w:val="nil"/>
              <w:tr2bl w:val="nil"/>
            </w:tcBorders>
            <w:shd w:val="clear" w:color="auto" w:fill="auto"/>
            <w:vAlign w:val="center"/>
          </w:tcPr>
          <w:p w14:paraId="2FA27CF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起点经度</w:t>
            </w:r>
          </w:p>
        </w:tc>
        <w:tc>
          <w:tcPr>
            <w:tcW w:w="427" w:type="pct"/>
            <w:gridSpan w:val="6"/>
            <w:tcBorders>
              <w:tl2br w:val="nil"/>
              <w:tr2bl w:val="nil"/>
            </w:tcBorders>
            <w:shd w:val="clear" w:color="auto" w:fill="auto"/>
            <w:vAlign w:val="center"/>
          </w:tcPr>
          <w:p w14:paraId="4119985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427" w:type="pct"/>
            <w:gridSpan w:val="4"/>
            <w:tcBorders>
              <w:tl2br w:val="nil"/>
              <w:tr2bl w:val="nil"/>
            </w:tcBorders>
            <w:shd w:val="clear" w:color="auto" w:fill="auto"/>
            <w:vAlign w:val="center"/>
          </w:tcPr>
          <w:p w14:paraId="127510E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起点纬度</w:t>
            </w:r>
          </w:p>
        </w:tc>
        <w:tc>
          <w:tcPr>
            <w:tcW w:w="429" w:type="pct"/>
            <w:gridSpan w:val="4"/>
            <w:tcBorders>
              <w:tl2br w:val="nil"/>
              <w:tr2bl w:val="nil"/>
            </w:tcBorders>
            <w:shd w:val="clear" w:color="auto" w:fill="auto"/>
            <w:vAlign w:val="center"/>
          </w:tcPr>
          <w:p w14:paraId="07D4B7E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425" w:type="pct"/>
            <w:gridSpan w:val="6"/>
            <w:tcBorders>
              <w:tl2br w:val="nil"/>
              <w:tr2bl w:val="nil"/>
            </w:tcBorders>
            <w:shd w:val="clear" w:color="auto" w:fill="auto"/>
            <w:vAlign w:val="center"/>
          </w:tcPr>
          <w:p w14:paraId="21CB8B3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终点经度</w:t>
            </w:r>
          </w:p>
        </w:tc>
        <w:tc>
          <w:tcPr>
            <w:tcW w:w="427" w:type="pct"/>
            <w:gridSpan w:val="11"/>
            <w:tcBorders>
              <w:tl2br w:val="nil"/>
              <w:tr2bl w:val="nil"/>
            </w:tcBorders>
            <w:shd w:val="clear" w:color="auto" w:fill="auto"/>
            <w:vAlign w:val="center"/>
          </w:tcPr>
          <w:p w14:paraId="321AD7D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427" w:type="pct"/>
            <w:gridSpan w:val="8"/>
            <w:tcBorders>
              <w:tl2br w:val="nil"/>
              <w:tr2bl w:val="nil"/>
            </w:tcBorders>
            <w:shd w:val="clear" w:color="auto" w:fill="auto"/>
            <w:vAlign w:val="center"/>
          </w:tcPr>
          <w:p w14:paraId="4FCF402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终点纬度</w:t>
            </w:r>
          </w:p>
        </w:tc>
        <w:tc>
          <w:tcPr>
            <w:tcW w:w="427" w:type="pct"/>
            <w:gridSpan w:val="11"/>
            <w:tcBorders>
              <w:tl2br w:val="nil"/>
              <w:tr2bl w:val="nil"/>
            </w:tcBorders>
            <w:shd w:val="clear" w:color="auto" w:fill="auto"/>
            <w:noWrap/>
            <w:vAlign w:val="center"/>
          </w:tcPr>
          <w:p w14:paraId="6E3110E0">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7" w:type="pct"/>
            <w:gridSpan w:val="7"/>
            <w:tcBorders>
              <w:tl2br w:val="nil"/>
              <w:tr2bl w:val="nil"/>
            </w:tcBorders>
            <w:shd w:val="clear" w:color="auto" w:fill="auto"/>
            <w:vAlign w:val="center"/>
          </w:tcPr>
          <w:p w14:paraId="675B289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工程长度</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（千米）</w:t>
            </w:r>
          </w:p>
        </w:tc>
        <w:tc>
          <w:tcPr>
            <w:tcW w:w="429" w:type="pct"/>
            <w:gridSpan w:val="2"/>
            <w:tcBorders>
              <w:tl2br w:val="nil"/>
              <w:tr2bl w:val="nil"/>
            </w:tcBorders>
            <w:shd w:val="clear" w:color="auto" w:fill="auto"/>
            <w:noWrap/>
            <w:vAlign w:val="center"/>
          </w:tcPr>
          <w:p w14:paraId="759DBB8A">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21CBC45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0" w:type="pct"/>
            <w:gridSpan w:val="2"/>
            <w:vMerge w:val="continue"/>
            <w:tcBorders>
              <w:tl2br w:val="nil"/>
              <w:tr2bl w:val="nil"/>
            </w:tcBorders>
            <w:shd w:val="clear" w:color="auto" w:fill="auto"/>
            <w:vAlign w:val="center"/>
          </w:tcPr>
          <w:p w14:paraId="1B0895C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0D68468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总投资（万元）</w:t>
            </w:r>
          </w:p>
        </w:tc>
        <w:tc>
          <w:tcPr>
            <w:tcW w:w="2137" w:type="pct"/>
            <w:gridSpan w:val="23"/>
            <w:tcBorders>
              <w:tl2br w:val="nil"/>
              <w:tr2bl w:val="nil"/>
            </w:tcBorders>
            <w:shd w:val="clear" w:color="auto" w:fill="auto"/>
            <w:noWrap/>
            <w:vAlign w:val="center"/>
          </w:tcPr>
          <w:p w14:paraId="46C3B66D">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5000</w:t>
            </w:r>
          </w:p>
        </w:tc>
        <w:tc>
          <w:tcPr>
            <w:tcW w:w="854" w:type="pct"/>
            <w:gridSpan w:val="19"/>
            <w:tcBorders>
              <w:tl2br w:val="nil"/>
              <w:tr2bl w:val="nil"/>
            </w:tcBorders>
            <w:shd w:val="clear" w:color="auto" w:fill="auto"/>
            <w:vAlign w:val="center"/>
          </w:tcPr>
          <w:p w14:paraId="3FB0FFC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环保投资（万元）</w:t>
            </w:r>
          </w:p>
        </w:tc>
        <w:tc>
          <w:tcPr>
            <w:tcW w:w="427" w:type="pct"/>
            <w:gridSpan w:val="11"/>
            <w:tcBorders>
              <w:tl2br w:val="nil"/>
              <w:tr2bl w:val="nil"/>
            </w:tcBorders>
            <w:shd w:val="clear" w:color="auto" w:fill="auto"/>
            <w:noWrap/>
            <w:vAlign w:val="center"/>
          </w:tcPr>
          <w:p w14:paraId="65D04271">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125</w:t>
            </w:r>
          </w:p>
        </w:tc>
        <w:tc>
          <w:tcPr>
            <w:tcW w:w="427" w:type="pct"/>
            <w:gridSpan w:val="7"/>
            <w:tcBorders>
              <w:tl2br w:val="nil"/>
              <w:tr2bl w:val="nil"/>
            </w:tcBorders>
            <w:shd w:val="clear" w:color="auto" w:fill="auto"/>
            <w:vAlign w:val="center"/>
          </w:tcPr>
          <w:p w14:paraId="7285D9B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所占比例（</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429" w:type="pct"/>
            <w:gridSpan w:val="2"/>
            <w:tcBorders>
              <w:tl2br w:val="nil"/>
              <w:tr2bl w:val="nil"/>
            </w:tcBorders>
            <w:shd w:val="clear" w:color="auto" w:fill="auto"/>
            <w:noWrap/>
            <w:vAlign w:val="center"/>
          </w:tcPr>
          <w:p w14:paraId="2B6CE7F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2.5</w:t>
            </w:r>
          </w:p>
        </w:tc>
      </w:tr>
      <w:tr w14:paraId="4F360B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restart"/>
            <w:tcBorders>
              <w:tl2br w:val="nil"/>
              <w:tr2bl w:val="nil"/>
            </w:tcBorders>
            <w:shd w:val="clear" w:color="auto" w:fill="auto"/>
            <w:vAlign w:val="center"/>
          </w:tcPr>
          <w:p w14:paraId="18691B4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建设</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单位</w:t>
            </w:r>
          </w:p>
        </w:tc>
        <w:tc>
          <w:tcPr>
            <w:tcW w:w="623" w:type="pct"/>
            <w:gridSpan w:val="5"/>
            <w:vMerge w:val="restart"/>
            <w:tcBorders>
              <w:tl2br w:val="nil"/>
              <w:tr2bl w:val="nil"/>
            </w:tcBorders>
            <w:shd w:val="clear" w:color="auto" w:fill="auto"/>
            <w:vAlign w:val="center"/>
          </w:tcPr>
          <w:p w14:paraId="1A18E95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单位名称</w:t>
            </w:r>
          </w:p>
        </w:tc>
        <w:tc>
          <w:tcPr>
            <w:tcW w:w="855" w:type="pct"/>
            <w:gridSpan w:val="9"/>
            <w:vMerge w:val="restart"/>
            <w:tcBorders>
              <w:tl2br w:val="nil"/>
              <w:tr2bl w:val="nil"/>
            </w:tcBorders>
            <w:shd w:val="clear" w:color="auto" w:fill="auto"/>
            <w:noWrap/>
            <w:vAlign w:val="center"/>
          </w:tcPr>
          <w:p w14:paraId="5B31C71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湖南信达生物能源有限公司</w:t>
            </w:r>
          </w:p>
        </w:tc>
        <w:tc>
          <w:tcPr>
            <w:tcW w:w="429" w:type="pct"/>
            <w:gridSpan w:val="6"/>
            <w:tcBorders>
              <w:tl2br w:val="nil"/>
              <w:tr2bl w:val="nil"/>
            </w:tcBorders>
            <w:shd w:val="clear" w:color="auto" w:fill="auto"/>
            <w:vAlign w:val="center"/>
          </w:tcPr>
          <w:p w14:paraId="37DF951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法定代表人</w:t>
            </w:r>
          </w:p>
        </w:tc>
        <w:tc>
          <w:tcPr>
            <w:tcW w:w="429" w:type="pct"/>
            <w:gridSpan w:val="3"/>
            <w:tcBorders>
              <w:tl2br w:val="nil"/>
              <w:tr2bl w:val="nil"/>
            </w:tcBorders>
            <w:shd w:val="clear" w:color="auto" w:fill="auto"/>
            <w:noWrap/>
            <w:vAlign w:val="center"/>
          </w:tcPr>
          <w:p w14:paraId="055250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柳威威</w:t>
            </w:r>
          </w:p>
        </w:tc>
        <w:tc>
          <w:tcPr>
            <w:tcW w:w="425" w:type="pct"/>
            <w:gridSpan w:val="7"/>
            <w:vMerge w:val="restart"/>
            <w:tcBorders>
              <w:tl2br w:val="nil"/>
              <w:tr2bl w:val="nil"/>
            </w:tcBorders>
            <w:shd w:val="clear" w:color="auto" w:fill="auto"/>
            <w:vAlign w:val="center"/>
          </w:tcPr>
          <w:p w14:paraId="171C73F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环评</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编制</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单位</w:t>
            </w:r>
          </w:p>
        </w:tc>
        <w:tc>
          <w:tcPr>
            <w:tcW w:w="425" w:type="pct"/>
            <w:gridSpan w:val="9"/>
            <w:tcBorders>
              <w:tl2br w:val="nil"/>
              <w:tr2bl w:val="nil"/>
            </w:tcBorders>
            <w:shd w:val="clear" w:color="auto" w:fill="auto"/>
            <w:vAlign w:val="center"/>
          </w:tcPr>
          <w:p w14:paraId="6E4F0AC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单位名称</w:t>
            </w:r>
          </w:p>
        </w:tc>
        <w:tc>
          <w:tcPr>
            <w:tcW w:w="855" w:type="pct"/>
            <w:gridSpan w:val="19"/>
            <w:tcBorders>
              <w:tl2br w:val="nil"/>
              <w:tr2bl w:val="nil"/>
            </w:tcBorders>
            <w:shd w:val="clear" w:color="auto" w:fill="auto"/>
            <w:noWrap/>
            <w:vAlign w:val="center"/>
          </w:tcPr>
          <w:p w14:paraId="2918316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湖南中誉生态环境科技有限公司</w:t>
            </w:r>
          </w:p>
        </w:tc>
        <w:tc>
          <w:tcPr>
            <w:tcW w:w="279" w:type="pct"/>
            <w:gridSpan w:val="5"/>
            <w:tcBorders>
              <w:tl2br w:val="nil"/>
              <w:tr2bl w:val="nil"/>
            </w:tcBorders>
            <w:shd w:val="clear" w:color="auto" w:fill="auto"/>
            <w:vAlign w:val="center"/>
          </w:tcPr>
          <w:p w14:paraId="05EB251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统一社会信用代码</w:t>
            </w:r>
          </w:p>
        </w:tc>
        <w:tc>
          <w:tcPr>
            <w:tcW w:w="578" w:type="pct"/>
            <w:gridSpan w:val="5"/>
            <w:tcBorders>
              <w:tl2br w:val="nil"/>
              <w:tr2bl w:val="nil"/>
            </w:tcBorders>
            <w:shd w:val="clear" w:color="auto" w:fill="auto"/>
            <w:noWrap/>
            <w:vAlign w:val="center"/>
          </w:tcPr>
          <w:p w14:paraId="01DA73D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91430111MA7CG4JW1A</w:t>
            </w:r>
          </w:p>
        </w:tc>
      </w:tr>
      <w:tr w14:paraId="3BAF4F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796D5F5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vMerge w:val="continue"/>
            <w:tcBorders>
              <w:tl2br w:val="nil"/>
              <w:tr2bl w:val="nil"/>
            </w:tcBorders>
            <w:shd w:val="clear" w:color="auto" w:fill="auto"/>
            <w:vAlign w:val="center"/>
          </w:tcPr>
          <w:p w14:paraId="2578EC9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5" w:type="pct"/>
            <w:gridSpan w:val="9"/>
            <w:vMerge w:val="continue"/>
            <w:tcBorders>
              <w:tl2br w:val="nil"/>
              <w:tr2bl w:val="nil"/>
            </w:tcBorders>
            <w:shd w:val="clear" w:color="auto" w:fill="auto"/>
            <w:noWrap/>
            <w:vAlign w:val="center"/>
          </w:tcPr>
          <w:p w14:paraId="3D3A2C9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9" w:type="pct"/>
            <w:gridSpan w:val="6"/>
            <w:vMerge w:val="restart"/>
            <w:tcBorders>
              <w:tl2br w:val="nil"/>
              <w:tr2bl w:val="nil"/>
            </w:tcBorders>
            <w:shd w:val="clear" w:color="auto" w:fill="auto"/>
            <w:vAlign w:val="center"/>
          </w:tcPr>
          <w:p w14:paraId="19E50DF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主要负责人</w:t>
            </w:r>
          </w:p>
        </w:tc>
        <w:tc>
          <w:tcPr>
            <w:tcW w:w="429" w:type="pct"/>
            <w:gridSpan w:val="3"/>
            <w:vMerge w:val="restart"/>
            <w:tcBorders>
              <w:tl2br w:val="nil"/>
              <w:tr2bl w:val="nil"/>
            </w:tcBorders>
            <w:shd w:val="clear" w:color="auto" w:fill="auto"/>
            <w:noWrap/>
            <w:vAlign w:val="center"/>
          </w:tcPr>
          <w:p w14:paraId="2F5445C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袁先生</w:t>
            </w:r>
          </w:p>
        </w:tc>
        <w:tc>
          <w:tcPr>
            <w:tcW w:w="425" w:type="pct"/>
            <w:gridSpan w:val="7"/>
            <w:vMerge w:val="continue"/>
            <w:tcBorders>
              <w:tl2br w:val="nil"/>
              <w:tr2bl w:val="nil"/>
            </w:tcBorders>
            <w:shd w:val="clear" w:color="auto" w:fill="auto"/>
            <w:vAlign w:val="center"/>
          </w:tcPr>
          <w:p w14:paraId="5C4C4E8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5" w:type="pct"/>
            <w:gridSpan w:val="9"/>
            <w:vMerge w:val="restart"/>
            <w:tcBorders>
              <w:tl2br w:val="nil"/>
              <w:tr2bl w:val="nil"/>
            </w:tcBorders>
            <w:shd w:val="clear" w:color="auto" w:fill="auto"/>
            <w:vAlign w:val="center"/>
          </w:tcPr>
          <w:p w14:paraId="6E73B5C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编制主持人</w:t>
            </w:r>
          </w:p>
        </w:tc>
        <w:tc>
          <w:tcPr>
            <w:tcW w:w="370" w:type="pct"/>
            <w:gridSpan w:val="7"/>
            <w:tcBorders>
              <w:tl2br w:val="nil"/>
              <w:tr2bl w:val="nil"/>
            </w:tcBorders>
            <w:shd w:val="clear" w:color="auto" w:fill="auto"/>
            <w:vAlign w:val="center"/>
          </w:tcPr>
          <w:p w14:paraId="3C1A956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姓名</w:t>
            </w:r>
          </w:p>
        </w:tc>
        <w:tc>
          <w:tcPr>
            <w:tcW w:w="484" w:type="pct"/>
            <w:gridSpan w:val="12"/>
            <w:tcBorders>
              <w:tl2br w:val="nil"/>
              <w:tr2bl w:val="nil"/>
            </w:tcBorders>
            <w:shd w:val="clear" w:color="auto" w:fill="auto"/>
            <w:noWrap/>
            <w:vAlign w:val="center"/>
          </w:tcPr>
          <w:p w14:paraId="2F794D3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聂志丹</w:t>
            </w:r>
          </w:p>
        </w:tc>
        <w:tc>
          <w:tcPr>
            <w:tcW w:w="279" w:type="pct"/>
            <w:gridSpan w:val="5"/>
            <w:vMerge w:val="restart"/>
            <w:tcBorders>
              <w:tl2br w:val="nil"/>
              <w:tr2bl w:val="nil"/>
            </w:tcBorders>
            <w:shd w:val="clear" w:color="auto" w:fill="auto"/>
            <w:vAlign w:val="center"/>
          </w:tcPr>
          <w:p w14:paraId="7690317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联系电话</w:t>
            </w:r>
          </w:p>
        </w:tc>
        <w:tc>
          <w:tcPr>
            <w:tcW w:w="578" w:type="pct"/>
            <w:gridSpan w:val="5"/>
            <w:vMerge w:val="restart"/>
            <w:tcBorders>
              <w:tl2br w:val="nil"/>
              <w:tr2bl w:val="nil"/>
            </w:tcBorders>
            <w:shd w:val="clear" w:color="auto" w:fill="auto"/>
            <w:noWrap/>
            <w:vAlign w:val="center"/>
          </w:tcPr>
          <w:p w14:paraId="7B3B85D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15973192307</w:t>
            </w:r>
          </w:p>
        </w:tc>
      </w:tr>
      <w:tr w14:paraId="1C8E96F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740E02D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vMerge w:val="continue"/>
            <w:tcBorders>
              <w:tl2br w:val="nil"/>
              <w:tr2bl w:val="nil"/>
            </w:tcBorders>
            <w:shd w:val="clear" w:color="auto" w:fill="auto"/>
            <w:vAlign w:val="center"/>
          </w:tcPr>
          <w:p w14:paraId="2499717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5" w:type="pct"/>
            <w:gridSpan w:val="9"/>
            <w:vMerge w:val="continue"/>
            <w:tcBorders>
              <w:tl2br w:val="nil"/>
              <w:tr2bl w:val="nil"/>
            </w:tcBorders>
            <w:shd w:val="clear" w:color="auto" w:fill="auto"/>
            <w:noWrap/>
            <w:vAlign w:val="center"/>
          </w:tcPr>
          <w:p w14:paraId="1DA6F17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9" w:type="pct"/>
            <w:gridSpan w:val="6"/>
            <w:vMerge w:val="continue"/>
            <w:tcBorders>
              <w:tl2br w:val="nil"/>
              <w:tr2bl w:val="nil"/>
            </w:tcBorders>
            <w:shd w:val="clear" w:color="auto" w:fill="auto"/>
            <w:vAlign w:val="center"/>
          </w:tcPr>
          <w:p w14:paraId="49F17CC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9" w:type="pct"/>
            <w:gridSpan w:val="3"/>
            <w:vMerge w:val="continue"/>
            <w:tcBorders>
              <w:tl2br w:val="nil"/>
              <w:tr2bl w:val="nil"/>
            </w:tcBorders>
            <w:shd w:val="clear" w:color="auto" w:fill="auto"/>
            <w:noWrap/>
            <w:vAlign w:val="center"/>
          </w:tcPr>
          <w:p w14:paraId="49A61C8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5" w:type="pct"/>
            <w:gridSpan w:val="7"/>
            <w:vMerge w:val="continue"/>
            <w:tcBorders>
              <w:tl2br w:val="nil"/>
              <w:tr2bl w:val="nil"/>
            </w:tcBorders>
            <w:shd w:val="clear" w:color="auto" w:fill="auto"/>
            <w:vAlign w:val="center"/>
          </w:tcPr>
          <w:p w14:paraId="591EF1F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5" w:type="pct"/>
            <w:gridSpan w:val="9"/>
            <w:vMerge w:val="continue"/>
            <w:tcBorders>
              <w:tl2br w:val="nil"/>
              <w:tr2bl w:val="nil"/>
            </w:tcBorders>
            <w:shd w:val="clear" w:color="auto" w:fill="auto"/>
            <w:vAlign w:val="center"/>
          </w:tcPr>
          <w:p w14:paraId="671675D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370" w:type="pct"/>
            <w:gridSpan w:val="7"/>
            <w:tcBorders>
              <w:tl2br w:val="nil"/>
              <w:tr2bl w:val="nil"/>
            </w:tcBorders>
            <w:shd w:val="clear" w:color="auto" w:fill="auto"/>
            <w:vAlign w:val="center"/>
          </w:tcPr>
          <w:p w14:paraId="6038877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信用编号</w:t>
            </w:r>
          </w:p>
        </w:tc>
        <w:tc>
          <w:tcPr>
            <w:tcW w:w="484" w:type="pct"/>
            <w:gridSpan w:val="12"/>
            <w:tcBorders>
              <w:tl2br w:val="nil"/>
              <w:tr2bl w:val="nil"/>
            </w:tcBorders>
            <w:shd w:val="clear" w:color="auto" w:fill="auto"/>
            <w:noWrap/>
            <w:vAlign w:val="center"/>
          </w:tcPr>
          <w:p w14:paraId="5345CC1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BH007637</w:t>
            </w:r>
          </w:p>
        </w:tc>
        <w:tc>
          <w:tcPr>
            <w:tcW w:w="279" w:type="pct"/>
            <w:gridSpan w:val="5"/>
            <w:vMerge w:val="continue"/>
            <w:tcBorders>
              <w:tl2br w:val="nil"/>
              <w:tr2bl w:val="nil"/>
            </w:tcBorders>
            <w:shd w:val="clear" w:color="auto" w:fill="auto"/>
            <w:vAlign w:val="center"/>
          </w:tcPr>
          <w:p w14:paraId="41ADE8C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578" w:type="pct"/>
            <w:gridSpan w:val="5"/>
            <w:vMerge w:val="continue"/>
            <w:tcBorders>
              <w:tl2br w:val="nil"/>
              <w:tr2bl w:val="nil"/>
            </w:tcBorders>
            <w:shd w:val="clear" w:color="auto" w:fill="auto"/>
            <w:noWrap/>
            <w:vAlign w:val="center"/>
          </w:tcPr>
          <w:p w14:paraId="0311418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02A06C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5ACBF16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121B94B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统一社会信用代码</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（组织机构代码）</w:t>
            </w:r>
          </w:p>
        </w:tc>
        <w:tc>
          <w:tcPr>
            <w:tcW w:w="855" w:type="pct"/>
            <w:gridSpan w:val="9"/>
            <w:tcBorders>
              <w:tl2br w:val="nil"/>
              <w:tr2bl w:val="nil"/>
            </w:tcBorders>
            <w:shd w:val="clear" w:color="auto" w:fill="auto"/>
            <w:noWrap/>
            <w:vAlign w:val="center"/>
          </w:tcPr>
          <w:p w14:paraId="357D32D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91430626MAEWE0DM0D</w:t>
            </w:r>
          </w:p>
        </w:tc>
        <w:tc>
          <w:tcPr>
            <w:tcW w:w="429" w:type="pct"/>
            <w:gridSpan w:val="6"/>
            <w:tcBorders>
              <w:tl2br w:val="nil"/>
              <w:tr2bl w:val="nil"/>
            </w:tcBorders>
            <w:shd w:val="clear" w:color="auto" w:fill="auto"/>
            <w:vAlign w:val="center"/>
          </w:tcPr>
          <w:p w14:paraId="469A62F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联系电话</w:t>
            </w:r>
          </w:p>
        </w:tc>
        <w:tc>
          <w:tcPr>
            <w:tcW w:w="429" w:type="pct"/>
            <w:gridSpan w:val="3"/>
            <w:tcBorders>
              <w:tl2br w:val="nil"/>
              <w:tr2bl w:val="nil"/>
            </w:tcBorders>
            <w:shd w:val="clear" w:color="auto" w:fill="auto"/>
            <w:noWrap/>
            <w:vAlign w:val="center"/>
          </w:tcPr>
          <w:p w14:paraId="5A1F547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18890010889</w:t>
            </w:r>
          </w:p>
        </w:tc>
        <w:tc>
          <w:tcPr>
            <w:tcW w:w="425" w:type="pct"/>
            <w:gridSpan w:val="7"/>
            <w:vMerge w:val="continue"/>
            <w:tcBorders>
              <w:tl2br w:val="nil"/>
              <w:tr2bl w:val="nil"/>
            </w:tcBorders>
            <w:shd w:val="clear" w:color="auto" w:fill="auto"/>
            <w:vAlign w:val="center"/>
          </w:tcPr>
          <w:p w14:paraId="3AD40D1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5" w:type="pct"/>
            <w:gridSpan w:val="9"/>
            <w:vMerge w:val="continue"/>
            <w:tcBorders>
              <w:tl2br w:val="nil"/>
              <w:tr2bl w:val="nil"/>
            </w:tcBorders>
            <w:shd w:val="clear" w:color="auto" w:fill="auto"/>
            <w:vAlign w:val="center"/>
          </w:tcPr>
          <w:p w14:paraId="2957A4A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370" w:type="pct"/>
            <w:gridSpan w:val="7"/>
            <w:tcBorders>
              <w:tl2br w:val="nil"/>
              <w:tr2bl w:val="nil"/>
            </w:tcBorders>
            <w:shd w:val="clear" w:color="auto" w:fill="auto"/>
            <w:vAlign w:val="center"/>
          </w:tcPr>
          <w:p w14:paraId="050CEFC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职业资格证书</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管理号</w:t>
            </w:r>
          </w:p>
        </w:tc>
        <w:tc>
          <w:tcPr>
            <w:tcW w:w="484" w:type="pct"/>
            <w:gridSpan w:val="12"/>
            <w:tcBorders>
              <w:tl2br w:val="nil"/>
              <w:tr2bl w:val="nil"/>
            </w:tcBorders>
            <w:shd w:val="clear" w:color="auto" w:fill="auto"/>
            <w:noWrap/>
            <w:vAlign w:val="center"/>
          </w:tcPr>
          <w:p w14:paraId="29F426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08351243508120172</w:t>
            </w:r>
          </w:p>
        </w:tc>
        <w:tc>
          <w:tcPr>
            <w:tcW w:w="279" w:type="pct"/>
            <w:gridSpan w:val="5"/>
            <w:vMerge w:val="continue"/>
            <w:tcBorders>
              <w:tl2br w:val="nil"/>
              <w:tr2bl w:val="nil"/>
            </w:tcBorders>
            <w:shd w:val="clear" w:color="auto" w:fill="auto"/>
            <w:vAlign w:val="center"/>
          </w:tcPr>
          <w:p w14:paraId="5433087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578" w:type="pct"/>
            <w:gridSpan w:val="5"/>
            <w:vMerge w:val="continue"/>
            <w:tcBorders>
              <w:tl2br w:val="nil"/>
              <w:tr2bl w:val="nil"/>
            </w:tcBorders>
            <w:shd w:val="clear" w:color="auto" w:fill="auto"/>
            <w:noWrap/>
            <w:vAlign w:val="center"/>
          </w:tcPr>
          <w:p w14:paraId="36D6788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48982F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4C78E4C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tcBorders>
              <w:tl2br w:val="nil"/>
              <w:tr2bl w:val="nil"/>
            </w:tcBorders>
            <w:shd w:val="clear" w:color="auto" w:fill="auto"/>
            <w:vAlign w:val="center"/>
          </w:tcPr>
          <w:p w14:paraId="42C0781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通讯地址</w:t>
            </w:r>
          </w:p>
        </w:tc>
        <w:tc>
          <w:tcPr>
            <w:tcW w:w="1714" w:type="pct"/>
            <w:gridSpan w:val="18"/>
            <w:tcBorders>
              <w:tl2br w:val="nil"/>
              <w:tr2bl w:val="nil"/>
            </w:tcBorders>
            <w:shd w:val="clear" w:color="auto" w:fill="auto"/>
            <w:noWrap/>
            <w:vAlign w:val="center"/>
          </w:tcPr>
          <w:p w14:paraId="3A97A6F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平江高新技术产业园区兴东路与兴旺路交叉口</w:t>
            </w:r>
          </w:p>
        </w:tc>
        <w:tc>
          <w:tcPr>
            <w:tcW w:w="425" w:type="pct"/>
            <w:gridSpan w:val="7"/>
            <w:vMerge w:val="continue"/>
            <w:tcBorders>
              <w:tl2br w:val="nil"/>
              <w:tr2bl w:val="nil"/>
            </w:tcBorders>
            <w:shd w:val="clear" w:color="auto" w:fill="auto"/>
            <w:vAlign w:val="center"/>
          </w:tcPr>
          <w:p w14:paraId="4B14838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5" w:type="pct"/>
            <w:gridSpan w:val="9"/>
            <w:tcBorders>
              <w:tl2br w:val="nil"/>
              <w:tr2bl w:val="nil"/>
            </w:tcBorders>
            <w:shd w:val="clear" w:color="auto" w:fill="auto"/>
            <w:vAlign w:val="center"/>
          </w:tcPr>
          <w:p w14:paraId="0DD34A6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通讯地址</w:t>
            </w:r>
          </w:p>
        </w:tc>
        <w:tc>
          <w:tcPr>
            <w:tcW w:w="1713" w:type="pct"/>
            <w:gridSpan w:val="29"/>
            <w:tcBorders>
              <w:tl2br w:val="nil"/>
              <w:tr2bl w:val="nil"/>
            </w:tcBorders>
            <w:shd w:val="clear" w:color="auto" w:fill="auto"/>
            <w:noWrap/>
            <w:vAlign w:val="center"/>
          </w:tcPr>
          <w:p w14:paraId="3353EDA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湖南省长沙市天心区新园路37号超世智能产业园2栋1单元607室</w:t>
            </w:r>
          </w:p>
        </w:tc>
      </w:tr>
      <w:tr w14:paraId="456E3C1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restart"/>
            <w:tcBorders>
              <w:tl2br w:val="nil"/>
              <w:tr2bl w:val="nil"/>
            </w:tcBorders>
            <w:shd w:val="clear" w:color="auto" w:fill="auto"/>
            <w:vAlign w:val="center"/>
          </w:tcPr>
          <w:p w14:paraId="1CE7643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染</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物</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放</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量</w:t>
            </w:r>
          </w:p>
        </w:tc>
        <w:tc>
          <w:tcPr>
            <w:tcW w:w="623" w:type="pct"/>
            <w:gridSpan w:val="5"/>
            <w:vMerge w:val="restart"/>
            <w:tcBorders>
              <w:tl2br w:val="nil"/>
              <w:tr2bl w:val="nil"/>
            </w:tcBorders>
            <w:shd w:val="clear" w:color="auto" w:fill="auto"/>
            <w:noWrap/>
            <w:vAlign w:val="center"/>
          </w:tcPr>
          <w:p w14:paraId="6CF84ED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污染物</w:t>
            </w:r>
          </w:p>
        </w:tc>
        <w:tc>
          <w:tcPr>
            <w:tcW w:w="1130" w:type="pct"/>
            <w:gridSpan w:val="12"/>
            <w:tcBorders>
              <w:tl2br w:val="nil"/>
              <w:tr2bl w:val="nil"/>
            </w:tcBorders>
            <w:shd w:val="clear" w:color="auto" w:fill="auto"/>
            <w:vAlign w:val="center"/>
          </w:tcPr>
          <w:p w14:paraId="5A671DF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现有工程</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（已建</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在建）</w:t>
            </w:r>
          </w:p>
        </w:tc>
        <w:tc>
          <w:tcPr>
            <w:tcW w:w="584" w:type="pct"/>
            <w:gridSpan w:val="6"/>
            <w:tcBorders>
              <w:tl2br w:val="nil"/>
              <w:tr2bl w:val="nil"/>
            </w:tcBorders>
            <w:shd w:val="clear" w:color="auto" w:fill="auto"/>
            <w:vAlign w:val="center"/>
          </w:tcPr>
          <w:p w14:paraId="4D5C2F0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本工程</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（拟建或调整变更）</w:t>
            </w:r>
          </w:p>
        </w:tc>
        <w:tc>
          <w:tcPr>
            <w:tcW w:w="2136" w:type="pct"/>
            <w:gridSpan w:val="44"/>
            <w:tcBorders>
              <w:tl2br w:val="nil"/>
              <w:tr2bl w:val="nil"/>
            </w:tcBorders>
            <w:shd w:val="clear" w:color="auto" w:fill="auto"/>
            <w:vAlign w:val="center"/>
          </w:tcPr>
          <w:p w14:paraId="3F24594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总体工程</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（已建</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在建</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拟建或调整变更）</w:t>
            </w:r>
          </w:p>
        </w:tc>
        <w:tc>
          <w:tcPr>
            <w:tcW w:w="428" w:type="pct"/>
            <w:vMerge w:val="restart"/>
            <w:tcBorders>
              <w:tl2br w:val="nil"/>
              <w:tr2bl w:val="nil"/>
            </w:tcBorders>
            <w:shd w:val="clear" w:color="auto" w:fill="auto"/>
            <w:vAlign w:val="center"/>
          </w:tcPr>
          <w:p w14:paraId="5A47B74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区域削减量来源（国家、省级审批项目）</w:t>
            </w:r>
          </w:p>
        </w:tc>
      </w:tr>
      <w:tr w14:paraId="790760A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39DE17A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23" w:type="pct"/>
            <w:gridSpan w:val="5"/>
            <w:vMerge w:val="continue"/>
            <w:tcBorders>
              <w:tl2br w:val="nil"/>
              <w:tr2bl w:val="nil"/>
            </w:tcBorders>
            <w:shd w:val="clear" w:color="auto" w:fill="auto"/>
            <w:noWrap/>
            <w:vAlign w:val="center"/>
          </w:tcPr>
          <w:p w14:paraId="721659A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565" w:type="pct"/>
            <w:gridSpan w:val="5"/>
            <w:tcBorders>
              <w:tl2br w:val="nil"/>
              <w:tr2bl w:val="nil"/>
            </w:tcBorders>
            <w:shd w:val="clear" w:color="auto" w:fill="auto"/>
            <w:vAlign w:val="center"/>
          </w:tcPr>
          <w:p w14:paraId="2B10CDD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①排放量</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565" w:type="pct"/>
            <w:gridSpan w:val="7"/>
            <w:tcBorders>
              <w:tl2br w:val="nil"/>
              <w:tr2bl w:val="nil"/>
            </w:tcBorders>
            <w:shd w:val="clear" w:color="auto" w:fill="auto"/>
            <w:vAlign w:val="center"/>
          </w:tcPr>
          <w:p w14:paraId="05D7089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②许可排放量</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584" w:type="pct"/>
            <w:gridSpan w:val="6"/>
            <w:tcBorders>
              <w:tl2br w:val="nil"/>
              <w:tr2bl w:val="nil"/>
            </w:tcBorders>
            <w:shd w:val="clear" w:color="auto" w:fill="auto"/>
            <w:vAlign w:val="center"/>
          </w:tcPr>
          <w:p w14:paraId="0761F17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③预测排放量</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531" w:type="pct"/>
            <w:gridSpan w:val="8"/>
            <w:tcBorders>
              <w:tl2br w:val="nil"/>
              <w:tr2bl w:val="nil"/>
            </w:tcBorders>
            <w:shd w:val="clear" w:color="auto" w:fill="auto"/>
            <w:vAlign w:val="center"/>
          </w:tcPr>
          <w:p w14:paraId="6A17A8C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④</w:t>
            </w: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以新带老</w:t>
            </w:r>
            <w:r>
              <w:rPr>
                <w:rFonts w:hint="eastAsia"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削减量（吨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534" w:type="pct"/>
            <w:gridSpan w:val="12"/>
            <w:tcBorders>
              <w:tl2br w:val="nil"/>
              <w:tr2bl w:val="nil"/>
            </w:tcBorders>
            <w:shd w:val="clear" w:color="auto" w:fill="auto"/>
            <w:vAlign w:val="center"/>
          </w:tcPr>
          <w:p w14:paraId="449DF39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⑤区域</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平衡替代本工程</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削减量（吨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534" w:type="pct"/>
            <w:gridSpan w:val="11"/>
            <w:tcBorders>
              <w:tl2br w:val="nil"/>
              <w:tr2bl w:val="nil"/>
            </w:tcBorders>
            <w:shd w:val="clear" w:color="auto" w:fill="auto"/>
            <w:vAlign w:val="center"/>
          </w:tcPr>
          <w:p w14:paraId="72EBDD6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⑥预测排放总量</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535" w:type="pct"/>
            <w:gridSpan w:val="13"/>
            <w:tcBorders>
              <w:tl2br w:val="nil"/>
              <w:tr2bl w:val="nil"/>
            </w:tcBorders>
            <w:shd w:val="clear" w:color="auto" w:fill="auto"/>
            <w:vAlign w:val="center"/>
          </w:tcPr>
          <w:p w14:paraId="7A5C75F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⑦排放增减量</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428" w:type="pct"/>
            <w:vMerge w:val="continue"/>
            <w:tcBorders>
              <w:tl2br w:val="nil"/>
              <w:tr2bl w:val="nil"/>
            </w:tcBorders>
            <w:shd w:val="clear" w:color="auto" w:fill="auto"/>
            <w:vAlign w:val="center"/>
          </w:tcPr>
          <w:p w14:paraId="5532220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0221FD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5D3C008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restart"/>
            <w:tcBorders>
              <w:tl2br w:val="nil"/>
              <w:tr2bl w:val="nil"/>
            </w:tcBorders>
            <w:shd w:val="clear" w:color="auto" w:fill="auto"/>
            <w:noWrap/>
            <w:vAlign w:val="center"/>
          </w:tcPr>
          <w:p w14:paraId="5F40813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废水</w:t>
            </w:r>
          </w:p>
        </w:tc>
        <w:tc>
          <w:tcPr>
            <w:tcW w:w="428" w:type="pct"/>
            <w:gridSpan w:val="2"/>
            <w:tcBorders>
              <w:tl2br w:val="nil"/>
              <w:tr2bl w:val="nil"/>
            </w:tcBorders>
            <w:shd w:val="clear" w:color="auto" w:fill="auto"/>
            <w:vAlign w:val="center"/>
          </w:tcPr>
          <w:p w14:paraId="317D3E8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废水量</w:t>
            </w:r>
          </w:p>
        </w:tc>
        <w:tc>
          <w:tcPr>
            <w:tcW w:w="565" w:type="pct"/>
            <w:gridSpan w:val="5"/>
            <w:tcBorders>
              <w:tl2br w:val="nil"/>
              <w:tr2bl w:val="nil"/>
            </w:tcBorders>
            <w:shd w:val="clear" w:color="auto" w:fill="auto"/>
            <w:vAlign w:val="center"/>
          </w:tcPr>
          <w:p w14:paraId="1B1345D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vAlign w:val="center"/>
          </w:tcPr>
          <w:p w14:paraId="0F21455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vAlign w:val="center"/>
          </w:tcPr>
          <w:p w14:paraId="0D4EBF2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1013</w:t>
            </w:r>
          </w:p>
        </w:tc>
        <w:tc>
          <w:tcPr>
            <w:tcW w:w="531" w:type="pct"/>
            <w:gridSpan w:val="8"/>
            <w:tcBorders>
              <w:tl2br w:val="nil"/>
              <w:tr2bl w:val="nil"/>
            </w:tcBorders>
            <w:shd w:val="clear" w:color="auto" w:fill="auto"/>
            <w:noWrap/>
            <w:vAlign w:val="center"/>
          </w:tcPr>
          <w:p w14:paraId="01B9287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4CA24C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1D94B9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1013</w:t>
            </w:r>
          </w:p>
        </w:tc>
        <w:tc>
          <w:tcPr>
            <w:tcW w:w="535" w:type="pct"/>
            <w:gridSpan w:val="13"/>
            <w:tcBorders>
              <w:tl2br w:val="nil"/>
              <w:tr2bl w:val="nil"/>
            </w:tcBorders>
            <w:shd w:val="clear" w:color="auto" w:fill="auto"/>
            <w:noWrap/>
            <w:vAlign w:val="center"/>
          </w:tcPr>
          <w:p w14:paraId="4D303D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428EF2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270153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440DF7D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continue"/>
            <w:tcBorders>
              <w:tl2br w:val="nil"/>
              <w:tr2bl w:val="nil"/>
            </w:tcBorders>
            <w:shd w:val="clear" w:color="auto" w:fill="auto"/>
            <w:noWrap/>
            <w:vAlign w:val="center"/>
          </w:tcPr>
          <w:p w14:paraId="6EA2608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2"/>
            <w:tcBorders>
              <w:tl2br w:val="nil"/>
              <w:tr2bl w:val="nil"/>
            </w:tcBorders>
            <w:shd w:val="clear" w:color="auto" w:fill="auto"/>
            <w:vAlign w:val="center"/>
          </w:tcPr>
          <w:p w14:paraId="78E9D4A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COD</w:t>
            </w:r>
            <w:r>
              <w:rPr>
                <w:rFonts w:hint="default" w:ascii="Times New Roman" w:hAnsi="Times New Roman" w:eastAsia="宋体" w:cs="Times New Roman"/>
                <w:b/>
                <w:bCs/>
                <w:i w:val="0"/>
                <w:iCs w:val="0"/>
                <w:color w:val="000000" w:themeColor="text1"/>
                <w:kern w:val="0"/>
                <w:sz w:val="21"/>
                <w:szCs w:val="21"/>
                <w:u w:val="none" w:color="auto"/>
                <w:vertAlign w:val="subscript"/>
                <w:lang w:val="en-US" w:eastAsia="zh-CN" w:bidi="ar"/>
                <w14:textFill>
                  <w14:solidFill>
                    <w14:schemeClr w14:val="tx1"/>
                  </w14:solidFill>
                </w14:textFill>
              </w:rPr>
              <w:t>Cr</w:t>
            </w:r>
          </w:p>
        </w:tc>
        <w:tc>
          <w:tcPr>
            <w:tcW w:w="565" w:type="pct"/>
            <w:gridSpan w:val="5"/>
            <w:tcBorders>
              <w:tl2br w:val="nil"/>
              <w:tr2bl w:val="nil"/>
            </w:tcBorders>
            <w:shd w:val="clear" w:color="auto" w:fill="auto"/>
            <w:noWrap/>
            <w:vAlign w:val="center"/>
          </w:tcPr>
          <w:p w14:paraId="7AA955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3F5263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3FF25D3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2318</w:t>
            </w:r>
          </w:p>
        </w:tc>
        <w:tc>
          <w:tcPr>
            <w:tcW w:w="531" w:type="pct"/>
            <w:gridSpan w:val="8"/>
            <w:tcBorders>
              <w:tl2br w:val="nil"/>
              <w:tr2bl w:val="nil"/>
            </w:tcBorders>
            <w:shd w:val="clear" w:color="auto" w:fill="auto"/>
            <w:noWrap/>
            <w:vAlign w:val="center"/>
          </w:tcPr>
          <w:p w14:paraId="6E66FF9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2748B5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1840CC6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0.2818</w:t>
            </w:r>
          </w:p>
        </w:tc>
        <w:tc>
          <w:tcPr>
            <w:tcW w:w="535" w:type="pct"/>
            <w:gridSpan w:val="13"/>
            <w:tcBorders>
              <w:tl2br w:val="nil"/>
              <w:tr2bl w:val="nil"/>
            </w:tcBorders>
            <w:shd w:val="clear" w:color="auto" w:fill="auto"/>
            <w:noWrap/>
            <w:vAlign w:val="center"/>
          </w:tcPr>
          <w:p w14:paraId="3E20076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104EF5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4F1EAF5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406FB4C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continue"/>
            <w:tcBorders>
              <w:tl2br w:val="nil"/>
              <w:tr2bl w:val="nil"/>
            </w:tcBorders>
            <w:shd w:val="clear" w:color="auto" w:fill="auto"/>
            <w:noWrap/>
            <w:vAlign w:val="center"/>
          </w:tcPr>
          <w:p w14:paraId="0C55421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2"/>
            <w:tcBorders>
              <w:tl2br w:val="nil"/>
              <w:tr2bl w:val="nil"/>
            </w:tcBorders>
            <w:shd w:val="clear" w:color="auto" w:fill="auto"/>
            <w:vAlign w:val="center"/>
          </w:tcPr>
          <w:p w14:paraId="464FF1B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BOD</w:t>
            </w:r>
            <w:r>
              <w:rPr>
                <w:rFonts w:hint="default" w:ascii="Times New Roman" w:hAnsi="Times New Roman" w:eastAsia="宋体" w:cs="Times New Roman"/>
                <w:b/>
                <w:bCs/>
                <w:i w:val="0"/>
                <w:iCs w:val="0"/>
                <w:color w:val="000000" w:themeColor="text1"/>
                <w:kern w:val="0"/>
                <w:sz w:val="21"/>
                <w:szCs w:val="21"/>
                <w:u w:val="none" w:color="auto"/>
                <w:vertAlign w:val="subscript"/>
                <w:lang w:val="en-US" w:eastAsia="zh-CN" w:bidi="ar"/>
                <w14:textFill>
                  <w14:solidFill>
                    <w14:schemeClr w14:val="tx1"/>
                  </w14:solidFill>
                </w14:textFill>
              </w:rPr>
              <w:t>5</w:t>
            </w:r>
          </w:p>
        </w:tc>
        <w:tc>
          <w:tcPr>
            <w:tcW w:w="565" w:type="pct"/>
            <w:gridSpan w:val="5"/>
            <w:tcBorders>
              <w:tl2br w:val="nil"/>
              <w:tr2bl w:val="nil"/>
            </w:tcBorders>
            <w:shd w:val="clear" w:color="auto" w:fill="auto"/>
            <w:noWrap/>
            <w:vAlign w:val="center"/>
          </w:tcPr>
          <w:p w14:paraId="6728F5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4C4546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325113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0.08</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33</w:t>
            </w:r>
          </w:p>
        </w:tc>
        <w:tc>
          <w:tcPr>
            <w:tcW w:w="531" w:type="pct"/>
            <w:gridSpan w:val="8"/>
            <w:tcBorders>
              <w:tl2br w:val="nil"/>
              <w:tr2bl w:val="nil"/>
            </w:tcBorders>
            <w:shd w:val="clear" w:color="auto" w:fill="auto"/>
            <w:noWrap/>
            <w:vAlign w:val="center"/>
          </w:tcPr>
          <w:p w14:paraId="0E29E3E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39631E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2AB2A9F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0.0851</w:t>
            </w:r>
          </w:p>
        </w:tc>
        <w:tc>
          <w:tcPr>
            <w:tcW w:w="535" w:type="pct"/>
            <w:gridSpan w:val="13"/>
            <w:tcBorders>
              <w:tl2br w:val="nil"/>
              <w:tr2bl w:val="nil"/>
            </w:tcBorders>
            <w:shd w:val="clear" w:color="auto" w:fill="auto"/>
            <w:noWrap/>
            <w:vAlign w:val="center"/>
          </w:tcPr>
          <w:p w14:paraId="0C7751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3D49E7B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0735DE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502CDBF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continue"/>
            <w:tcBorders>
              <w:tl2br w:val="nil"/>
              <w:tr2bl w:val="nil"/>
            </w:tcBorders>
            <w:shd w:val="clear" w:color="auto" w:fill="auto"/>
            <w:noWrap/>
            <w:vAlign w:val="center"/>
          </w:tcPr>
          <w:p w14:paraId="5110516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2"/>
            <w:tcBorders>
              <w:tl2br w:val="nil"/>
              <w:tr2bl w:val="nil"/>
            </w:tcBorders>
            <w:shd w:val="clear" w:color="auto" w:fill="auto"/>
            <w:vAlign w:val="center"/>
          </w:tcPr>
          <w:p w14:paraId="0A937C5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SS</w:t>
            </w:r>
          </w:p>
        </w:tc>
        <w:tc>
          <w:tcPr>
            <w:tcW w:w="565" w:type="pct"/>
            <w:gridSpan w:val="5"/>
            <w:tcBorders>
              <w:tl2br w:val="nil"/>
              <w:tr2bl w:val="nil"/>
            </w:tcBorders>
            <w:shd w:val="clear" w:color="auto" w:fill="auto"/>
            <w:noWrap/>
            <w:vAlign w:val="center"/>
          </w:tcPr>
          <w:p w14:paraId="21298F2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26A943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11385E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0.1</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412</w:t>
            </w:r>
          </w:p>
        </w:tc>
        <w:tc>
          <w:tcPr>
            <w:tcW w:w="531" w:type="pct"/>
            <w:gridSpan w:val="8"/>
            <w:tcBorders>
              <w:tl2br w:val="nil"/>
              <w:tr2bl w:val="nil"/>
            </w:tcBorders>
            <w:shd w:val="clear" w:color="auto" w:fill="auto"/>
            <w:noWrap/>
            <w:vAlign w:val="center"/>
          </w:tcPr>
          <w:p w14:paraId="7F74962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123DC10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49EE49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0.1361</w:t>
            </w:r>
          </w:p>
        </w:tc>
        <w:tc>
          <w:tcPr>
            <w:tcW w:w="535" w:type="pct"/>
            <w:gridSpan w:val="13"/>
            <w:tcBorders>
              <w:tl2br w:val="nil"/>
              <w:tr2bl w:val="nil"/>
            </w:tcBorders>
            <w:shd w:val="clear" w:color="auto" w:fill="auto"/>
            <w:noWrap/>
            <w:vAlign w:val="center"/>
          </w:tcPr>
          <w:p w14:paraId="48A480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651006C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64399A7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24D7357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continue"/>
            <w:tcBorders>
              <w:tl2br w:val="nil"/>
              <w:tr2bl w:val="nil"/>
            </w:tcBorders>
            <w:shd w:val="clear" w:color="auto" w:fill="auto"/>
            <w:noWrap/>
            <w:vAlign w:val="center"/>
          </w:tcPr>
          <w:p w14:paraId="4558998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2"/>
            <w:tcBorders>
              <w:tl2br w:val="nil"/>
              <w:tr2bl w:val="nil"/>
            </w:tcBorders>
            <w:shd w:val="clear" w:color="auto" w:fill="auto"/>
            <w:vAlign w:val="center"/>
          </w:tcPr>
          <w:p w14:paraId="2DAF38D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氨氮</w:t>
            </w:r>
          </w:p>
        </w:tc>
        <w:tc>
          <w:tcPr>
            <w:tcW w:w="565" w:type="pct"/>
            <w:gridSpan w:val="5"/>
            <w:tcBorders>
              <w:tl2br w:val="nil"/>
              <w:tr2bl w:val="nil"/>
            </w:tcBorders>
            <w:shd w:val="clear" w:color="auto" w:fill="auto"/>
            <w:noWrap/>
            <w:vAlign w:val="center"/>
          </w:tcPr>
          <w:p w14:paraId="243B178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49A7A57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2E3957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0.02</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5</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3</w:t>
            </w:r>
          </w:p>
        </w:tc>
        <w:tc>
          <w:tcPr>
            <w:tcW w:w="531" w:type="pct"/>
            <w:gridSpan w:val="8"/>
            <w:tcBorders>
              <w:tl2br w:val="nil"/>
              <w:tr2bl w:val="nil"/>
            </w:tcBorders>
            <w:shd w:val="clear" w:color="auto" w:fill="auto"/>
            <w:noWrap/>
            <w:vAlign w:val="center"/>
          </w:tcPr>
          <w:p w14:paraId="7D0385C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1517EC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5161C6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0.0263</w:t>
            </w:r>
          </w:p>
        </w:tc>
        <w:tc>
          <w:tcPr>
            <w:tcW w:w="535" w:type="pct"/>
            <w:gridSpan w:val="13"/>
            <w:tcBorders>
              <w:tl2br w:val="nil"/>
              <w:tr2bl w:val="nil"/>
            </w:tcBorders>
            <w:shd w:val="clear" w:color="auto" w:fill="auto"/>
            <w:noWrap/>
            <w:vAlign w:val="center"/>
          </w:tcPr>
          <w:p w14:paraId="45F470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4280D3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7815B2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1F5DB49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continue"/>
            <w:tcBorders>
              <w:tl2br w:val="nil"/>
              <w:tr2bl w:val="nil"/>
            </w:tcBorders>
            <w:shd w:val="clear" w:color="auto" w:fill="auto"/>
            <w:noWrap/>
            <w:vAlign w:val="center"/>
          </w:tcPr>
          <w:p w14:paraId="423A2C8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2"/>
            <w:tcBorders>
              <w:tl2br w:val="nil"/>
              <w:tr2bl w:val="nil"/>
            </w:tcBorders>
            <w:shd w:val="clear" w:color="auto" w:fill="auto"/>
            <w:vAlign w:val="center"/>
          </w:tcPr>
          <w:p w14:paraId="139B778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动植物油</w:t>
            </w:r>
          </w:p>
        </w:tc>
        <w:tc>
          <w:tcPr>
            <w:tcW w:w="565" w:type="pct"/>
            <w:gridSpan w:val="5"/>
            <w:tcBorders>
              <w:tl2br w:val="nil"/>
              <w:tr2bl w:val="nil"/>
            </w:tcBorders>
            <w:shd w:val="clear" w:color="auto" w:fill="auto"/>
            <w:noWrap/>
            <w:vAlign w:val="center"/>
          </w:tcPr>
          <w:p w14:paraId="04F7C0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171C077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7F21FAA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0.0</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161</w:t>
            </w:r>
          </w:p>
        </w:tc>
        <w:tc>
          <w:tcPr>
            <w:tcW w:w="531" w:type="pct"/>
            <w:gridSpan w:val="8"/>
            <w:tcBorders>
              <w:tl2br w:val="nil"/>
              <w:tr2bl w:val="nil"/>
            </w:tcBorders>
            <w:shd w:val="clear" w:color="auto" w:fill="auto"/>
            <w:noWrap/>
            <w:vAlign w:val="center"/>
          </w:tcPr>
          <w:p w14:paraId="1012FA6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13B3D14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1EFD74D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0.01044</w:t>
            </w:r>
          </w:p>
        </w:tc>
        <w:tc>
          <w:tcPr>
            <w:tcW w:w="535" w:type="pct"/>
            <w:gridSpan w:val="13"/>
            <w:tcBorders>
              <w:tl2br w:val="nil"/>
              <w:tr2bl w:val="nil"/>
            </w:tcBorders>
            <w:shd w:val="clear" w:color="auto" w:fill="auto"/>
            <w:noWrap/>
            <w:vAlign w:val="center"/>
          </w:tcPr>
          <w:p w14:paraId="295968B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5B269F9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3CAF14B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43E2404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restart"/>
            <w:tcBorders>
              <w:tl2br w:val="nil"/>
              <w:tr2bl w:val="nil"/>
            </w:tcBorders>
            <w:shd w:val="clear" w:color="auto" w:fill="auto"/>
            <w:noWrap/>
            <w:vAlign w:val="center"/>
          </w:tcPr>
          <w:p w14:paraId="2F19AB4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废气</w:t>
            </w:r>
          </w:p>
        </w:tc>
        <w:tc>
          <w:tcPr>
            <w:tcW w:w="428" w:type="pct"/>
            <w:gridSpan w:val="2"/>
            <w:tcBorders>
              <w:tl2br w:val="nil"/>
              <w:tr2bl w:val="nil"/>
            </w:tcBorders>
            <w:shd w:val="clear" w:color="auto" w:fill="auto"/>
            <w:vAlign w:val="center"/>
          </w:tcPr>
          <w:p w14:paraId="0B3F916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废气量</w:t>
            </w: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br w:type="textWrapping"/>
            </w: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（万标立方米/年）</w:t>
            </w:r>
          </w:p>
        </w:tc>
        <w:tc>
          <w:tcPr>
            <w:tcW w:w="565" w:type="pct"/>
            <w:gridSpan w:val="5"/>
            <w:tcBorders>
              <w:tl2br w:val="nil"/>
              <w:tr2bl w:val="nil"/>
            </w:tcBorders>
            <w:shd w:val="clear" w:color="auto" w:fill="auto"/>
            <w:noWrap/>
            <w:vAlign w:val="center"/>
          </w:tcPr>
          <w:p w14:paraId="7037D2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4494E62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101DDD4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14400</w:t>
            </w:r>
          </w:p>
        </w:tc>
        <w:tc>
          <w:tcPr>
            <w:tcW w:w="531" w:type="pct"/>
            <w:gridSpan w:val="8"/>
            <w:tcBorders>
              <w:tl2br w:val="nil"/>
              <w:tr2bl w:val="nil"/>
            </w:tcBorders>
            <w:shd w:val="clear" w:color="auto" w:fill="auto"/>
            <w:noWrap/>
            <w:vAlign w:val="center"/>
          </w:tcPr>
          <w:p w14:paraId="5999E1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71AC34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4DA7097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14400</w:t>
            </w:r>
          </w:p>
        </w:tc>
        <w:tc>
          <w:tcPr>
            <w:tcW w:w="535" w:type="pct"/>
            <w:gridSpan w:val="13"/>
            <w:tcBorders>
              <w:tl2br w:val="nil"/>
              <w:tr2bl w:val="nil"/>
            </w:tcBorders>
            <w:shd w:val="clear" w:color="auto" w:fill="auto"/>
            <w:noWrap/>
            <w:vAlign w:val="center"/>
          </w:tcPr>
          <w:p w14:paraId="5D3DB94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3924F6B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04A6710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03D1214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continue"/>
            <w:tcBorders>
              <w:tl2br w:val="nil"/>
              <w:tr2bl w:val="nil"/>
            </w:tcBorders>
            <w:shd w:val="clear" w:color="auto" w:fill="auto"/>
            <w:noWrap/>
            <w:vAlign w:val="center"/>
          </w:tcPr>
          <w:p w14:paraId="3D0EB5A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2"/>
            <w:tcBorders>
              <w:tl2br w:val="nil"/>
              <w:tr2bl w:val="nil"/>
            </w:tcBorders>
            <w:shd w:val="clear" w:color="auto" w:fill="auto"/>
            <w:vAlign w:val="center"/>
          </w:tcPr>
          <w:p w14:paraId="497A53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sz w:val="21"/>
                <w:szCs w:val="21"/>
                <w:u w:val="none" w:color="auto"/>
                <w:lang w:val="en-US" w:eastAsia="zh-CN"/>
                <w14:textFill>
                  <w14:solidFill>
                    <w14:schemeClr w14:val="tx1"/>
                  </w14:solidFill>
                </w14:textFill>
              </w:rPr>
              <w:t>氨气</w:t>
            </w:r>
          </w:p>
        </w:tc>
        <w:tc>
          <w:tcPr>
            <w:tcW w:w="565" w:type="pct"/>
            <w:gridSpan w:val="5"/>
            <w:tcBorders>
              <w:tl2br w:val="nil"/>
              <w:tr2bl w:val="nil"/>
            </w:tcBorders>
            <w:shd w:val="clear" w:color="auto" w:fill="auto"/>
            <w:noWrap/>
            <w:vAlign w:val="center"/>
          </w:tcPr>
          <w:p w14:paraId="5A6529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7EC6C2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5C3F58F7">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w:t>
            </w: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692501</w:t>
            </w:r>
          </w:p>
        </w:tc>
        <w:tc>
          <w:tcPr>
            <w:tcW w:w="531" w:type="pct"/>
            <w:gridSpan w:val="8"/>
            <w:tcBorders>
              <w:tl2br w:val="nil"/>
              <w:tr2bl w:val="nil"/>
            </w:tcBorders>
            <w:shd w:val="clear" w:color="auto" w:fill="auto"/>
            <w:noWrap/>
            <w:vAlign w:val="center"/>
          </w:tcPr>
          <w:p w14:paraId="055AB4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0C40B09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0056B4B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0.0944638</w:t>
            </w:r>
          </w:p>
        </w:tc>
        <w:tc>
          <w:tcPr>
            <w:tcW w:w="535" w:type="pct"/>
            <w:gridSpan w:val="13"/>
            <w:tcBorders>
              <w:tl2br w:val="nil"/>
              <w:tr2bl w:val="nil"/>
            </w:tcBorders>
            <w:shd w:val="clear" w:color="auto" w:fill="auto"/>
            <w:noWrap/>
            <w:vAlign w:val="center"/>
          </w:tcPr>
          <w:p w14:paraId="54F6A7F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0F58DE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52A8DDD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1931512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continue"/>
            <w:tcBorders>
              <w:tl2br w:val="nil"/>
              <w:tr2bl w:val="nil"/>
            </w:tcBorders>
            <w:shd w:val="clear" w:color="auto" w:fill="auto"/>
            <w:noWrap/>
            <w:vAlign w:val="center"/>
          </w:tcPr>
          <w:p w14:paraId="6DDA28A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2"/>
            <w:tcBorders>
              <w:tl2br w:val="nil"/>
              <w:tr2bl w:val="nil"/>
            </w:tcBorders>
            <w:shd w:val="clear" w:color="auto" w:fill="auto"/>
            <w:vAlign w:val="center"/>
          </w:tcPr>
          <w:p w14:paraId="232827C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硫化氢</w:t>
            </w:r>
          </w:p>
        </w:tc>
        <w:tc>
          <w:tcPr>
            <w:tcW w:w="565" w:type="pct"/>
            <w:gridSpan w:val="5"/>
            <w:tcBorders>
              <w:tl2br w:val="nil"/>
              <w:tr2bl w:val="nil"/>
            </w:tcBorders>
            <w:shd w:val="clear" w:color="auto" w:fill="auto"/>
            <w:noWrap/>
            <w:vAlign w:val="center"/>
          </w:tcPr>
          <w:p w14:paraId="4AC0B4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6349B5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09A396F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0.00</w:t>
            </w: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37524</w:t>
            </w:r>
          </w:p>
        </w:tc>
        <w:tc>
          <w:tcPr>
            <w:tcW w:w="531" w:type="pct"/>
            <w:gridSpan w:val="8"/>
            <w:tcBorders>
              <w:tl2br w:val="nil"/>
              <w:tr2bl w:val="nil"/>
            </w:tcBorders>
            <w:shd w:val="clear" w:color="auto" w:fill="auto"/>
            <w:noWrap/>
            <w:vAlign w:val="center"/>
          </w:tcPr>
          <w:p w14:paraId="3CDDEF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2A81C30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76558FE7">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0.0049681</w:t>
            </w:r>
          </w:p>
        </w:tc>
        <w:tc>
          <w:tcPr>
            <w:tcW w:w="535" w:type="pct"/>
            <w:gridSpan w:val="13"/>
            <w:tcBorders>
              <w:tl2br w:val="nil"/>
              <w:tr2bl w:val="nil"/>
            </w:tcBorders>
            <w:shd w:val="clear" w:color="auto" w:fill="auto"/>
            <w:noWrap/>
            <w:vAlign w:val="center"/>
          </w:tcPr>
          <w:p w14:paraId="1FFD4E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4A8F540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2A4A7C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7" w:type="pct"/>
            <w:vMerge w:val="continue"/>
            <w:tcBorders>
              <w:tl2br w:val="nil"/>
              <w:tr2bl w:val="nil"/>
            </w:tcBorders>
            <w:shd w:val="clear" w:color="auto" w:fill="auto"/>
            <w:vAlign w:val="center"/>
          </w:tcPr>
          <w:p w14:paraId="2D61864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95" w:type="pct"/>
            <w:gridSpan w:val="3"/>
            <w:vMerge w:val="continue"/>
            <w:tcBorders>
              <w:tl2br w:val="nil"/>
              <w:tr2bl w:val="nil"/>
            </w:tcBorders>
            <w:shd w:val="clear" w:color="auto" w:fill="auto"/>
            <w:noWrap/>
            <w:vAlign w:val="center"/>
          </w:tcPr>
          <w:p w14:paraId="4B04E7B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2"/>
            <w:tcBorders>
              <w:tl2br w:val="nil"/>
              <w:tr2bl w:val="nil"/>
            </w:tcBorders>
            <w:shd w:val="clear" w:color="auto" w:fill="auto"/>
            <w:vAlign w:val="center"/>
          </w:tcPr>
          <w:p w14:paraId="797DBDC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21"/>
                <w:szCs w:val="21"/>
                <w:u w:val="none" w:color="auto"/>
                <w:lang w:val="en-US" w:eastAsia="zh-CN" w:bidi="ar"/>
                <w14:textFill>
                  <w14:solidFill>
                    <w14:schemeClr w14:val="tx1"/>
                  </w14:solidFill>
                </w14:textFill>
              </w:rPr>
              <w:t>挥发性有机物（以非甲烷总烃计）</w:t>
            </w:r>
          </w:p>
        </w:tc>
        <w:tc>
          <w:tcPr>
            <w:tcW w:w="565" w:type="pct"/>
            <w:gridSpan w:val="5"/>
            <w:tcBorders>
              <w:tl2br w:val="nil"/>
              <w:tr2bl w:val="nil"/>
            </w:tcBorders>
            <w:shd w:val="clear" w:color="auto" w:fill="auto"/>
            <w:noWrap/>
            <w:vAlign w:val="center"/>
          </w:tcPr>
          <w:p w14:paraId="3EA0EE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65" w:type="pct"/>
            <w:gridSpan w:val="7"/>
            <w:tcBorders>
              <w:tl2br w:val="nil"/>
              <w:tr2bl w:val="nil"/>
            </w:tcBorders>
            <w:shd w:val="clear" w:color="auto" w:fill="auto"/>
            <w:noWrap/>
            <w:vAlign w:val="center"/>
          </w:tcPr>
          <w:p w14:paraId="5B63B2C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84" w:type="pct"/>
            <w:gridSpan w:val="6"/>
            <w:tcBorders>
              <w:tl2br w:val="nil"/>
              <w:tr2bl w:val="nil"/>
            </w:tcBorders>
            <w:shd w:val="clear" w:color="auto" w:fill="auto"/>
            <w:noWrap/>
            <w:vAlign w:val="center"/>
          </w:tcPr>
          <w:p w14:paraId="1E484A2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w:t>
            </w:r>
            <w:r>
              <w:rPr>
                <w:rStyle w:val="145"/>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50176</w:t>
            </w:r>
          </w:p>
        </w:tc>
        <w:tc>
          <w:tcPr>
            <w:tcW w:w="531" w:type="pct"/>
            <w:gridSpan w:val="8"/>
            <w:tcBorders>
              <w:tl2br w:val="nil"/>
              <w:tr2bl w:val="nil"/>
            </w:tcBorders>
            <w:shd w:val="clear" w:color="auto" w:fill="auto"/>
            <w:noWrap/>
            <w:vAlign w:val="center"/>
          </w:tcPr>
          <w:p w14:paraId="391676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2"/>
            <w:tcBorders>
              <w:tl2br w:val="nil"/>
              <w:tr2bl w:val="nil"/>
            </w:tcBorders>
            <w:shd w:val="clear" w:color="auto" w:fill="auto"/>
            <w:vAlign w:val="center"/>
          </w:tcPr>
          <w:p w14:paraId="7FE0119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534" w:type="pct"/>
            <w:gridSpan w:val="11"/>
            <w:tcBorders>
              <w:tl2br w:val="nil"/>
              <w:tr2bl w:val="nil"/>
            </w:tcBorders>
            <w:shd w:val="clear" w:color="auto" w:fill="auto"/>
            <w:vAlign w:val="center"/>
          </w:tcPr>
          <w:p w14:paraId="4768A50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0.6749162</w:t>
            </w:r>
          </w:p>
        </w:tc>
        <w:tc>
          <w:tcPr>
            <w:tcW w:w="535" w:type="pct"/>
            <w:gridSpan w:val="13"/>
            <w:tcBorders>
              <w:tl2br w:val="nil"/>
              <w:tr2bl w:val="nil"/>
            </w:tcBorders>
            <w:shd w:val="clear" w:color="auto" w:fill="auto"/>
            <w:noWrap/>
            <w:vAlign w:val="center"/>
          </w:tcPr>
          <w:p w14:paraId="75C7E4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noWrap/>
            <w:vAlign w:val="center"/>
          </w:tcPr>
          <w:p w14:paraId="0377A1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4B346E0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restart"/>
            <w:tcBorders>
              <w:tl2br w:val="nil"/>
              <w:tr2bl w:val="nil"/>
            </w:tcBorders>
            <w:shd w:val="clear" w:color="auto" w:fill="auto"/>
            <w:vAlign w:val="center"/>
          </w:tcPr>
          <w:p w14:paraId="4BCC8C9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项目涉及法律法规规定的保护区情况</w:t>
            </w:r>
          </w:p>
        </w:tc>
        <w:tc>
          <w:tcPr>
            <w:tcW w:w="653" w:type="pct"/>
            <w:gridSpan w:val="4"/>
            <w:tcBorders>
              <w:tl2br w:val="nil"/>
              <w:tr2bl w:val="nil"/>
            </w:tcBorders>
            <w:shd w:val="clear" w:color="auto" w:fill="auto"/>
            <w:vAlign w:val="top"/>
          </w:tcPr>
          <w:p w14:paraId="72DE631D">
            <w:pPr>
              <w:keepNext w:val="0"/>
              <w:keepLines w:val="0"/>
              <w:widowControl/>
              <w:suppressLineNumbers w:val="0"/>
              <w:jc w:val="right"/>
              <w:textAlignment w:val="top"/>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影响及主要措施</w:t>
            </w:r>
          </w:p>
          <w:p w14:paraId="1F3EF3BD">
            <w:pPr>
              <w:keepNext w:val="0"/>
              <w:keepLines w:val="0"/>
              <w:widowControl/>
              <w:suppressLineNumbers w:val="0"/>
              <w:jc w:val="both"/>
              <w:textAlignment w:val="top"/>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生态保护目标</w:t>
            </w:r>
          </w:p>
        </w:tc>
        <w:tc>
          <w:tcPr>
            <w:tcW w:w="1489" w:type="pct"/>
            <w:gridSpan w:val="16"/>
            <w:tcBorders>
              <w:tl2br w:val="nil"/>
              <w:tr2bl w:val="nil"/>
            </w:tcBorders>
            <w:shd w:val="clear" w:color="auto" w:fill="auto"/>
            <w:noWrap/>
            <w:vAlign w:val="center"/>
          </w:tcPr>
          <w:p w14:paraId="170D560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名称</w:t>
            </w:r>
          </w:p>
        </w:tc>
        <w:tc>
          <w:tcPr>
            <w:tcW w:w="287" w:type="pct"/>
            <w:gridSpan w:val="5"/>
            <w:tcBorders>
              <w:tl2br w:val="nil"/>
              <w:tr2bl w:val="nil"/>
            </w:tcBorders>
            <w:shd w:val="clear" w:color="auto" w:fill="auto"/>
            <w:vAlign w:val="center"/>
          </w:tcPr>
          <w:p w14:paraId="3CCD28E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级别</w:t>
            </w:r>
          </w:p>
        </w:tc>
        <w:tc>
          <w:tcPr>
            <w:tcW w:w="399" w:type="pct"/>
            <w:gridSpan w:val="8"/>
            <w:tcBorders>
              <w:tl2br w:val="nil"/>
              <w:tr2bl w:val="nil"/>
            </w:tcBorders>
            <w:shd w:val="clear" w:color="auto" w:fill="auto"/>
            <w:vAlign w:val="center"/>
          </w:tcPr>
          <w:p w14:paraId="05D5B9A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主要保护对象</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（目标）</w:t>
            </w:r>
          </w:p>
        </w:tc>
        <w:tc>
          <w:tcPr>
            <w:tcW w:w="376" w:type="pct"/>
            <w:gridSpan w:val="6"/>
            <w:tcBorders>
              <w:tl2br w:val="nil"/>
              <w:tr2bl w:val="nil"/>
            </w:tcBorders>
            <w:shd w:val="clear" w:color="auto" w:fill="auto"/>
            <w:vAlign w:val="center"/>
          </w:tcPr>
          <w:p w14:paraId="40E3117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工程影响情况</w:t>
            </w:r>
          </w:p>
        </w:tc>
        <w:tc>
          <w:tcPr>
            <w:tcW w:w="252" w:type="pct"/>
            <w:gridSpan w:val="7"/>
            <w:tcBorders>
              <w:tl2br w:val="nil"/>
              <w:tr2bl w:val="nil"/>
            </w:tcBorders>
            <w:shd w:val="clear" w:color="auto" w:fill="auto"/>
            <w:vAlign w:val="center"/>
          </w:tcPr>
          <w:p w14:paraId="300F8A7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是否占用</w:t>
            </w:r>
          </w:p>
        </w:tc>
        <w:tc>
          <w:tcPr>
            <w:tcW w:w="283" w:type="pct"/>
            <w:gridSpan w:val="4"/>
            <w:tcBorders>
              <w:tl2br w:val="nil"/>
              <w:tr2bl w:val="nil"/>
            </w:tcBorders>
            <w:shd w:val="clear" w:color="auto" w:fill="auto"/>
            <w:vAlign w:val="center"/>
          </w:tcPr>
          <w:p w14:paraId="0B95678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占用面积</w:t>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7"/>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（公顷）</w:t>
            </w:r>
          </w:p>
        </w:tc>
        <w:tc>
          <w:tcPr>
            <w:tcW w:w="964" w:type="pct"/>
            <w:gridSpan w:val="15"/>
            <w:tcBorders>
              <w:tl2br w:val="nil"/>
              <w:tr2bl w:val="nil"/>
            </w:tcBorders>
            <w:shd w:val="clear" w:color="auto" w:fill="auto"/>
            <w:vAlign w:val="center"/>
          </w:tcPr>
          <w:p w14:paraId="6A79C3C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生态防护措施</w:t>
            </w:r>
          </w:p>
        </w:tc>
      </w:tr>
      <w:tr w14:paraId="2D89D3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3B75FC2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53" w:type="pct"/>
            <w:gridSpan w:val="4"/>
            <w:tcBorders>
              <w:tl2br w:val="nil"/>
              <w:tr2bl w:val="nil"/>
            </w:tcBorders>
            <w:shd w:val="clear" w:color="auto" w:fill="auto"/>
            <w:noWrap/>
            <w:vAlign w:val="center"/>
          </w:tcPr>
          <w:p w14:paraId="24A4CDF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生态保护红线</w:t>
            </w:r>
          </w:p>
        </w:tc>
        <w:tc>
          <w:tcPr>
            <w:tcW w:w="1489" w:type="pct"/>
            <w:gridSpan w:val="16"/>
            <w:tcBorders>
              <w:tl2br w:val="nil"/>
              <w:tr2bl w:val="nil"/>
            </w:tcBorders>
            <w:shd w:val="clear" w:color="auto" w:fill="auto"/>
            <w:noWrap/>
            <w:vAlign w:val="center"/>
          </w:tcPr>
          <w:p w14:paraId="0564E9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87" w:type="pct"/>
            <w:gridSpan w:val="5"/>
            <w:tcBorders>
              <w:tl2br w:val="nil"/>
              <w:tr2bl w:val="nil"/>
            </w:tcBorders>
            <w:shd w:val="clear" w:color="auto" w:fill="auto"/>
            <w:noWrap/>
            <w:vAlign w:val="center"/>
          </w:tcPr>
          <w:p w14:paraId="2F24CC8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99" w:type="pct"/>
            <w:gridSpan w:val="8"/>
            <w:tcBorders>
              <w:tl2br w:val="nil"/>
              <w:tr2bl w:val="nil"/>
            </w:tcBorders>
            <w:shd w:val="clear" w:color="auto" w:fill="auto"/>
            <w:noWrap/>
            <w:vAlign w:val="center"/>
          </w:tcPr>
          <w:p w14:paraId="6C615D9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76" w:type="pct"/>
            <w:gridSpan w:val="6"/>
            <w:tcBorders>
              <w:tl2br w:val="nil"/>
              <w:tr2bl w:val="nil"/>
            </w:tcBorders>
            <w:shd w:val="clear" w:color="auto" w:fill="auto"/>
            <w:noWrap/>
            <w:vAlign w:val="center"/>
          </w:tcPr>
          <w:p w14:paraId="2B2BE8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2" w:type="pct"/>
            <w:gridSpan w:val="7"/>
            <w:tcBorders>
              <w:tl2br w:val="nil"/>
              <w:tr2bl w:val="nil"/>
            </w:tcBorders>
            <w:shd w:val="clear" w:color="auto" w:fill="auto"/>
            <w:noWrap/>
            <w:vAlign w:val="center"/>
          </w:tcPr>
          <w:p w14:paraId="7058D50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否</w:t>
            </w:r>
          </w:p>
        </w:tc>
        <w:tc>
          <w:tcPr>
            <w:tcW w:w="283" w:type="pct"/>
            <w:gridSpan w:val="4"/>
            <w:tcBorders>
              <w:tl2br w:val="nil"/>
              <w:tr2bl w:val="nil"/>
            </w:tcBorders>
            <w:shd w:val="clear" w:color="auto" w:fill="auto"/>
            <w:noWrap/>
            <w:vAlign w:val="center"/>
          </w:tcPr>
          <w:p w14:paraId="2357301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964" w:type="pct"/>
            <w:gridSpan w:val="15"/>
            <w:tcBorders>
              <w:tl2br w:val="nil"/>
              <w:tr2bl w:val="nil"/>
            </w:tcBorders>
            <w:shd w:val="clear" w:color="auto" w:fill="auto"/>
            <w:noWrap/>
            <w:vAlign w:val="center"/>
          </w:tcPr>
          <w:p w14:paraId="75429B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避让；</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减缓；</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补偿；</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重建（多选）</w:t>
            </w:r>
          </w:p>
        </w:tc>
      </w:tr>
      <w:tr w14:paraId="584675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0B0F13A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53" w:type="pct"/>
            <w:gridSpan w:val="4"/>
            <w:tcBorders>
              <w:tl2br w:val="nil"/>
              <w:tr2bl w:val="nil"/>
            </w:tcBorders>
            <w:shd w:val="clear" w:color="auto" w:fill="auto"/>
            <w:noWrap/>
            <w:vAlign w:val="center"/>
          </w:tcPr>
          <w:p w14:paraId="78797E4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自然保护区</w:t>
            </w:r>
          </w:p>
        </w:tc>
        <w:tc>
          <w:tcPr>
            <w:tcW w:w="1489" w:type="pct"/>
            <w:gridSpan w:val="16"/>
            <w:tcBorders>
              <w:tl2br w:val="nil"/>
              <w:tr2bl w:val="nil"/>
            </w:tcBorders>
            <w:shd w:val="clear" w:color="auto" w:fill="auto"/>
            <w:noWrap/>
            <w:vAlign w:val="center"/>
          </w:tcPr>
          <w:p w14:paraId="1579C32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汩罗江平江段斑鳜黄颡鱼国家级水产种质资源保护区</w:t>
            </w:r>
          </w:p>
        </w:tc>
        <w:tc>
          <w:tcPr>
            <w:tcW w:w="287" w:type="pct"/>
            <w:gridSpan w:val="5"/>
            <w:tcBorders>
              <w:tl2br w:val="nil"/>
              <w:tr2bl w:val="nil"/>
            </w:tcBorders>
            <w:shd w:val="clear" w:color="auto" w:fill="auto"/>
            <w:noWrap/>
            <w:vAlign w:val="center"/>
          </w:tcPr>
          <w:p w14:paraId="69B86C3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二级</w:t>
            </w:r>
          </w:p>
        </w:tc>
        <w:tc>
          <w:tcPr>
            <w:tcW w:w="399" w:type="pct"/>
            <w:gridSpan w:val="8"/>
            <w:tcBorders>
              <w:tl2br w:val="nil"/>
              <w:tr2bl w:val="nil"/>
            </w:tcBorders>
            <w:shd w:val="clear" w:color="auto" w:fill="auto"/>
            <w:noWrap/>
            <w:vAlign w:val="center"/>
          </w:tcPr>
          <w:p w14:paraId="482708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76" w:type="pct"/>
            <w:gridSpan w:val="6"/>
            <w:tcBorders>
              <w:tl2br w:val="nil"/>
              <w:tr2bl w:val="nil"/>
            </w:tcBorders>
            <w:shd w:val="clear" w:color="auto" w:fill="auto"/>
            <w:vAlign w:val="center"/>
          </w:tcPr>
          <w:p w14:paraId="5ADBC0F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2" w:type="pct"/>
            <w:gridSpan w:val="7"/>
            <w:tcBorders>
              <w:tl2br w:val="nil"/>
              <w:tr2bl w:val="nil"/>
            </w:tcBorders>
            <w:shd w:val="clear" w:color="auto" w:fill="auto"/>
            <w:noWrap/>
            <w:vAlign w:val="center"/>
          </w:tcPr>
          <w:p w14:paraId="611172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否</w:t>
            </w:r>
          </w:p>
        </w:tc>
        <w:tc>
          <w:tcPr>
            <w:tcW w:w="283" w:type="pct"/>
            <w:gridSpan w:val="4"/>
            <w:tcBorders>
              <w:tl2br w:val="nil"/>
              <w:tr2bl w:val="nil"/>
            </w:tcBorders>
            <w:shd w:val="clear" w:color="auto" w:fill="auto"/>
            <w:noWrap/>
            <w:vAlign w:val="center"/>
          </w:tcPr>
          <w:p w14:paraId="74F5BEA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964" w:type="pct"/>
            <w:gridSpan w:val="15"/>
            <w:tcBorders>
              <w:tl2br w:val="nil"/>
              <w:tr2bl w:val="nil"/>
            </w:tcBorders>
            <w:shd w:val="clear" w:color="auto" w:fill="auto"/>
            <w:noWrap/>
            <w:vAlign w:val="center"/>
          </w:tcPr>
          <w:p w14:paraId="690837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避让；</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减缓；</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补偿；</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重建（多选）</w:t>
            </w:r>
          </w:p>
        </w:tc>
      </w:tr>
      <w:tr w14:paraId="08D9DB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2BA6A7B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53" w:type="pct"/>
            <w:gridSpan w:val="4"/>
            <w:tcBorders>
              <w:tl2br w:val="nil"/>
              <w:tr2bl w:val="nil"/>
            </w:tcBorders>
            <w:shd w:val="clear" w:color="auto" w:fill="auto"/>
            <w:noWrap/>
            <w:vAlign w:val="center"/>
          </w:tcPr>
          <w:p w14:paraId="6C6AC48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饮用水水源保护区（地表）</w:t>
            </w:r>
          </w:p>
        </w:tc>
        <w:tc>
          <w:tcPr>
            <w:tcW w:w="1489" w:type="pct"/>
            <w:gridSpan w:val="16"/>
            <w:tcBorders>
              <w:tl2br w:val="nil"/>
              <w:tr2bl w:val="nil"/>
            </w:tcBorders>
            <w:shd w:val="clear" w:color="auto" w:fill="auto"/>
            <w:noWrap/>
            <w:vAlign w:val="center"/>
          </w:tcPr>
          <w:p w14:paraId="496C926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岳阳市汨罗市新市自来水厂汨罗江饮用水水源保护区（应急备用水源）</w:t>
            </w:r>
          </w:p>
        </w:tc>
        <w:tc>
          <w:tcPr>
            <w:tcW w:w="287" w:type="pct"/>
            <w:gridSpan w:val="5"/>
            <w:tcBorders>
              <w:tl2br w:val="nil"/>
              <w:tr2bl w:val="nil"/>
            </w:tcBorders>
            <w:shd w:val="clear" w:color="auto" w:fill="auto"/>
            <w:noWrap/>
            <w:vAlign w:val="center"/>
          </w:tcPr>
          <w:p w14:paraId="61E808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一级</w:t>
            </w:r>
          </w:p>
        </w:tc>
        <w:tc>
          <w:tcPr>
            <w:tcW w:w="399" w:type="pct"/>
            <w:gridSpan w:val="8"/>
            <w:tcBorders>
              <w:tl2br w:val="nil"/>
              <w:tr2bl w:val="nil"/>
            </w:tcBorders>
            <w:shd w:val="clear" w:color="auto" w:fill="auto"/>
            <w:noWrap/>
            <w:vAlign w:val="center"/>
          </w:tcPr>
          <w:p w14:paraId="3DC58F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76" w:type="pct"/>
            <w:gridSpan w:val="6"/>
            <w:tcBorders>
              <w:tl2br w:val="nil"/>
              <w:tr2bl w:val="nil"/>
            </w:tcBorders>
            <w:shd w:val="clear" w:color="auto" w:fill="auto"/>
            <w:vAlign w:val="center"/>
          </w:tcPr>
          <w:p w14:paraId="7E0E6E2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2" w:type="pct"/>
            <w:gridSpan w:val="7"/>
            <w:tcBorders>
              <w:tl2br w:val="nil"/>
              <w:tr2bl w:val="nil"/>
            </w:tcBorders>
            <w:shd w:val="clear" w:color="auto" w:fill="auto"/>
            <w:noWrap/>
            <w:vAlign w:val="center"/>
          </w:tcPr>
          <w:p w14:paraId="2F497B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否</w:t>
            </w:r>
          </w:p>
        </w:tc>
        <w:tc>
          <w:tcPr>
            <w:tcW w:w="283" w:type="pct"/>
            <w:gridSpan w:val="4"/>
            <w:tcBorders>
              <w:tl2br w:val="nil"/>
              <w:tr2bl w:val="nil"/>
            </w:tcBorders>
            <w:shd w:val="clear" w:color="auto" w:fill="auto"/>
            <w:noWrap/>
            <w:vAlign w:val="center"/>
          </w:tcPr>
          <w:p w14:paraId="675558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964" w:type="pct"/>
            <w:gridSpan w:val="15"/>
            <w:tcBorders>
              <w:tl2br w:val="nil"/>
              <w:tr2bl w:val="nil"/>
            </w:tcBorders>
            <w:shd w:val="clear" w:color="auto" w:fill="auto"/>
            <w:noWrap/>
            <w:vAlign w:val="center"/>
          </w:tcPr>
          <w:p w14:paraId="106931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避让；</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减缓；</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补偿；</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重建（多选）</w:t>
            </w:r>
          </w:p>
        </w:tc>
      </w:tr>
      <w:tr w14:paraId="2F00BE0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257B9D5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53" w:type="pct"/>
            <w:gridSpan w:val="4"/>
            <w:tcBorders>
              <w:tl2br w:val="nil"/>
              <w:tr2bl w:val="nil"/>
            </w:tcBorders>
            <w:shd w:val="clear" w:color="auto" w:fill="auto"/>
            <w:noWrap/>
            <w:vAlign w:val="center"/>
          </w:tcPr>
          <w:p w14:paraId="1D6700E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饮用水水源保护区（地下）</w:t>
            </w:r>
          </w:p>
        </w:tc>
        <w:tc>
          <w:tcPr>
            <w:tcW w:w="1489" w:type="pct"/>
            <w:gridSpan w:val="16"/>
            <w:tcBorders>
              <w:tl2br w:val="nil"/>
              <w:tr2bl w:val="nil"/>
            </w:tcBorders>
            <w:shd w:val="clear" w:color="auto" w:fill="auto"/>
            <w:noWrap/>
            <w:vAlign w:val="center"/>
          </w:tcPr>
          <w:p w14:paraId="72AFD36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87" w:type="pct"/>
            <w:gridSpan w:val="5"/>
            <w:tcBorders>
              <w:tl2br w:val="nil"/>
              <w:tr2bl w:val="nil"/>
            </w:tcBorders>
            <w:shd w:val="clear" w:color="auto" w:fill="auto"/>
            <w:noWrap/>
            <w:vAlign w:val="center"/>
          </w:tcPr>
          <w:p w14:paraId="3ED00CE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99" w:type="pct"/>
            <w:gridSpan w:val="8"/>
            <w:tcBorders>
              <w:tl2br w:val="nil"/>
              <w:tr2bl w:val="nil"/>
            </w:tcBorders>
            <w:shd w:val="clear" w:color="auto" w:fill="auto"/>
            <w:noWrap/>
            <w:vAlign w:val="center"/>
          </w:tcPr>
          <w:p w14:paraId="4B67DE9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76" w:type="pct"/>
            <w:gridSpan w:val="6"/>
            <w:tcBorders>
              <w:tl2br w:val="nil"/>
              <w:tr2bl w:val="nil"/>
            </w:tcBorders>
            <w:shd w:val="clear" w:color="auto" w:fill="auto"/>
            <w:vAlign w:val="center"/>
          </w:tcPr>
          <w:p w14:paraId="1032638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2" w:type="pct"/>
            <w:gridSpan w:val="7"/>
            <w:tcBorders>
              <w:tl2br w:val="nil"/>
              <w:tr2bl w:val="nil"/>
            </w:tcBorders>
            <w:shd w:val="clear" w:color="auto" w:fill="auto"/>
            <w:noWrap/>
            <w:vAlign w:val="center"/>
          </w:tcPr>
          <w:p w14:paraId="260A455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否</w:t>
            </w:r>
          </w:p>
        </w:tc>
        <w:tc>
          <w:tcPr>
            <w:tcW w:w="283" w:type="pct"/>
            <w:gridSpan w:val="4"/>
            <w:tcBorders>
              <w:tl2br w:val="nil"/>
              <w:tr2bl w:val="nil"/>
            </w:tcBorders>
            <w:shd w:val="clear" w:color="auto" w:fill="auto"/>
            <w:noWrap/>
            <w:vAlign w:val="center"/>
          </w:tcPr>
          <w:p w14:paraId="2B76CFB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964" w:type="pct"/>
            <w:gridSpan w:val="15"/>
            <w:tcBorders>
              <w:tl2br w:val="nil"/>
              <w:tr2bl w:val="nil"/>
            </w:tcBorders>
            <w:shd w:val="clear" w:color="auto" w:fill="auto"/>
            <w:noWrap/>
            <w:vAlign w:val="center"/>
          </w:tcPr>
          <w:p w14:paraId="7CC618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避让；</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减缓；</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补偿；</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重建（多选）</w:t>
            </w:r>
          </w:p>
        </w:tc>
      </w:tr>
      <w:tr w14:paraId="653CA6F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02A5DCF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53" w:type="pct"/>
            <w:gridSpan w:val="4"/>
            <w:tcBorders>
              <w:tl2br w:val="nil"/>
              <w:tr2bl w:val="nil"/>
            </w:tcBorders>
            <w:shd w:val="clear" w:color="auto" w:fill="auto"/>
            <w:noWrap/>
            <w:vAlign w:val="center"/>
          </w:tcPr>
          <w:p w14:paraId="2BC2D1F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风景名胜区</w:t>
            </w:r>
          </w:p>
        </w:tc>
        <w:tc>
          <w:tcPr>
            <w:tcW w:w="1489" w:type="pct"/>
            <w:gridSpan w:val="16"/>
            <w:tcBorders>
              <w:tl2br w:val="nil"/>
              <w:tr2bl w:val="nil"/>
            </w:tcBorders>
            <w:shd w:val="clear" w:color="auto" w:fill="auto"/>
            <w:noWrap/>
            <w:vAlign w:val="center"/>
          </w:tcPr>
          <w:p w14:paraId="033B4A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87" w:type="pct"/>
            <w:gridSpan w:val="5"/>
            <w:tcBorders>
              <w:tl2br w:val="nil"/>
              <w:tr2bl w:val="nil"/>
            </w:tcBorders>
            <w:shd w:val="clear" w:color="auto" w:fill="auto"/>
            <w:noWrap/>
            <w:vAlign w:val="center"/>
          </w:tcPr>
          <w:p w14:paraId="4776503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99" w:type="pct"/>
            <w:gridSpan w:val="8"/>
            <w:tcBorders>
              <w:tl2br w:val="nil"/>
              <w:tr2bl w:val="nil"/>
            </w:tcBorders>
            <w:shd w:val="clear" w:color="auto" w:fill="auto"/>
            <w:noWrap/>
            <w:vAlign w:val="center"/>
          </w:tcPr>
          <w:p w14:paraId="49057CE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76" w:type="pct"/>
            <w:gridSpan w:val="6"/>
            <w:tcBorders>
              <w:tl2br w:val="nil"/>
              <w:tr2bl w:val="nil"/>
            </w:tcBorders>
            <w:shd w:val="clear" w:color="auto" w:fill="auto"/>
            <w:noWrap/>
            <w:vAlign w:val="center"/>
          </w:tcPr>
          <w:p w14:paraId="78998D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2" w:type="pct"/>
            <w:gridSpan w:val="7"/>
            <w:tcBorders>
              <w:tl2br w:val="nil"/>
              <w:tr2bl w:val="nil"/>
            </w:tcBorders>
            <w:shd w:val="clear" w:color="auto" w:fill="auto"/>
            <w:noWrap/>
            <w:vAlign w:val="center"/>
          </w:tcPr>
          <w:p w14:paraId="5BE9DF8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否</w:t>
            </w:r>
          </w:p>
        </w:tc>
        <w:tc>
          <w:tcPr>
            <w:tcW w:w="283" w:type="pct"/>
            <w:gridSpan w:val="4"/>
            <w:tcBorders>
              <w:tl2br w:val="nil"/>
              <w:tr2bl w:val="nil"/>
            </w:tcBorders>
            <w:shd w:val="clear" w:color="auto" w:fill="auto"/>
            <w:noWrap/>
            <w:vAlign w:val="center"/>
          </w:tcPr>
          <w:p w14:paraId="77ACA74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964" w:type="pct"/>
            <w:gridSpan w:val="15"/>
            <w:tcBorders>
              <w:tl2br w:val="nil"/>
              <w:tr2bl w:val="nil"/>
            </w:tcBorders>
            <w:shd w:val="clear" w:color="auto" w:fill="auto"/>
            <w:noWrap/>
            <w:vAlign w:val="center"/>
          </w:tcPr>
          <w:p w14:paraId="3580E1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避让；</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减缓；</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补偿；</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重建（多选）</w:t>
            </w:r>
          </w:p>
        </w:tc>
      </w:tr>
      <w:tr w14:paraId="07B5AC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6E9441A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53" w:type="pct"/>
            <w:gridSpan w:val="4"/>
            <w:tcBorders>
              <w:tl2br w:val="nil"/>
              <w:tr2bl w:val="nil"/>
            </w:tcBorders>
            <w:shd w:val="clear" w:color="auto" w:fill="auto"/>
            <w:noWrap/>
            <w:vAlign w:val="center"/>
          </w:tcPr>
          <w:p w14:paraId="7BEEDB6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其他</w:t>
            </w:r>
          </w:p>
        </w:tc>
        <w:tc>
          <w:tcPr>
            <w:tcW w:w="1489" w:type="pct"/>
            <w:gridSpan w:val="16"/>
            <w:tcBorders>
              <w:tl2br w:val="nil"/>
              <w:tr2bl w:val="nil"/>
            </w:tcBorders>
            <w:shd w:val="clear" w:color="auto" w:fill="auto"/>
            <w:noWrap/>
            <w:vAlign w:val="center"/>
          </w:tcPr>
          <w:p w14:paraId="49EAC9A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87" w:type="pct"/>
            <w:gridSpan w:val="5"/>
            <w:tcBorders>
              <w:tl2br w:val="nil"/>
              <w:tr2bl w:val="nil"/>
            </w:tcBorders>
            <w:shd w:val="clear" w:color="auto" w:fill="auto"/>
            <w:noWrap/>
            <w:vAlign w:val="center"/>
          </w:tcPr>
          <w:p w14:paraId="616A8D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99" w:type="pct"/>
            <w:gridSpan w:val="8"/>
            <w:tcBorders>
              <w:tl2br w:val="nil"/>
              <w:tr2bl w:val="nil"/>
            </w:tcBorders>
            <w:shd w:val="clear" w:color="auto" w:fill="auto"/>
            <w:noWrap/>
            <w:vAlign w:val="center"/>
          </w:tcPr>
          <w:p w14:paraId="318ABED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376" w:type="pct"/>
            <w:gridSpan w:val="6"/>
            <w:tcBorders>
              <w:tl2br w:val="nil"/>
              <w:tr2bl w:val="nil"/>
            </w:tcBorders>
            <w:shd w:val="clear" w:color="auto" w:fill="auto"/>
            <w:noWrap/>
            <w:vAlign w:val="center"/>
          </w:tcPr>
          <w:p w14:paraId="5DDA823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2" w:type="pct"/>
            <w:gridSpan w:val="7"/>
            <w:tcBorders>
              <w:tl2br w:val="nil"/>
              <w:tr2bl w:val="nil"/>
            </w:tcBorders>
            <w:shd w:val="clear" w:color="auto" w:fill="auto"/>
            <w:noWrap/>
            <w:vAlign w:val="center"/>
          </w:tcPr>
          <w:p w14:paraId="6F5D2A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否</w:t>
            </w:r>
          </w:p>
        </w:tc>
        <w:tc>
          <w:tcPr>
            <w:tcW w:w="283" w:type="pct"/>
            <w:gridSpan w:val="4"/>
            <w:tcBorders>
              <w:tl2br w:val="nil"/>
              <w:tr2bl w:val="nil"/>
            </w:tcBorders>
            <w:shd w:val="clear" w:color="auto" w:fill="auto"/>
            <w:noWrap/>
            <w:vAlign w:val="center"/>
          </w:tcPr>
          <w:p w14:paraId="43AE38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964" w:type="pct"/>
            <w:gridSpan w:val="15"/>
            <w:tcBorders>
              <w:tl2br w:val="nil"/>
              <w:tr2bl w:val="nil"/>
            </w:tcBorders>
            <w:shd w:val="clear" w:color="auto" w:fill="auto"/>
            <w:noWrap/>
            <w:vAlign w:val="center"/>
          </w:tcPr>
          <w:p w14:paraId="679A6A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避让；</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减缓；</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补偿；</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sym w:font="Wingdings" w:char="00A8"/>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重建（多选）</w:t>
            </w:r>
          </w:p>
        </w:tc>
      </w:tr>
      <w:tr w14:paraId="2F8D18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restart"/>
            <w:tcBorders>
              <w:tl2br w:val="nil"/>
              <w:tr2bl w:val="nil"/>
            </w:tcBorders>
            <w:shd w:val="clear" w:color="auto" w:fill="auto"/>
            <w:vAlign w:val="center"/>
          </w:tcPr>
          <w:p w14:paraId="153F483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主要原料及燃料信息</w:t>
            </w:r>
          </w:p>
        </w:tc>
        <w:tc>
          <w:tcPr>
            <w:tcW w:w="2142" w:type="pct"/>
            <w:gridSpan w:val="20"/>
            <w:tcBorders>
              <w:tl2br w:val="nil"/>
              <w:tr2bl w:val="nil"/>
            </w:tcBorders>
            <w:shd w:val="clear" w:color="auto" w:fill="auto"/>
            <w:vAlign w:val="center"/>
          </w:tcPr>
          <w:p w14:paraId="00F09F8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主要原料</w:t>
            </w:r>
          </w:p>
        </w:tc>
        <w:tc>
          <w:tcPr>
            <w:tcW w:w="2564" w:type="pct"/>
            <w:gridSpan w:val="45"/>
            <w:tcBorders>
              <w:tl2br w:val="nil"/>
              <w:tr2bl w:val="nil"/>
            </w:tcBorders>
            <w:shd w:val="clear" w:color="auto" w:fill="auto"/>
            <w:vAlign w:val="center"/>
          </w:tcPr>
          <w:p w14:paraId="3C33B0B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主要燃料</w:t>
            </w:r>
          </w:p>
        </w:tc>
      </w:tr>
      <w:tr w14:paraId="1CAE8C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6996A77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45719E0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w:t>
            </w:r>
          </w:p>
        </w:tc>
        <w:tc>
          <w:tcPr>
            <w:tcW w:w="634" w:type="pct"/>
            <w:gridSpan w:val="4"/>
            <w:tcBorders>
              <w:tl2br w:val="nil"/>
              <w:tr2bl w:val="nil"/>
            </w:tcBorders>
            <w:shd w:val="clear" w:color="auto" w:fill="auto"/>
            <w:vAlign w:val="center"/>
          </w:tcPr>
          <w:p w14:paraId="1064BAB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名称</w:t>
            </w:r>
          </w:p>
        </w:tc>
        <w:tc>
          <w:tcPr>
            <w:tcW w:w="423" w:type="pct"/>
            <w:gridSpan w:val="5"/>
            <w:tcBorders>
              <w:tl2br w:val="nil"/>
              <w:tr2bl w:val="nil"/>
            </w:tcBorders>
            <w:shd w:val="clear" w:color="auto" w:fill="auto"/>
            <w:vAlign w:val="center"/>
          </w:tcPr>
          <w:p w14:paraId="3415187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年最大使用量</w:t>
            </w:r>
          </w:p>
        </w:tc>
        <w:tc>
          <w:tcPr>
            <w:tcW w:w="428" w:type="pct"/>
            <w:gridSpan w:val="5"/>
            <w:tcBorders>
              <w:tl2br w:val="nil"/>
              <w:tr2bl w:val="nil"/>
            </w:tcBorders>
            <w:shd w:val="clear" w:color="auto" w:fill="auto"/>
            <w:vAlign w:val="center"/>
          </w:tcPr>
          <w:p w14:paraId="3DD2DE8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计量单位</w:t>
            </w:r>
          </w:p>
        </w:tc>
        <w:tc>
          <w:tcPr>
            <w:tcW w:w="448" w:type="pct"/>
            <w:gridSpan w:val="5"/>
            <w:tcBorders>
              <w:tl2br w:val="nil"/>
              <w:tr2bl w:val="nil"/>
            </w:tcBorders>
            <w:shd w:val="clear" w:color="auto" w:fill="auto"/>
            <w:vAlign w:val="center"/>
          </w:tcPr>
          <w:p w14:paraId="7B20B22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有毒有害物质及含量（</w:t>
            </w:r>
            <w:r>
              <w:rPr>
                <w:rStyle w:val="159"/>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p>
        </w:tc>
        <w:tc>
          <w:tcPr>
            <w:tcW w:w="205" w:type="pct"/>
            <w:gridSpan w:val="4"/>
            <w:tcBorders>
              <w:tl2br w:val="nil"/>
              <w:tr2bl w:val="nil"/>
            </w:tcBorders>
            <w:shd w:val="clear" w:color="auto" w:fill="auto"/>
            <w:vAlign w:val="center"/>
          </w:tcPr>
          <w:p w14:paraId="5F23511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w:t>
            </w:r>
          </w:p>
        </w:tc>
        <w:tc>
          <w:tcPr>
            <w:tcW w:w="634" w:type="pct"/>
            <w:gridSpan w:val="11"/>
            <w:tcBorders>
              <w:tl2br w:val="nil"/>
              <w:tr2bl w:val="nil"/>
            </w:tcBorders>
            <w:shd w:val="clear" w:color="auto" w:fill="auto"/>
            <w:vAlign w:val="center"/>
          </w:tcPr>
          <w:p w14:paraId="4A4C190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名称</w:t>
            </w:r>
          </w:p>
        </w:tc>
        <w:tc>
          <w:tcPr>
            <w:tcW w:w="428" w:type="pct"/>
            <w:gridSpan w:val="9"/>
            <w:tcBorders>
              <w:tl2br w:val="nil"/>
              <w:tr2bl w:val="nil"/>
            </w:tcBorders>
            <w:shd w:val="clear" w:color="auto" w:fill="auto"/>
            <w:vAlign w:val="center"/>
          </w:tcPr>
          <w:p w14:paraId="1EEE07B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灰分</w:t>
            </w:r>
            <w:r>
              <w:rPr>
                <w:rStyle w:val="159"/>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Style w:val="159"/>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Style w:val="159"/>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427" w:type="pct"/>
            <w:gridSpan w:val="10"/>
            <w:tcBorders>
              <w:tl2br w:val="nil"/>
              <w:tr2bl w:val="nil"/>
            </w:tcBorders>
            <w:shd w:val="clear" w:color="auto" w:fill="auto"/>
            <w:vAlign w:val="center"/>
          </w:tcPr>
          <w:p w14:paraId="020409B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硫分</w:t>
            </w:r>
            <w:r>
              <w:rPr>
                <w:rStyle w:val="159"/>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Style w:val="159"/>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Style w:val="159"/>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428" w:type="pct"/>
            <w:gridSpan w:val="7"/>
            <w:tcBorders>
              <w:tl2br w:val="nil"/>
              <w:tr2bl w:val="nil"/>
            </w:tcBorders>
            <w:shd w:val="clear" w:color="auto" w:fill="auto"/>
            <w:vAlign w:val="center"/>
          </w:tcPr>
          <w:p w14:paraId="0C21055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年最大使用量</w:t>
            </w:r>
          </w:p>
        </w:tc>
        <w:tc>
          <w:tcPr>
            <w:tcW w:w="441" w:type="pct"/>
            <w:gridSpan w:val="4"/>
            <w:tcBorders>
              <w:tl2br w:val="nil"/>
              <w:tr2bl w:val="nil"/>
            </w:tcBorders>
            <w:shd w:val="clear" w:color="auto" w:fill="auto"/>
            <w:vAlign w:val="center"/>
          </w:tcPr>
          <w:p w14:paraId="4D2232A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计量单位</w:t>
            </w:r>
          </w:p>
        </w:tc>
      </w:tr>
      <w:tr w14:paraId="1A6710D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42DAC95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49F46A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w:t>
            </w:r>
          </w:p>
        </w:tc>
        <w:tc>
          <w:tcPr>
            <w:tcW w:w="634" w:type="pct"/>
            <w:gridSpan w:val="4"/>
            <w:tcBorders>
              <w:tl2br w:val="nil"/>
              <w:tr2bl w:val="nil"/>
            </w:tcBorders>
            <w:shd w:val="clear" w:color="auto" w:fill="auto"/>
            <w:vAlign w:val="center"/>
          </w:tcPr>
          <w:p w14:paraId="64DB6B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隔油池浮渣</w:t>
            </w:r>
          </w:p>
        </w:tc>
        <w:tc>
          <w:tcPr>
            <w:tcW w:w="423" w:type="pct"/>
            <w:gridSpan w:val="5"/>
            <w:tcBorders>
              <w:tl2br w:val="nil"/>
              <w:tr2bl w:val="nil"/>
            </w:tcBorders>
            <w:shd w:val="clear" w:color="auto" w:fill="auto"/>
            <w:vAlign w:val="center"/>
          </w:tcPr>
          <w:p w14:paraId="1EA441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4194</w:t>
            </w:r>
          </w:p>
        </w:tc>
        <w:tc>
          <w:tcPr>
            <w:tcW w:w="428" w:type="pct"/>
            <w:gridSpan w:val="5"/>
            <w:tcBorders>
              <w:tl2br w:val="nil"/>
              <w:tr2bl w:val="nil"/>
            </w:tcBorders>
            <w:shd w:val="clear" w:color="auto" w:fill="auto"/>
            <w:vAlign w:val="center"/>
          </w:tcPr>
          <w:p w14:paraId="771CA4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t/a</w:t>
            </w:r>
          </w:p>
        </w:tc>
        <w:tc>
          <w:tcPr>
            <w:tcW w:w="448" w:type="pct"/>
            <w:gridSpan w:val="5"/>
            <w:tcBorders>
              <w:tl2br w:val="nil"/>
              <w:tr2bl w:val="nil"/>
            </w:tcBorders>
            <w:shd w:val="clear" w:color="auto" w:fill="auto"/>
            <w:vAlign w:val="center"/>
          </w:tcPr>
          <w:p w14:paraId="0FB366B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w:t>
            </w:r>
          </w:p>
        </w:tc>
        <w:tc>
          <w:tcPr>
            <w:tcW w:w="205" w:type="pct"/>
            <w:gridSpan w:val="4"/>
            <w:tcBorders>
              <w:tl2br w:val="nil"/>
              <w:tr2bl w:val="nil"/>
            </w:tcBorders>
            <w:shd w:val="clear" w:color="auto" w:fill="auto"/>
            <w:vAlign w:val="center"/>
          </w:tcPr>
          <w:p w14:paraId="37A8BA7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w:t>
            </w:r>
          </w:p>
        </w:tc>
        <w:tc>
          <w:tcPr>
            <w:tcW w:w="634" w:type="pct"/>
            <w:gridSpan w:val="11"/>
            <w:tcBorders>
              <w:tl2br w:val="nil"/>
              <w:tr2bl w:val="nil"/>
            </w:tcBorders>
            <w:shd w:val="clear" w:color="auto" w:fill="auto"/>
            <w:vAlign w:val="center"/>
          </w:tcPr>
          <w:p w14:paraId="00CE99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电</w:t>
            </w:r>
          </w:p>
        </w:tc>
        <w:tc>
          <w:tcPr>
            <w:tcW w:w="428" w:type="pct"/>
            <w:gridSpan w:val="9"/>
            <w:tcBorders>
              <w:tl2br w:val="nil"/>
              <w:tr2bl w:val="nil"/>
            </w:tcBorders>
            <w:shd w:val="clear" w:color="auto" w:fill="auto"/>
            <w:vAlign w:val="center"/>
          </w:tcPr>
          <w:p w14:paraId="226A1FA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7" w:type="pct"/>
            <w:gridSpan w:val="10"/>
            <w:tcBorders>
              <w:tl2br w:val="nil"/>
              <w:tr2bl w:val="nil"/>
            </w:tcBorders>
            <w:shd w:val="clear" w:color="auto" w:fill="auto"/>
            <w:vAlign w:val="center"/>
          </w:tcPr>
          <w:p w14:paraId="34FADE5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gridSpan w:val="7"/>
            <w:tcBorders>
              <w:tl2br w:val="nil"/>
              <w:tr2bl w:val="nil"/>
            </w:tcBorders>
            <w:shd w:val="clear" w:color="auto" w:fill="auto"/>
            <w:vAlign w:val="center"/>
          </w:tcPr>
          <w:p w14:paraId="18B6B12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30</w:t>
            </w:r>
          </w:p>
        </w:tc>
        <w:tc>
          <w:tcPr>
            <w:tcW w:w="441" w:type="pct"/>
            <w:gridSpan w:val="4"/>
            <w:tcBorders>
              <w:tl2br w:val="nil"/>
              <w:tr2bl w:val="nil"/>
            </w:tcBorders>
            <w:shd w:val="clear" w:color="auto" w:fill="auto"/>
            <w:vAlign w:val="center"/>
          </w:tcPr>
          <w:p w14:paraId="610A77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万kW·h/a</w:t>
            </w:r>
          </w:p>
        </w:tc>
      </w:tr>
      <w:tr w14:paraId="4535122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92" w:type="pct"/>
            <w:gridSpan w:val="4"/>
            <w:vMerge w:val="continue"/>
            <w:tcBorders>
              <w:tl2br w:val="nil"/>
              <w:tr2bl w:val="nil"/>
            </w:tcBorders>
            <w:shd w:val="clear" w:color="auto" w:fill="auto"/>
            <w:vAlign w:val="center"/>
          </w:tcPr>
          <w:p w14:paraId="7AA0B88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268408B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w:t>
            </w:r>
          </w:p>
        </w:tc>
        <w:tc>
          <w:tcPr>
            <w:tcW w:w="634" w:type="pct"/>
            <w:gridSpan w:val="4"/>
            <w:tcBorders>
              <w:tl2br w:val="nil"/>
              <w:tr2bl w:val="nil"/>
            </w:tcBorders>
            <w:shd w:val="clear" w:color="auto" w:fill="auto"/>
            <w:vAlign w:val="center"/>
          </w:tcPr>
          <w:p w14:paraId="2C67A9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煎炸废油</w:t>
            </w:r>
          </w:p>
        </w:tc>
        <w:tc>
          <w:tcPr>
            <w:tcW w:w="423" w:type="pct"/>
            <w:gridSpan w:val="5"/>
            <w:tcBorders>
              <w:tl2br w:val="nil"/>
              <w:tr2bl w:val="nil"/>
            </w:tcBorders>
            <w:shd w:val="clear" w:color="auto" w:fill="auto"/>
            <w:vAlign w:val="center"/>
          </w:tcPr>
          <w:p w14:paraId="58C8AF6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6291</w:t>
            </w:r>
          </w:p>
        </w:tc>
        <w:tc>
          <w:tcPr>
            <w:tcW w:w="428" w:type="pct"/>
            <w:gridSpan w:val="5"/>
            <w:tcBorders>
              <w:tl2br w:val="nil"/>
              <w:tr2bl w:val="nil"/>
            </w:tcBorders>
            <w:shd w:val="clear" w:color="auto" w:fill="auto"/>
            <w:vAlign w:val="center"/>
          </w:tcPr>
          <w:p w14:paraId="7F64A39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t/a</w:t>
            </w:r>
          </w:p>
        </w:tc>
        <w:tc>
          <w:tcPr>
            <w:tcW w:w="448" w:type="pct"/>
            <w:gridSpan w:val="5"/>
            <w:tcBorders>
              <w:tl2br w:val="nil"/>
              <w:tr2bl w:val="nil"/>
            </w:tcBorders>
            <w:shd w:val="clear" w:color="auto" w:fill="auto"/>
            <w:vAlign w:val="center"/>
          </w:tcPr>
          <w:p w14:paraId="488A620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w:t>
            </w:r>
          </w:p>
        </w:tc>
        <w:tc>
          <w:tcPr>
            <w:tcW w:w="205" w:type="pct"/>
            <w:gridSpan w:val="4"/>
            <w:tcBorders>
              <w:tl2br w:val="nil"/>
              <w:tr2bl w:val="nil"/>
            </w:tcBorders>
            <w:shd w:val="clear" w:color="auto" w:fill="auto"/>
            <w:vAlign w:val="center"/>
          </w:tcPr>
          <w:p w14:paraId="61DE76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11"/>
            <w:tcBorders>
              <w:tl2br w:val="nil"/>
              <w:tr2bl w:val="nil"/>
            </w:tcBorders>
            <w:shd w:val="clear" w:color="auto" w:fill="auto"/>
            <w:vAlign w:val="center"/>
          </w:tcPr>
          <w:p w14:paraId="557836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9"/>
            <w:tcBorders>
              <w:tl2br w:val="nil"/>
              <w:tr2bl w:val="nil"/>
            </w:tcBorders>
            <w:shd w:val="clear" w:color="auto" w:fill="auto"/>
            <w:vAlign w:val="center"/>
          </w:tcPr>
          <w:p w14:paraId="46E4DCA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7" w:type="pct"/>
            <w:gridSpan w:val="10"/>
            <w:tcBorders>
              <w:tl2br w:val="nil"/>
              <w:tr2bl w:val="nil"/>
            </w:tcBorders>
            <w:shd w:val="clear" w:color="auto" w:fill="auto"/>
            <w:vAlign w:val="center"/>
          </w:tcPr>
          <w:p w14:paraId="51EE035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8" w:type="pct"/>
            <w:gridSpan w:val="7"/>
            <w:tcBorders>
              <w:tl2br w:val="nil"/>
              <w:tr2bl w:val="nil"/>
            </w:tcBorders>
            <w:shd w:val="clear" w:color="auto" w:fill="auto"/>
            <w:vAlign w:val="center"/>
          </w:tcPr>
          <w:p w14:paraId="2A406F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41" w:type="pct"/>
            <w:gridSpan w:val="4"/>
            <w:tcBorders>
              <w:tl2br w:val="nil"/>
              <w:tr2bl w:val="nil"/>
            </w:tcBorders>
            <w:shd w:val="clear" w:color="auto" w:fill="auto"/>
            <w:vAlign w:val="center"/>
          </w:tcPr>
          <w:p w14:paraId="7E37800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1D466D7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restart"/>
            <w:tcBorders>
              <w:tl2br w:val="nil"/>
              <w:tr2bl w:val="nil"/>
            </w:tcBorders>
            <w:shd w:val="clear" w:color="auto" w:fill="auto"/>
            <w:vAlign w:val="center"/>
          </w:tcPr>
          <w:p w14:paraId="266EE73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大气污染治理与排放信息</w:t>
            </w:r>
          </w:p>
        </w:tc>
        <w:tc>
          <w:tcPr>
            <w:tcW w:w="148" w:type="pct"/>
            <w:vMerge w:val="restart"/>
            <w:tcBorders>
              <w:tl2br w:val="nil"/>
              <w:tr2bl w:val="nil"/>
            </w:tcBorders>
            <w:shd w:val="clear" w:color="auto" w:fill="auto"/>
            <w:vAlign w:val="center"/>
          </w:tcPr>
          <w:p w14:paraId="44CB922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有组织</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排放（主要排放口）</w:t>
            </w:r>
          </w:p>
        </w:tc>
        <w:tc>
          <w:tcPr>
            <w:tcW w:w="208" w:type="pct"/>
            <w:vMerge w:val="restart"/>
            <w:tcBorders>
              <w:tl2br w:val="nil"/>
              <w:tr2bl w:val="nil"/>
            </w:tcBorders>
            <w:shd w:val="clear" w:color="auto" w:fill="auto"/>
            <w:vAlign w:val="center"/>
          </w:tcPr>
          <w:p w14:paraId="2025EA8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（编号）</w:t>
            </w:r>
          </w:p>
        </w:tc>
        <w:tc>
          <w:tcPr>
            <w:tcW w:w="634" w:type="pct"/>
            <w:gridSpan w:val="4"/>
            <w:vMerge w:val="restart"/>
            <w:tcBorders>
              <w:tl2br w:val="nil"/>
              <w:tr2bl w:val="nil"/>
            </w:tcBorders>
            <w:shd w:val="clear" w:color="auto" w:fill="auto"/>
            <w:vAlign w:val="center"/>
          </w:tcPr>
          <w:p w14:paraId="62DA722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排放口名称</w:t>
            </w:r>
          </w:p>
        </w:tc>
        <w:tc>
          <w:tcPr>
            <w:tcW w:w="421" w:type="pct"/>
            <w:gridSpan w:val="4"/>
            <w:vMerge w:val="restart"/>
            <w:tcBorders>
              <w:tl2br w:val="nil"/>
              <w:tr2bl w:val="nil"/>
            </w:tcBorders>
            <w:shd w:val="clear" w:color="auto" w:fill="auto"/>
            <w:vAlign w:val="center"/>
          </w:tcPr>
          <w:p w14:paraId="52803A5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排气筒高度（米）</w:t>
            </w:r>
          </w:p>
        </w:tc>
        <w:tc>
          <w:tcPr>
            <w:tcW w:w="878" w:type="pct"/>
            <w:gridSpan w:val="11"/>
            <w:tcBorders>
              <w:tl2br w:val="nil"/>
              <w:tr2bl w:val="nil"/>
            </w:tcBorders>
            <w:shd w:val="clear" w:color="auto" w:fill="auto"/>
            <w:noWrap/>
            <w:vAlign w:val="center"/>
          </w:tcPr>
          <w:p w14:paraId="1ACAFF3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污染防治设施工艺</w:t>
            </w:r>
          </w:p>
        </w:tc>
        <w:tc>
          <w:tcPr>
            <w:tcW w:w="559" w:type="pct"/>
            <w:gridSpan w:val="11"/>
            <w:tcBorders>
              <w:tl2br w:val="nil"/>
              <w:tr2bl w:val="nil"/>
            </w:tcBorders>
            <w:shd w:val="clear" w:color="auto" w:fill="auto"/>
            <w:vAlign w:val="center"/>
          </w:tcPr>
          <w:p w14:paraId="65A8943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生产设施</w:t>
            </w:r>
          </w:p>
        </w:tc>
        <w:tc>
          <w:tcPr>
            <w:tcW w:w="2004" w:type="pct"/>
            <w:gridSpan w:val="34"/>
            <w:tcBorders>
              <w:tl2br w:val="nil"/>
              <w:tr2bl w:val="nil"/>
            </w:tcBorders>
            <w:shd w:val="clear" w:color="auto" w:fill="auto"/>
            <w:vAlign w:val="center"/>
          </w:tcPr>
          <w:p w14:paraId="6F5FB84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污染物排放</w:t>
            </w:r>
          </w:p>
        </w:tc>
      </w:tr>
      <w:tr w14:paraId="0BABD8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7C1DFD6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262BE44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36D4DDC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0DC116A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1" w:type="pct"/>
            <w:gridSpan w:val="4"/>
            <w:vMerge w:val="continue"/>
            <w:tcBorders>
              <w:tl2br w:val="nil"/>
              <w:tr2bl w:val="nil"/>
            </w:tcBorders>
            <w:shd w:val="clear" w:color="auto" w:fill="auto"/>
            <w:vAlign w:val="center"/>
          </w:tcPr>
          <w:p w14:paraId="40B6A93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493381A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序号（编号）</w:t>
            </w:r>
          </w:p>
        </w:tc>
        <w:tc>
          <w:tcPr>
            <w:tcW w:w="413" w:type="pct"/>
            <w:gridSpan w:val="5"/>
            <w:tcBorders>
              <w:tl2br w:val="nil"/>
              <w:tr2bl w:val="nil"/>
            </w:tcBorders>
            <w:shd w:val="clear" w:color="auto" w:fill="auto"/>
            <w:noWrap/>
            <w:vAlign w:val="center"/>
          </w:tcPr>
          <w:p w14:paraId="3ADFB99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名称</w:t>
            </w:r>
          </w:p>
        </w:tc>
        <w:tc>
          <w:tcPr>
            <w:tcW w:w="263" w:type="pct"/>
            <w:gridSpan w:val="2"/>
            <w:tcBorders>
              <w:tl2br w:val="nil"/>
              <w:tr2bl w:val="nil"/>
            </w:tcBorders>
            <w:shd w:val="clear" w:color="auto" w:fill="auto"/>
            <w:vAlign w:val="center"/>
          </w:tcPr>
          <w:p w14:paraId="4D7806D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污染防治设施处理效率</w:t>
            </w:r>
          </w:p>
        </w:tc>
        <w:tc>
          <w:tcPr>
            <w:tcW w:w="204" w:type="pct"/>
            <w:gridSpan w:val="3"/>
            <w:tcBorders>
              <w:tl2br w:val="nil"/>
              <w:tr2bl w:val="nil"/>
            </w:tcBorders>
            <w:shd w:val="clear" w:color="auto" w:fill="auto"/>
            <w:vAlign w:val="center"/>
          </w:tcPr>
          <w:p w14:paraId="46F9E58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序号（编号）</w:t>
            </w:r>
          </w:p>
        </w:tc>
        <w:tc>
          <w:tcPr>
            <w:tcW w:w="354" w:type="pct"/>
            <w:gridSpan w:val="8"/>
            <w:tcBorders>
              <w:tl2br w:val="nil"/>
              <w:tr2bl w:val="nil"/>
            </w:tcBorders>
            <w:shd w:val="clear" w:color="auto" w:fill="auto"/>
            <w:noWrap/>
            <w:vAlign w:val="center"/>
          </w:tcPr>
          <w:p w14:paraId="2BF8ECA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名称</w:t>
            </w:r>
          </w:p>
        </w:tc>
        <w:tc>
          <w:tcPr>
            <w:tcW w:w="279" w:type="pct"/>
            <w:gridSpan w:val="3"/>
            <w:tcBorders>
              <w:tl2br w:val="nil"/>
              <w:tr2bl w:val="nil"/>
            </w:tcBorders>
            <w:shd w:val="clear" w:color="auto" w:fill="auto"/>
            <w:vAlign w:val="center"/>
          </w:tcPr>
          <w:p w14:paraId="06BBB3C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污染物种类</w:t>
            </w:r>
          </w:p>
        </w:tc>
        <w:tc>
          <w:tcPr>
            <w:tcW w:w="284" w:type="pct"/>
            <w:gridSpan w:val="7"/>
            <w:tcBorders>
              <w:tl2br w:val="nil"/>
              <w:tr2bl w:val="nil"/>
            </w:tcBorders>
            <w:shd w:val="clear" w:color="auto" w:fill="auto"/>
            <w:vAlign w:val="center"/>
          </w:tcPr>
          <w:p w14:paraId="780DE8C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排放浓度（毫克</w:t>
            </w:r>
            <w:r>
              <w:rPr>
                <w:rStyle w:val="159"/>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立方米）</w:t>
            </w:r>
          </w:p>
        </w:tc>
        <w:tc>
          <w:tcPr>
            <w:tcW w:w="284" w:type="pct"/>
            <w:gridSpan w:val="6"/>
            <w:tcBorders>
              <w:tl2br w:val="nil"/>
              <w:tr2bl w:val="nil"/>
            </w:tcBorders>
            <w:shd w:val="clear" w:color="auto" w:fill="auto"/>
            <w:vAlign w:val="center"/>
          </w:tcPr>
          <w:p w14:paraId="21647E0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排放速率</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br w:type="textWrapping"/>
            </w:r>
            <w:r>
              <w:rPr>
                <w:rStyle w:val="159"/>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千克</w:t>
            </w:r>
            <w:r>
              <w:rPr>
                <w:rStyle w:val="159"/>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小时</w:t>
            </w:r>
            <w:r>
              <w:rPr>
                <w:rStyle w:val="159"/>
                <w:rFonts w:hint="eastAsia"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gridSpan w:val="6"/>
            <w:tcBorders>
              <w:tl2br w:val="nil"/>
              <w:tr2bl w:val="nil"/>
            </w:tcBorders>
            <w:shd w:val="clear" w:color="auto" w:fill="auto"/>
            <w:vAlign w:val="center"/>
          </w:tcPr>
          <w:p w14:paraId="3E836D89">
            <w:pPr>
              <w:keepNext w:val="0"/>
              <w:keepLines w:val="0"/>
              <w:widowControl/>
              <w:suppressLineNumbers w:val="0"/>
              <w:jc w:val="left"/>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869" w:type="pct"/>
            <w:gridSpan w:val="12"/>
            <w:tcBorders>
              <w:tl2br w:val="nil"/>
              <w:tr2bl w:val="nil"/>
            </w:tcBorders>
            <w:shd w:val="clear" w:color="auto" w:fill="auto"/>
            <w:vAlign w:val="center"/>
          </w:tcPr>
          <w:p w14:paraId="5491599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排放标准名称</w:t>
            </w:r>
          </w:p>
        </w:tc>
      </w:tr>
      <w:tr w14:paraId="48A320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1708F98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04D0EE9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restart"/>
            <w:tcBorders>
              <w:tl2br w:val="nil"/>
              <w:tr2bl w:val="nil"/>
            </w:tcBorders>
            <w:shd w:val="clear" w:color="auto" w:fill="auto"/>
            <w:vAlign w:val="center"/>
          </w:tcPr>
          <w:p w14:paraId="598316AE">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DA001</w:t>
            </w:r>
          </w:p>
        </w:tc>
        <w:tc>
          <w:tcPr>
            <w:tcW w:w="634" w:type="pct"/>
            <w:gridSpan w:val="4"/>
            <w:vMerge w:val="restart"/>
            <w:tcBorders>
              <w:tl2br w:val="nil"/>
              <w:tr2bl w:val="nil"/>
            </w:tcBorders>
            <w:shd w:val="clear" w:color="auto" w:fill="auto"/>
            <w:noWrap/>
            <w:vAlign w:val="center"/>
          </w:tcPr>
          <w:p w14:paraId="42D2BECD">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生产车间有组织废气排放口</w:t>
            </w:r>
          </w:p>
        </w:tc>
        <w:tc>
          <w:tcPr>
            <w:tcW w:w="421" w:type="pct"/>
            <w:gridSpan w:val="4"/>
            <w:vMerge w:val="restart"/>
            <w:tcBorders>
              <w:tl2br w:val="nil"/>
              <w:tr2bl w:val="nil"/>
            </w:tcBorders>
            <w:shd w:val="clear" w:color="auto" w:fill="auto"/>
            <w:vAlign w:val="center"/>
          </w:tcPr>
          <w:p w14:paraId="0472D3EB">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15</w:t>
            </w:r>
          </w:p>
        </w:tc>
        <w:tc>
          <w:tcPr>
            <w:tcW w:w="200" w:type="pct"/>
            <w:gridSpan w:val="4"/>
            <w:vMerge w:val="restart"/>
            <w:tcBorders>
              <w:tl2br w:val="nil"/>
              <w:tr2bl w:val="nil"/>
            </w:tcBorders>
            <w:shd w:val="clear" w:color="auto" w:fill="auto"/>
            <w:vAlign w:val="center"/>
          </w:tcPr>
          <w:p w14:paraId="454F3D8D">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w:t>
            </w:r>
          </w:p>
        </w:tc>
        <w:tc>
          <w:tcPr>
            <w:tcW w:w="413" w:type="pct"/>
            <w:gridSpan w:val="5"/>
            <w:vMerge w:val="restart"/>
            <w:tcBorders>
              <w:tl2br w:val="nil"/>
              <w:tr2bl w:val="nil"/>
            </w:tcBorders>
            <w:shd w:val="clear" w:color="auto" w:fill="auto"/>
            <w:vAlign w:val="center"/>
          </w:tcPr>
          <w:p w14:paraId="7866435D">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喷淋塔+过滤棉+二级活性炭</w:t>
            </w:r>
          </w:p>
        </w:tc>
        <w:tc>
          <w:tcPr>
            <w:tcW w:w="263" w:type="pct"/>
            <w:gridSpan w:val="2"/>
            <w:vMerge w:val="restart"/>
            <w:tcBorders>
              <w:tl2br w:val="nil"/>
              <w:tr2bl w:val="nil"/>
            </w:tcBorders>
            <w:shd w:val="clear" w:color="auto" w:fill="auto"/>
            <w:vAlign w:val="center"/>
          </w:tcPr>
          <w:p w14:paraId="6A11CBA6">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50%</w:t>
            </w:r>
          </w:p>
        </w:tc>
        <w:tc>
          <w:tcPr>
            <w:tcW w:w="204" w:type="pct"/>
            <w:gridSpan w:val="3"/>
            <w:tcBorders>
              <w:tl2br w:val="nil"/>
              <w:tr2bl w:val="nil"/>
            </w:tcBorders>
            <w:shd w:val="clear" w:color="auto" w:fill="auto"/>
            <w:vAlign w:val="center"/>
          </w:tcPr>
          <w:p w14:paraId="65B42818">
            <w:pPr>
              <w:pStyle w:val="68"/>
              <w:keepNext w:val="0"/>
              <w:keepLines w:val="0"/>
              <w:pageBreakBefore w:val="0"/>
              <w:widowControl w:val="0"/>
              <w:kinsoku/>
              <w:wordWrap/>
              <w:overflowPunct/>
              <w:topLinePunct w:val="0"/>
              <w:bidi w:val="0"/>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1</w:t>
            </w:r>
          </w:p>
        </w:tc>
        <w:tc>
          <w:tcPr>
            <w:tcW w:w="354" w:type="pct"/>
            <w:gridSpan w:val="8"/>
            <w:tcBorders>
              <w:tl2br w:val="nil"/>
              <w:tr2bl w:val="nil"/>
            </w:tcBorders>
            <w:shd w:val="clear" w:color="auto" w:fill="auto"/>
            <w:vAlign w:val="center"/>
          </w:tcPr>
          <w:p w14:paraId="5381E1D2">
            <w:pPr>
              <w:pStyle w:val="68"/>
              <w:keepNext w:val="0"/>
              <w:keepLines w:val="0"/>
              <w:pageBreakBefore w:val="0"/>
              <w:widowControl w:val="0"/>
              <w:kinsoku/>
              <w:wordWrap/>
              <w:overflowPunct/>
              <w:topLinePunct w:val="0"/>
              <w:bidi w:val="0"/>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除杂机</w:t>
            </w:r>
          </w:p>
        </w:tc>
        <w:tc>
          <w:tcPr>
            <w:tcW w:w="279" w:type="pct"/>
            <w:gridSpan w:val="3"/>
            <w:tcBorders>
              <w:tl2br w:val="nil"/>
              <w:tr2bl w:val="nil"/>
            </w:tcBorders>
            <w:shd w:val="clear" w:color="auto" w:fill="auto"/>
            <w:vAlign w:val="center"/>
          </w:tcPr>
          <w:p w14:paraId="4E4007A3">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284" w:type="pct"/>
            <w:gridSpan w:val="7"/>
            <w:tcBorders>
              <w:tl2br w:val="nil"/>
              <w:tr2bl w:val="nil"/>
            </w:tcBorders>
            <w:shd w:val="clear" w:color="auto" w:fill="auto"/>
            <w:vAlign w:val="center"/>
          </w:tcPr>
          <w:p w14:paraId="25473A0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0.4529225</w:t>
            </w:r>
          </w:p>
        </w:tc>
        <w:tc>
          <w:tcPr>
            <w:tcW w:w="284" w:type="pct"/>
            <w:gridSpan w:val="6"/>
            <w:tcBorders>
              <w:tl2br w:val="nil"/>
              <w:tr2bl w:val="nil"/>
            </w:tcBorders>
            <w:shd w:val="clear" w:color="auto" w:fill="auto"/>
            <w:vAlign w:val="center"/>
          </w:tcPr>
          <w:p w14:paraId="478A69F8">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0.0090585</w:t>
            </w:r>
          </w:p>
        </w:tc>
        <w:tc>
          <w:tcPr>
            <w:tcW w:w="285" w:type="pct"/>
            <w:gridSpan w:val="6"/>
            <w:tcBorders>
              <w:tl2br w:val="nil"/>
              <w:tr2bl w:val="nil"/>
            </w:tcBorders>
            <w:shd w:val="clear" w:color="auto" w:fill="auto"/>
            <w:vAlign w:val="center"/>
          </w:tcPr>
          <w:p w14:paraId="7DB6126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0.0652208</w:t>
            </w:r>
          </w:p>
        </w:tc>
        <w:tc>
          <w:tcPr>
            <w:tcW w:w="869" w:type="pct"/>
            <w:gridSpan w:val="12"/>
            <w:vMerge w:val="restart"/>
            <w:tcBorders>
              <w:tl2br w:val="nil"/>
              <w:tr2bl w:val="nil"/>
            </w:tcBorders>
            <w:shd w:val="clear" w:color="auto" w:fill="auto"/>
            <w:vAlign w:val="center"/>
          </w:tcPr>
          <w:p w14:paraId="7F542B8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恶臭</w:t>
            </w:r>
            <w:r>
              <w:rPr>
                <w:rFonts w:hint="default" w:ascii="Times New Roman" w:hAnsi="Times New Roman" w:eastAsia="宋体" w:cs="Times New Roman"/>
                <w:color w:val="000000" w:themeColor="text1"/>
                <w:u w:val="none" w:color="auto"/>
                <w14:textFill>
                  <w14:solidFill>
                    <w14:schemeClr w14:val="tx1"/>
                  </w14:solidFill>
                </w14:textFill>
              </w:rPr>
              <w:t>污染物排放标准》（GB</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 xml:space="preserve"> 14554-93</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表2</w:t>
            </w:r>
            <w:r>
              <w:rPr>
                <w:rFonts w:hint="default" w:ascii="Times New Roman" w:hAnsi="Times New Roman" w:eastAsia="宋体" w:cs="Times New Roman"/>
                <w:color w:val="000000" w:themeColor="text1"/>
                <w:u w:val="none" w:color="auto"/>
                <w14:textFill>
                  <w14:solidFill>
                    <w14:schemeClr w14:val="tx1"/>
                  </w14:solidFill>
                </w14:textFill>
              </w:rPr>
              <w:t>排放</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标准要求</w:t>
            </w:r>
          </w:p>
        </w:tc>
      </w:tr>
      <w:tr w14:paraId="07FB9B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305A07E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2347C2C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60BF410F">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6230657E">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1" w:type="pct"/>
            <w:gridSpan w:val="4"/>
            <w:vMerge w:val="continue"/>
            <w:tcBorders>
              <w:tl2br w:val="nil"/>
              <w:tr2bl w:val="nil"/>
            </w:tcBorders>
            <w:shd w:val="clear" w:color="auto" w:fill="auto"/>
            <w:vAlign w:val="center"/>
          </w:tcPr>
          <w:p w14:paraId="295BA817">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vMerge w:val="continue"/>
            <w:tcBorders>
              <w:tl2br w:val="nil"/>
              <w:tr2bl w:val="nil"/>
            </w:tcBorders>
            <w:shd w:val="clear" w:color="auto" w:fill="auto"/>
            <w:vAlign w:val="center"/>
          </w:tcPr>
          <w:p w14:paraId="25901BB0">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3" w:type="pct"/>
            <w:gridSpan w:val="5"/>
            <w:vMerge w:val="continue"/>
            <w:tcBorders>
              <w:tl2br w:val="nil"/>
              <w:tr2bl w:val="nil"/>
            </w:tcBorders>
            <w:shd w:val="clear" w:color="auto" w:fill="auto"/>
            <w:vAlign w:val="center"/>
          </w:tcPr>
          <w:p w14:paraId="28B1EADE">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63" w:type="pct"/>
            <w:gridSpan w:val="2"/>
            <w:vMerge w:val="continue"/>
            <w:tcBorders>
              <w:tl2br w:val="nil"/>
              <w:tr2bl w:val="nil"/>
            </w:tcBorders>
            <w:shd w:val="clear" w:color="auto" w:fill="auto"/>
            <w:vAlign w:val="center"/>
          </w:tcPr>
          <w:p w14:paraId="19194731">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4" w:type="pct"/>
            <w:gridSpan w:val="3"/>
            <w:tcBorders>
              <w:tl2br w:val="nil"/>
              <w:tr2bl w:val="nil"/>
            </w:tcBorders>
            <w:shd w:val="clear" w:color="auto" w:fill="auto"/>
            <w:vAlign w:val="center"/>
          </w:tcPr>
          <w:p w14:paraId="44E6DBB0">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p>
        </w:tc>
        <w:tc>
          <w:tcPr>
            <w:tcW w:w="354" w:type="pct"/>
            <w:gridSpan w:val="8"/>
            <w:tcBorders>
              <w:tl2br w:val="nil"/>
              <w:tr2bl w:val="nil"/>
            </w:tcBorders>
            <w:shd w:val="clear" w:color="auto" w:fill="auto"/>
            <w:vAlign w:val="center"/>
          </w:tcPr>
          <w:p w14:paraId="0DA60091">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t>制浆罐</w:t>
            </w:r>
          </w:p>
        </w:tc>
        <w:tc>
          <w:tcPr>
            <w:tcW w:w="279" w:type="pct"/>
            <w:gridSpan w:val="3"/>
            <w:tcBorders>
              <w:tl2br w:val="nil"/>
              <w:tr2bl w:val="nil"/>
            </w:tcBorders>
            <w:shd w:val="clear" w:color="auto" w:fill="auto"/>
            <w:vAlign w:val="center"/>
          </w:tcPr>
          <w:p w14:paraId="61E8E185">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284" w:type="pct"/>
            <w:gridSpan w:val="7"/>
            <w:tcBorders>
              <w:tl2br w:val="nil"/>
              <w:tr2bl w:val="nil"/>
            </w:tcBorders>
            <w:shd w:val="clear" w:color="auto" w:fill="auto"/>
            <w:vAlign w:val="center"/>
          </w:tcPr>
          <w:p w14:paraId="15764ACF">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0.0244850</w:t>
            </w:r>
          </w:p>
        </w:tc>
        <w:tc>
          <w:tcPr>
            <w:tcW w:w="284" w:type="pct"/>
            <w:gridSpan w:val="6"/>
            <w:tcBorders>
              <w:tl2br w:val="nil"/>
              <w:tr2bl w:val="nil"/>
            </w:tcBorders>
            <w:shd w:val="clear" w:color="auto" w:fill="auto"/>
            <w:vAlign w:val="center"/>
          </w:tcPr>
          <w:p w14:paraId="68AD681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0.0004897</w:t>
            </w:r>
          </w:p>
        </w:tc>
        <w:tc>
          <w:tcPr>
            <w:tcW w:w="285" w:type="pct"/>
            <w:gridSpan w:val="6"/>
            <w:tcBorders>
              <w:tl2br w:val="nil"/>
              <w:tr2bl w:val="nil"/>
            </w:tcBorders>
            <w:shd w:val="clear" w:color="auto" w:fill="auto"/>
            <w:vAlign w:val="center"/>
          </w:tcPr>
          <w:p w14:paraId="70C5BE30">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0.0035258</w:t>
            </w:r>
          </w:p>
        </w:tc>
        <w:tc>
          <w:tcPr>
            <w:tcW w:w="869" w:type="pct"/>
            <w:gridSpan w:val="12"/>
            <w:vMerge w:val="continue"/>
            <w:tcBorders>
              <w:tl2br w:val="nil"/>
              <w:tr2bl w:val="nil"/>
            </w:tcBorders>
            <w:shd w:val="clear" w:color="auto" w:fill="auto"/>
            <w:vAlign w:val="center"/>
          </w:tcPr>
          <w:p w14:paraId="621E26A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5F248B8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4EEE6EF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4C76B7D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219E665C">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4DB7E65C">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1" w:type="pct"/>
            <w:gridSpan w:val="4"/>
            <w:vMerge w:val="continue"/>
            <w:tcBorders>
              <w:tl2br w:val="nil"/>
              <w:tr2bl w:val="nil"/>
            </w:tcBorders>
            <w:shd w:val="clear" w:color="auto" w:fill="auto"/>
            <w:vAlign w:val="center"/>
          </w:tcPr>
          <w:p w14:paraId="12054155">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vMerge w:val="continue"/>
            <w:tcBorders>
              <w:tl2br w:val="nil"/>
              <w:tr2bl w:val="nil"/>
            </w:tcBorders>
            <w:shd w:val="clear" w:color="auto" w:fill="auto"/>
            <w:vAlign w:val="center"/>
          </w:tcPr>
          <w:p w14:paraId="0AEE067B">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3" w:type="pct"/>
            <w:gridSpan w:val="5"/>
            <w:vMerge w:val="continue"/>
            <w:tcBorders>
              <w:tl2br w:val="nil"/>
              <w:tr2bl w:val="nil"/>
            </w:tcBorders>
            <w:shd w:val="clear" w:color="auto" w:fill="auto"/>
            <w:vAlign w:val="center"/>
          </w:tcPr>
          <w:p w14:paraId="6F559E6A">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63" w:type="pct"/>
            <w:gridSpan w:val="2"/>
            <w:vMerge w:val="continue"/>
            <w:tcBorders>
              <w:tl2br w:val="nil"/>
              <w:tr2bl w:val="nil"/>
            </w:tcBorders>
            <w:shd w:val="clear" w:color="auto" w:fill="auto"/>
            <w:vAlign w:val="center"/>
          </w:tcPr>
          <w:p w14:paraId="14F586B2">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4" w:type="pct"/>
            <w:gridSpan w:val="3"/>
            <w:tcBorders>
              <w:tl2br w:val="nil"/>
              <w:tr2bl w:val="nil"/>
            </w:tcBorders>
            <w:shd w:val="clear" w:color="auto" w:fill="auto"/>
            <w:vAlign w:val="center"/>
          </w:tcPr>
          <w:p w14:paraId="58710D9A">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w:t>
            </w:r>
          </w:p>
        </w:tc>
        <w:tc>
          <w:tcPr>
            <w:tcW w:w="354" w:type="pct"/>
            <w:gridSpan w:val="8"/>
            <w:tcBorders>
              <w:tl2br w:val="nil"/>
              <w:tr2bl w:val="nil"/>
            </w:tcBorders>
            <w:shd w:val="clear" w:color="auto" w:fill="auto"/>
            <w:vAlign w:val="center"/>
          </w:tcPr>
          <w:p w14:paraId="07756569">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加热罐</w:t>
            </w:r>
          </w:p>
        </w:tc>
        <w:tc>
          <w:tcPr>
            <w:tcW w:w="279" w:type="pct"/>
            <w:gridSpan w:val="3"/>
            <w:tcBorders>
              <w:tl2br w:val="nil"/>
              <w:tr2bl w:val="nil"/>
            </w:tcBorders>
            <w:shd w:val="clear" w:color="auto" w:fill="auto"/>
            <w:vAlign w:val="center"/>
          </w:tcPr>
          <w:p w14:paraId="7DB87C2C">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284" w:type="pct"/>
            <w:gridSpan w:val="7"/>
            <w:tcBorders>
              <w:tl2br w:val="nil"/>
              <w:tr2bl w:val="nil"/>
            </w:tcBorders>
            <w:shd w:val="clear" w:color="auto" w:fill="auto"/>
            <w:vAlign w:val="center"/>
          </w:tcPr>
          <w:p w14:paraId="3364F1B9">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53</w:t>
            </w:r>
          </w:p>
        </w:tc>
        <w:tc>
          <w:tcPr>
            <w:tcW w:w="284" w:type="pct"/>
            <w:gridSpan w:val="6"/>
            <w:tcBorders>
              <w:tl2br w:val="nil"/>
              <w:tr2bl w:val="nil"/>
            </w:tcBorders>
            <w:shd w:val="clear" w:color="auto" w:fill="auto"/>
            <w:vAlign w:val="center"/>
          </w:tcPr>
          <w:p w14:paraId="53611BF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p>
        </w:tc>
        <w:tc>
          <w:tcPr>
            <w:tcW w:w="285" w:type="pct"/>
            <w:gridSpan w:val="6"/>
            <w:tcBorders>
              <w:tl2br w:val="nil"/>
              <w:tr2bl w:val="nil"/>
            </w:tcBorders>
            <w:shd w:val="clear" w:color="auto" w:fill="auto"/>
            <w:vAlign w:val="center"/>
          </w:tcPr>
          <w:p w14:paraId="7AEB90F6">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t>/</w:t>
            </w:r>
          </w:p>
        </w:tc>
        <w:tc>
          <w:tcPr>
            <w:tcW w:w="869" w:type="pct"/>
            <w:gridSpan w:val="12"/>
            <w:vMerge w:val="continue"/>
            <w:tcBorders>
              <w:tl2br w:val="nil"/>
              <w:tr2bl w:val="nil"/>
            </w:tcBorders>
            <w:shd w:val="clear" w:color="auto" w:fill="auto"/>
            <w:vAlign w:val="center"/>
          </w:tcPr>
          <w:p w14:paraId="00B2D8B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00C662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402902A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0E2015A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425D825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5C20237F">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1" w:type="pct"/>
            <w:gridSpan w:val="4"/>
            <w:vMerge w:val="continue"/>
            <w:tcBorders>
              <w:tl2br w:val="nil"/>
              <w:tr2bl w:val="nil"/>
            </w:tcBorders>
            <w:shd w:val="clear" w:color="auto" w:fill="auto"/>
            <w:vAlign w:val="center"/>
          </w:tcPr>
          <w:p w14:paraId="6C341E57">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vMerge w:val="continue"/>
            <w:tcBorders>
              <w:tl2br w:val="nil"/>
              <w:tr2bl w:val="nil"/>
            </w:tcBorders>
            <w:shd w:val="clear" w:color="auto" w:fill="auto"/>
            <w:vAlign w:val="center"/>
          </w:tcPr>
          <w:p w14:paraId="04E5BFF7">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3" w:type="pct"/>
            <w:gridSpan w:val="5"/>
            <w:vMerge w:val="continue"/>
            <w:tcBorders>
              <w:tl2br w:val="nil"/>
              <w:tr2bl w:val="nil"/>
            </w:tcBorders>
            <w:shd w:val="clear" w:color="auto" w:fill="auto"/>
            <w:vAlign w:val="center"/>
          </w:tcPr>
          <w:p w14:paraId="374258A6">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63" w:type="pct"/>
            <w:gridSpan w:val="2"/>
            <w:vMerge w:val="continue"/>
            <w:tcBorders>
              <w:tl2br w:val="nil"/>
              <w:tr2bl w:val="nil"/>
            </w:tcBorders>
            <w:shd w:val="clear" w:color="auto" w:fill="auto"/>
            <w:vAlign w:val="center"/>
          </w:tcPr>
          <w:p w14:paraId="17F1928E">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4" w:type="pct"/>
            <w:gridSpan w:val="3"/>
            <w:tcBorders>
              <w:tl2br w:val="nil"/>
              <w:tr2bl w:val="nil"/>
            </w:tcBorders>
            <w:shd w:val="clear" w:color="auto" w:fill="auto"/>
            <w:vAlign w:val="center"/>
          </w:tcPr>
          <w:p w14:paraId="4F514DA1">
            <w:pPr>
              <w:pStyle w:val="68"/>
              <w:keepNext w:val="0"/>
              <w:keepLines w:val="0"/>
              <w:pageBreakBefore w:val="0"/>
              <w:widowControl w:val="0"/>
              <w:kinsoku/>
              <w:wordWrap/>
              <w:overflowPunct/>
              <w:topLinePunct w:val="0"/>
              <w:bidi w:val="0"/>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4</w:t>
            </w:r>
          </w:p>
        </w:tc>
        <w:tc>
          <w:tcPr>
            <w:tcW w:w="354" w:type="pct"/>
            <w:gridSpan w:val="8"/>
            <w:tcBorders>
              <w:tl2br w:val="nil"/>
              <w:tr2bl w:val="nil"/>
            </w:tcBorders>
            <w:shd w:val="clear" w:color="auto" w:fill="auto"/>
            <w:vAlign w:val="center"/>
          </w:tcPr>
          <w:p w14:paraId="4996B26A">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搅拌罐</w:t>
            </w:r>
          </w:p>
        </w:tc>
        <w:tc>
          <w:tcPr>
            <w:tcW w:w="279" w:type="pct"/>
            <w:gridSpan w:val="3"/>
            <w:tcBorders>
              <w:tl2br w:val="nil"/>
              <w:tr2bl w:val="nil"/>
            </w:tcBorders>
            <w:shd w:val="clear" w:color="auto" w:fill="auto"/>
            <w:vAlign w:val="center"/>
          </w:tcPr>
          <w:p w14:paraId="18B4A32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284" w:type="pct"/>
            <w:gridSpan w:val="7"/>
            <w:tcBorders>
              <w:tl2br w:val="nil"/>
              <w:tr2bl w:val="nil"/>
            </w:tcBorders>
            <w:shd w:val="clear" w:color="auto" w:fill="auto"/>
            <w:vAlign w:val="center"/>
          </w:tcPr>
          <w:p w14:paraId="175073F0">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3.3010525</w:t>
            </w:r>
          </w:p>
        </w:tc>
        <w:tc>
          <w:tcPr>
            <w:tcW w:w="284" w:type="pct"/>
            <w:gridSpan w:val="6"/>
            <w:tcBorders>
              <w:tl2br w:val="nil"/>
              <w:tr2bl w:val="nil"/>
            </w:tcBorders>
            <w:shd w:val="clear" w:color="auto" w:fill="auto"/>
            <w:vAlign w:val="center"/>
          </w:tcPr>
          <w:p w14:paraId="1D66151B">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0.0660211</w:t>
            </w:r>
          </w:p>
        </w:tc>
        <w:tc>
          <w:tcPr>
            <w:tcW w:w="285" w:type="pct"/>
            <w:gridSpan w:val="6"/>
            <w:tcBorders>
              <w:tl2br w:val="nil"/>
              <w:tr2bl w:val="nil"/>
            </w:tcBorders>
            <w:shd w:val="clear" w:color="auto" w:fill="auto"/>
            <w:vAlign w:val="center"/>
          </w:tcPr>
          <w:p w14:paraId="4827F082">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0.4753516</w:t>
            </w:r>
          </w:p>
        </w:tc>
        <w:tc>
          <w:tcPr>
            <w:tcW w:w="869" w:type="pct"/>
            <w:gridSpan w:val="12"/>
            <w:tcBorders>
              <w:tl2br w:val="nil"/>
              <w:tr2bl w:val="nil"/>
            </w:tcBorders>
            <w:shd w:val="clear" w:color="auto" w:fill="auto"/>
            <w:vAlign w:val="center"/>
          </w:tcPr>
          <w:p w14:paraId="5C65180A">
            <w:pPr>
              <w:jc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r>
      <w:tr w14:paraId="137CF87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58FD81A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7F4C8D3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05168DC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0F3F8288">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21" w:type="pct"/>
            <w:gridSpan w:val="4"/>
            <w:vMerge w:val="continue"/>
            <w:tcBorders>
              <w:tl2br w:val="nil"/>
              <w:tr2bl w:val="nil"/>
            </w:tcBorders>
            <w:shd w:val="clear" w:color="auto" w:fill="auto"/>
            <w:vAlign w:val="center"/>
          </w:tcPr>
          <w:p w14:paraId="0DE708FC">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vMerge w:val="continue"/>
            <w:tcBorders>
              <w:tl2br w:val="nil"/>
              <w:tr2bl w:val="nil"/>
            </w:tcBorders>
            <w:shd w:val="clear" w:color="auto" w:fill="auto"/>
            <w:vAlign w:val="center"/>
          </w:tcPr>
          <w:p w14:paraId="0FC215CC">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3" w:type="pct"/>
            <w:gridSpan w:val="5"/>
            <w:vMerge w:val="continue"/>
            <w:tcBorders>
              <w:tl2br w:val="nil"/>
              <w:tr2bl w:val="nil"/>
            </w:tcBorders>
            <w:shd w:val="clear" w:color="auto" w:fill="auto"/>
            <w:vAlign w:val="center"/>
          </w:tcPr>
          <w:p w14:paraId="5C9B9222">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63" w:type="pct"/>
            <w:gridSpan w:val="2"/>
            <w:vMerge w:val="continue"/>
            <w:tcBorders>
              <w:tl2br w:val="nil"/>
              <w:tr2bl w:val="nil"/>
            </w:tcBorders>
            <w:shd w:val="clear" w:color="auto" w:fill="auto"/>
            <w:vAlign w:val="center"/>
          </w:tcPr>
          <w:p w14:paraId="2889006A">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4" w:type="pct"/>
            <w:gridSpan w:val="3"/>
            <w:tcBorders>
              <w:tl2br w:val="nil"/>
              <w:tr2bl w:val="nil"/>
            </w:tcBorders>
            <w:shd w:val="clear" w:color="auto" w:fill="auto"/>
            <w:vAlign w:val="center"/>
          </w:tcPr>
          <w:p w14:paraId="3C47928B">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eastAsia="宋体" w:cs="Times New Roman"/>
                <w:color w:val="000000" w:themeColor="text1"/>
                <w:sz w:val="21"/>
                <w:szCs w:val="21"/>
                <w:u w:val="none" w:color="auto"/>
                <w:lang w:val="en-US" w:eastAsia="zh-CN"/>
                <w14:textFill>
                  <w14:solidFill>
                    <w14:schemeClr w14:val="tx1"/>
                  </w14:solidFill>
                </w14:textFill>
              </w:rPr>
              <w:t>5</w:t>
            </w:r>
          </w:p>
        </w:tc>
        <w:tc>
          <w:tcPr>
            <w:tcW w:w="354" w:type="pct"/>
            <w:gridSpan w:val="8"/>
            <w:tcBorders>
              <w:tl2br w:val="nil"/>
              <w:tr2bl w:val="nil"/>
            </w:tcBorders>
            <w:shd w:val="clear" w:color="auto" w:fill="auto"/>
            <w:vAlign w:val="center"/>
          </w:tcPr>
          <w:p w14:paraId="17C3B7FA">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三相分离机（XTLWS-350卧式螺旋卸料沉降离心机）</w:t>
            </w:r>
          </w:p>
        </w:tc>
        <w:tc>
          <w:tcPr>
            <w:tcW w:w="279" w:type="pct"/>
            <w:gridSpan w:val="3"/>
            <w:tcBorders>
              <w:tl2br w:val="nil"/>
              <w:tr2bl w:val="nil"/>
            </w:tcBorders>
            <w:shd w:val="clear" w:color="auto" w:fill="auto"/>
            <w:vAlign w:val="center"/>
          </w:tcPr>
          <w:p w14:paraId="6F07B0F6">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84" w:type="pct"/>
            <w:gridSpan w:val="7"/>
            <w:tcBorders>
              <w:tl2br w:val="nil"/>
              <w:tr2bl w:val="nil"/>
            </w:tcBorders>
            <w:shd w:val="clear" w:color="auto" w:fill="auto"/>
            <w:vAlign w:val="center"/>
          </w:tcPr>
          <w:p w14:paraId="52EF1B17">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84" w:type="pct"/>
            <w:gridSpan w:val="6"/>
            <w:tcBorders>
              <w:tl2br w:val="nil"/>
              <w:tr2bl w:val="nil"/>
            </w:tcBorders>
            <w:shd w:val="clear" w:color="auto" w:fill="auto"/>
            <w:vAlign w:val="center"/>
          </w:tcPr>
          <w:p w14:paraId="18143D30">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85" w:type="pct"/>
            <w:gridSpan w:val="6"/>
            <w:tcBorders>
              <w:tl2br w:val="nil"/>
              <w:tr2bl w:val="nil"/>
            </w:tcBorders>
            <w:shd w:val="clear" w:color="auto" w:fill="auto"/>
            <w:vAlign w:val="center"/>
          </w:tcPr>
          <w:p w14:paraId="6992D007">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69" w:type="pct"/>
            <w:gridSpan w:val="12"/>
            <w:tcBorders>
              <w:tl2br w:val="nil"/>
              <w:tr2bl w:val="nil"/>
            </w:tcBorders>
            <w:shd w:val="clear" w:color="auto" w:fill="auto"/>
            <w:vAlign w:val="center"/>
          </w:tcPr>
          <w:p w14:paraId="5252B96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3494809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restart"/>
            <w:tcBorders>
              <w:tl2br w:val="nil"/>
              <w:tr2bl w:val="nil"/>
            </w:tcBorders>
            <w:shd w:val="clear" w:color="auto" w:fill="auto"/>
            <w:vAlign w:val="center"/>
          </w:tcPr>
          <w:p w14:paraId="75F0FAD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restart"/>
            <w:tcBorders>
              <w:tl2br w:val="nil"/>
              <w:tr2bl w:val="nil"/>
            </w:tcBorders>
            <w:shd w:val="clear" w:color="auto" w:fill="auto"/>
            <w:vAlign w:val="center"/>
          </w:tcPr>
          <w:p w14:paraId="18F157F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无组织</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w:t>
            </w:r>
          </w:p>
        </w:tc>
        <w:tc>
          <w:tcPr>
            <w:tcW w:w="208" w:type="pct"/>
            <w:vMerge w:val="restart"/>
            <w:tcBorders>
              <w:tl2br w:val="nil"/>
              <w:tr2bl w:val="nil"/>
            </w:tcBorders>
            <w:shd w:val="clear" w:color="auto" w:fill="auto"/>
            <w:vAlign w:val="center"/>
          </w:tcPr>
          <w:p w14:paraId="7134BD2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w:t>
            </w:r>
          </w:p>
        </w:tc>
        <w:tc>
          <w:tcPr>
            <w:tcW w:w="634" w:type="pct"/>
            <w:gridSpan w:val="4"/>
            <w:vMerge w:val="restart"/>
            <w:tcBorders>
              <w:tl2br w:val="nil"/>
              <w:tr2bl w:val="nil"/>
            </w:tcBorders>
            <w:shd w:val="clear" w:color="auto" w:fill="auto"/>
            <w:vAlign w:val="center"/>
          </w:tcPr>
          <w:p w14:paraId="6FA4C64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无组织排放源名称</w:t>
            </w:r>
          </w:p>
        </w:tc>
        <w:tc>
          <w:tcPr>
            <w:tcW w:w="3864" w:type="pct"/>
            <w:gridSpan w:val="60"/>
            <w:tcBorders>
              <w:tl2br w:val="nil"/>
              <w:tr2bl w:val="nil"/>
            </w:tcBorders>
            <w:shd w:val="clear" w:color="auto" w:fill="auto"/>
            <w:vAlign w:val="center"/>
          </w:tcPr>
          <w:p w14:paraId="043B527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污染物排放</w:t>
            </w:r>
          </w:p>
        </w:tc>
      </w:tr>
      <w:tr w14:paraId="7B6FC74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6B8B8FC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3B5EC85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4B5DC10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6E07263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299" w:type="pct"/>
            <w:gridSpan w:val="15"/>
            <w:tcBorders>
              <w:tl2br w:val="nil"/>
              <w:tr2bl w:val="nil"/>
            </w:tcBorders>
            <w:shd w:val="clear" w:color="auto" w:fill="auto"/>
            <w:vAlign w:val="center"/>
          </w:tcPr>
          <w:p w14:paraId="0B9CD28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污染物种类</w:t>
            </w:r>
          </w:p>
        </w:tc>
        <w:tc>
          <w:tcPr>
            <w:tcW w:w="557" w:type="pct"/>
            <w:gridSpan w:val="10"/>
            <w:tcBorders>
              <w:tl2br w:val="nil"/>
              <w:tr2bl w:val="nil"/>
            </w:tcBorders>
            <w:shd w:val="clear" w:color="auto" w:fill="auto"/>
            <w:vAlign w:val="center"/>
          </w:tcPr>
          <w:p w14:paraId="19CB117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排放浓度</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（毫克</w:t>
            </w:r>
            <w:r>
              <w:rPr>
                <w:rStyle w:val="159"/>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立方米）</w:t>
            </w:r>
          </w:p>
        </w:tc>
        <w:tc>
          <w:tcPr>
            <w:tcW w:w="2006" w:type="pct"/>
            <w:gridSpan w:val="35"/>
            <w:tcBorders>
              <w:tl2br w:val="nil"/>
              <w:tr2bl w:val="nil"/>
            </w:tcBorders>
            <w:shd w:val="clear" w:color="auto" w:fill="auto"/>
            <w:vAlign w:val="center"/>
          </w:tcPr>
          <w:p w14:paraId="27A4BCD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排放标准名称</w:t>
            </w:r>
          </w:p>
        </w:tc>
      </w:tr>
      <w:tr w14:paraId="002EFBF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653502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D03AAA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restart"/>
            <w:tcBorders>
              <w:tl2br w:val="nil"/>
              <w:tr2bl w:val="nil"/>
            </w:tcBorders>
            <w:shd w:val="clear" w:color="auto" w:fill="auto"/>
            <w:vAlign w:val="center"/>
          </w:tcPr>
          <w:p w14:paraId="1CC179AB">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w:t>
            </w:r>
          </w:p>
        </w:tc>
        <w:tc>
          <w:tcPr>
            <w:tcW w:w="634" w:type="pct"/>
            <w:gridSpan w:val="4"/>
            <w:vMerge w:val="restart"/>
            <w:tcBorders>
              <w:tl2br w:val="nil"/>
              <w:tr2bl w:val="nil"/>
            </w:tcBorders>
            <w:shd w:val="clear" w:color="auto" w:fill="auto"/>
            <w:vAlign w:val="center"/>
          </w:tcPr>
          <w:p w14:paraId="3C8E7CD0">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生产车间</w:t>
            </w:r>
          </w:p>
        </w:tc>
        <w:tc>
          <w:tcPr>
            <w:tcW w:w="1299" w:type="pct"/>
            <w:gridSpan w:val="15"/>
            <w:tcBorders>
              <w:tl2br w:val="nil"/>
              <w:tr2bl w:val="nil"/>
            </w:tcBorders>
            <w:shd w:val="clear" w:color="auto" w:fill="auto"/>
            <w:vAlign w:val="center"/>
          </w:tcPr>
          <w:p w14:paraId="5ACDC6F7">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557" w:type="pct"/>
            <w:gridSpan w:val="10"/>
            <w:tcBorders>
              <w:tl2br w:val="nil"/>
              <w:tr2bl w:val="nil"/>
            </w:tcBorders>
            <w:shd w:val="clear" w:color="auto" w:fill="auto"/>
            <w:vAlign w:val="center"/>
          </w:tcPr>
          <w:p w14:paraId="751405D3">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6" w:type="pct"/>
            <w:gridSpan w:val="35"/>
            <w:vMerge w:val="restart"/>
            <w:tcBorders>
              <w:tl2br w:val="nil"/>
              <w:tr2bl w:val="nil"/>
            </w:tcBorders>
            <w:shd w:val="clear" w:color="auto" w:fill="auto"/>
            <w:vAlign w:val="center"/>
          </w:tcPr>
          <w:p w14:paraId="6051D70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恶臭</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污染物排放标准》（GB</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14554-93</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表1中</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二级新改扩建</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项目的要求</w:t>
            </w:r>
          </w:p>
        </w:tc>
      </w:tr>
      <w:tr w14:paraId="2683F8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4E401EE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02B69ED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7E299C74">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009E8878">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299" w:type="pct"/>
            <w:gridSpan w:val="15"/>
            <w:tcBorders>
              <w:tl2br w:val="nil"/>
              <w:tr2bl w:val="nil"/>
            </w:tcBorders>
            <w:shd w:val="clear" w:color="auto" w:fill="auto"/>
            <w:vAlign w:val="center"/>
          </w:tcPr>
          <w:p w14:paraId="3AF72E64">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557" w:type="pct"/>
            <w:gridSpan w:val="10"/>
            <w:tcBorders>
              <w:tl2br w:val="nil"/>
              <w:tr2bl w:val="nil"/>
            </w:tcBorders>
            <w:shd w:val="clear" w:color="auto" w:fill="auto"/>
            <w:vAlign w:val="center"/>
          </w:tcPr>
          <w:p w14:paraId="175201F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6" w:type="pct"/>
            <w:gridSpan w:val="35"/>
            <w:vMerge w:val="continue"/>
            <w:tcBorders>
              <w:tl2br w:val="nil"/>
              <w:tr2bl w:val="nil"/>
            </w:tcBorders>
            <w:shd w:val="clear" w:color="auto" w:fill="auto"/>
            <w:vAlign w:val="center"/>
          </w:tcPr>
          <w:p w14:paraId="50A8DBE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55CC30D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1F07366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7BE316A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0811C8B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220B2F8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299" w:type="pct"/>
            <w:gridSpan w:val="15"/>
            <w:tcBorders>
              <w:tl2br w:val="nil"/>
              <w:tr2bl w:val="nil"/>
            </w:tcBorders>
            <w:shd w:val="clear" w:color="auto" w:fill="auto"/>
            <w:vAlign w:val="center"/>
          </w:tcPr>
          <w:p w14:paraId="3EC1828E">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臭气浓度（无量纲）</w:t>
            </w:r>
          </w:p>
        </w:tc>
        <w:tc>
          <w:tcPr>
            <w:tcW w:w="557" w:type="pct"/>
            <w:gridSpan w:val="10"/>
            <w:tcBorders>
              <w:tl2br w:val="nil"/>
              <w:tr2bl w:val="nil"/>
            </w:tcBorders>
            <w:shd w:val="clear" w:color="auto" w:fill="auto"/>
            <w:vAlign w:val="center"/>
          </w:tcPr>
          <w:p w14:paraId="647FDDF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6" w:type="pct"/>
            <w:gridSpan w:val="35"/>
            <w:vMerge w:val="continue"/>
            <w:tcBorders>
              <w:tl2br w:val="nil"/>
              <w:tr2bl w:val="nil"/>
            </w:tcBorders>
            <w:shd w:val="clear" w:color="auto" w:fill="auto"/>
            <w:vAlign w:val="center"/>
          </w:tcPr>
          <w:p w14:paraId="724ADAE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0ADC04E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736705F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3BC806D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70980592">
            <w:pPr>
              <w:jc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52790AD5">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p>
        </w:tc>
        <w:tc>
          <w:tcPr>
            <w:tcW w:w="1299" w:type="pct"/>
            <w:gridSpan w:val="15"/>
            <w:tcBorders>
              <w:tl2br w:val="nil"/>
              <w:tr2bl w:val="nil"/>
            </w:tcBorders>
            <w:shd w:val="clear" w:color="auto" w:fill="auto"/>
            <w:vAlign w:val="center"/>
          </w:tcPr>
          <w:p w14:paraId="05B193A7">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非甲烷总烃</w:t>
            </w:r>
          </w:p>
        </w:tc>
        <w:tc>
          <w:tcPr>
            <w:tcW w:w="557" w:type="pct"/>
            <w:gridSpan w:val="10"/>
            <w:tcBorders>
              <w:tl2br w:val="nil"/>
              <w:tr2bl w:val="nil"/>
            </w:tcBorders>
            <w:shd w:val="clear" w:color="auto" w:fill="auto"/>
            <w:vAlign w:val="center"/>
          </w:tcPr>
          <w:p w14:paraId="7FDC0B6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6" w:type="pct"/>
            <w:gridSpan w:val="35"/>
            <w:tcBorders>
              <w:tl2br w:val="nil"/>
              <w:tr2bl w:val="nil"/>
            </w:tcBorders>
            <w:shd w:val="clear" w:color="auto" w:fill="auto"/>
            <w:vAlign w:val="center"/>
          </w:tcPr>
          <w:p w14:paraId="730BABB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u w:val="none" w:color="auto"/>
                <w:lang w:val="en-US" w:eastAsia="zh-CN"/>
                <w14:textFill>
                  <w14:solidFill>
                    <w14:schemeClr w14:val="tx1"/>
                  </w14:solidFill>
                </w14:textFill>
              </w:rPr>
              <w:instrText xml:space="preserve"> HYPERLINK "https://www.mee.gov.cn/ywgz/fgbz/bz/bzwb/dqhjbh/dqgdwrywrwpfbz/199701/W020230315434443757856.pdf" </w:instrTex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大气污染物综合排放标准</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u w:val="none" w:color="auto"/>
                <w:lang w:val="en-US" w:eastAsia="zh-CN"/>
                <w14:textFill>
                  <w14:solidFill>
                    <w14:schemeClr w14:val="tx1"/>
                  </w14:solidFill>
                </w14:textFill>
              </w:rPr>
              <w:t>》（GB 16297-1996）表2标准限值要求</w:t>
            </w:r>
          </w:p>
        </w:tc>
      </w:tr>
      <w:tr w14:paraId="73D4C50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A2BC58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7C80AB3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restart"/>
            <w:tcBorders>
              <w:tl2br w:val="nil"/>
              <w:tr2bl w:val="nil"/>
            </w:tcBorders>
            <w:shd w:val="clear" w:color="auto" w:fill="auto"/>
            <w:vAlign w:val="center"/>
          </w:tcPr>
          <w:p w14:paraId="5547E5B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2</w:t>
            </w:r>
          </w:p>
        </w:tc>
        <w:tc>
          <w:tcPr>
            <w:tcW w:w="634" w:type="pct"/>
            <w:gridSpan w:val="4"/>
            <w:vMerge w:val="restart"/>
            <w:tcBorders>
              <w:tl2br w:val="nil"/>
              <w:tr2bl w:val="nil"/>
            </w:tcBorders>
            <w:shd w:val="clear" w:color="auto" w:fill="auto"/>
            <w:vAlign w:val="center"/>
          </w:tcPr>
          <w:p w14:paraId="264510E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w:t>
            </w:r>
          </w:p>
        </w:tc>
        <w:tc>
          <w:tcPr>
            <w:tcW w:w="1299" w:type="pct"/>
            <w:gridSpan w:val="15"/>
            <w:tcBorders>
              <w:tl2br w:val="nil"/>
              <w:tr2bl w:val="nil"/>
            </w:tcBorders>
            <w:shd w:val="clear" w:color="auto" w:fill="auto"/>
            <w:vAlign w:val="center"/>
          </w:tcPr>
          <w:p w14:paraId="3D77D190">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氨</w:t>
            </w:r>
          </w:p>
        </w:tc>
        <w:tc>
          <w:tcPr>
            <w:tcW w:w="557" w:type="pct"/>
            <w:gridSpan w:val="10"/>
            <w:tcBorders>
              <w:tl2br w:val="nil"/>
              <w:tr2bl w:val="nil"/>
            </w:tcBorders>
            <w:shd w:val="clear" w:color="auto" w:fill="auto"/>
            <w:vAlign w:val="center"/>
          </w:tcPr>
          <w:p w14:paraId="3E3164A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6" w:type="pct"/>
            <w:gridSpan w:val="35"/>
            <w:vMerge w:val="restart"/>
            <w:tcBorders>
              <w:tl2br w:val="nil"/>
              <w:tr2bl w:val="nil"/>
            </w:tcBorders>
            <w:shd w:val="clear" w:color="auto" w:fill="auto"/>
            <w:vAlign w:val="center"/>
          </w:tcPr>
          <w:p w14:paraId="0133E797">
            <w:pPr>
              <w:jc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恶臭</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污染物排放标准》（GB</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14554-93</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表1中</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二级新改扩建</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项目的要求</w:t>
            </w:r>
          </w:p>
        </w:tc>
      </w:tr>
      <w:tr w14:paraId="48E0DA7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27456E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F548D0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57A5333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0376A72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299" w:type="pct"/>
            <w:gridSpan w:val="15"/>
            <w:tcBorders>
              <w:tl2br w:val="nil"/>
              <w:tr2bl w:val="nil"/>
            </w:tcBorders>
            <w:shd w:val="clear" w:color="auto" w:fill="auto"/>
            <w:vAlign w:val="center"/>
          </w:tcPr>
          <w:p w14:paraId="2134774D">
            <w:pPr>
              <w:keepNext w:val="0"/>
              <w:keepLines w:val="0"/>
              <w:pageBreakBefore w:val="0"/>
              <w:widowControl w:val="0"/>
              <w:suppressLineNumbers w:val="0"/>
              <w:kinsoku/>
              <w:wordWrap/>
              <w:overflowPunct/>
              <w:topLinePunct w:val="0"/>
              <w:bidi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45"/>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硫化氢</w:t>
            </w:r>
          </w:p>
        </w:tc>
        <w:tc>
          <w:tcPr>
            <w:tcW w:w="557" w:type="pct"/>
            <w:gridSpan w:val="10"/>
            <w:tcBorders>
              <w:tl2br w:val="nil"/>
              <w:tr2bl w:val="nil"/>
            </w:tcBorders>
            <w:shd w:val="clear" w:color="auto" w:fill="auto"/>
            <w:vAlign w:val="center"/>
          </w:tcPr>
          <w:p w14:paraId="5BAE99C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6" w:type="pct"/>
            <w:gridSpan w:val="35"/>
            <w:vMerge w:val="continue"/>
            <w:tcBorders>
              <w:tl2br w:val="nil"/>
              <w:tr2bl w:val="nil"/>
            </w:tcBorders>
            <w:shd w:val="clear" w:color="auto" w:fill="auto"/>
            <w:vAlign w:val="center"/>
          </w:tcPr>
          <w:p w14:paraId="08D87FE0">
            <w:pPr>
              <w:jc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p>
        </w:tc>
      </w:tr>
      <w:tr w14:paraId="093CA1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restart"/>
            <w:tcBorders>
              <w:tl2br w:val="nil"/>
              <w:tr2bl w:val="nil"/>
            </w:tcBorders>
            <w:shd w:val="clear" w:color="auto" w:fill="auto"/>
            <w:vAlign w:val="center"/>
          </w:tcPr>
          <w:p w14:paraId="1BA1514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水污染治理与排放信息（主要排放口）</w:t>
            </w:r>
          </w:p>
        </w:tc>
        <w:tc>
          <w:tcPr>
            <w:tcW w:w="148" w:type="pct"/>
            <w:vMerge w:val="restart"/>
            <w:tcBorders>
              <w:tl2br w:val="nil"/>
              <w:tr2bl w:val="nil"/>
            </w:tcBorders>
            <w:shd w:val="clear" w:color="auto" w:fill="auto"/>
            <w:vAlign w:val="center"/>
          </w:tcPr>
          <w:p w14:paraId="7E5FC17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车间或生产设施排放口</w:t>
            </w:r>
          </w:p>
        </w:tc>
        <w:tc>
          <w:tcPr>
            <w:tcW w:w="208" w:type="pct"/>
            <w:vMerge w:val="restart"/>
            <w:tcBorders>
              <w:tl2br w:val="nil"/>
              <w:tr2bl w:val="nil"/>
            </w:tcBorders>
            <w:shd w:val="clear" w:color="auto" w:fill="auto"/>
            <w:vAlign w:val="center"/>
          </w:tcPr>
          <w:p w14:paraId="18F912D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（编号）</w:t>
            </w:r>
          </w:p>
        </w:tc>
        <w:tc>
          <w:tcPr>
            <w:tcW w:w="634" w:type="pct"/>
            <w:gridSpan w:val="4"/>
            <w:vMerge w:val="restart"/>
            <w:tcBorders>
              <w:tl2br w:val="nil"/>
              <w:tr2bl w:val="nil"/>
            </w:tcBorders>
            <w:shd w:val="clear" w:color="auto" w:fill="auto"/>
            <w:vAlign w:val="center"/>
          </w:tcPr>
          <w:p w14:paraId="32A9113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排放口名称</w:t>
            </w:r>
          </w:p>
        </w:tc>
        <w:tc>
          <w:tcPr>
            <w:tcW w:w="419" w:type="pct"/>
            <w:gridSpan w:val="3"/>
            <w:vMerge w:val="restart"/>
            <w:tcBorders>
              <w:tl2br w:val="nil"/>
              <w:tr2bl w:val="nil"/>
            </w:tcBorders>
            <w:shd w:val="clear" w:color="auto" w:fill="auto"/>
            <w:vAlign w:val="center"/>
          </w:tcPr>
          <w:p w14:paraId="1E38981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废水类别</w:t>
            </w:r>
          </w:p>
        </w:tc>
        <w:tc>
          <w:tcPr>
            <w:tcW w:w="1439" w:type="pct"/>
            <w:gridSpan w:val="23"/>
            <w:tcBorders>
              <w:tl2br w:val="nil"/>
              <w:tr2bl w:val="nil"/>
            </w:tcBorders>
            <w:shd w:val="clear" w:color="auto" w:fill="auto"/>
            <w:noWrap/>
            <w:vAlign w:val="center"/>
          </w:tcPr>
          <w:p w14:paraId="6F329E9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污染防治设施工艺</w:t>
            </w:r>
          </w:p>
        </w:tc>
        <w:tc>
          <w:tcPr>
            <w:tcW w:w="851" w:type="pct"/>
            <w:gridSpan w:val="17"/>
            <w:vMerge w:val="restart"/>
            <w:tcBorders>
              <w:tl2br w:val="nil"/>
              <w:tr2bl w:val="nil"/>
            </w:tcBorders>
            <w:shd w:val="clear" w:color="auto" w:fill="auto"/>
            <w:vAlign w:val="center"/>
          </w:tcPr>
          <w:p w14:paraId="6F1AD9A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排放去向</w:t>
            </w:r>
          </w:p>
        </w:tc>
        <w:tc>
          <w:tcPr>
            <w:tcW w:w="1153" w:type="pct"/>
            <w:gridSpan w:val="17"/>
            <w:tcBorders>
              <w:tl2br w:val="nil"/>
              <w:tr2bl w:val="nil"/>
            </w:tcBorders>
            <w:shd w:val="clear" w:color="auto" w:fill="auto"/>
            <w:vAlign w:val="center"/>
          </w:tcPr>
          <w:p w14:paraId="1F679A3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污染物排放</w:t>
            </w:r>
          </w:p>
        </w:tc>
      </w:tr>
      <w:tr w14:paraId="4888F7E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1F416EF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97A724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2DEA287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6AF705B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4C1FC4E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16" w:type="pct"/>
            <w:gridSpan w:val="10"/>
            <w:tcBorders>
              <w:tl2br w:val="nil"/>
              <w:tr2bl w:val="nil"/>
            </w:tcBorders>
            <w:shd w:val="clear" w:color="auto" w:fill="auto"/>
            <w:vAlign w:val="center"/>
          </w:tcPr>
          <w:p w14:paraId="706CA3A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序号（编号）</w:t>
            </w:r>
          </w:p>
        </w:tc>
        <w:tc>
          <w:tcPr>
            <w:tcW w:w="409" w:type="pct"/>
            <w:gridSpan w:val="3"/>
            <w:tcBorders>
              <w:tl2br w:val="nil"/>
              <w:tr2bl w:val="nil"/>
            </w:tcBorders>
            <w:shd w:val="clear" w:color="auto" w:fill="auto"/>
            <w:vAlign w:val="center"/>
          </w:tcPr>
          <w:p w14:paraId="58C428D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名称</w:t>
            </w:r>
          </w:p>
        </w:tc>
        <w:tc>
          <w:tcPr>
            <w:tcW w:w="413" w:type="pct"/>
            <w:gridSpan w:val="10"/>
            <w:tcBorders>
              <w:tl2br w:val="nil"/>
              <w:tr2bl w:val="nil"/>
            </w:tcBorders>
            <w:shd w:val="clear" w:color="auto" w:fill="auto"/>
            <w:vAlign w:val="center"/>
          </w:tcPr>
          <w:p w14:paraId="49843D8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污染治理设施处理水量</w:t>
            </w:r>
            <w:r>
              <w:rPr>
                <w:rStyle w:val="159"/>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吨</w:t>
            </w:r>
            <w:r>
              <w:rPr>
                <w:rStyle w:val="159"/>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小时）</w:t>
            </w:r>
          </w:p>
        </w:tc>
        <w:tc>
          <w:tcPr>
            <w:tcW w:w="851" w:type="pct"/>
            <w:gridSpan w:val="17"/>
            <w:vMerge w:val="continue"/>
            <w:tcBorders>
              <w:tl2br w:val="nil"/>
              <w:tr2bl w:val="nil"/>
            </w:tcBorders>
            <w:shd w:val="clear" w:color="auto" w:fill="auto"/>
            <w:vAlign w:val="center"/>
          </w:tcPr>
          <w:p w14:paraId="0EC699A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5594039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污染物种类</w:t>
            </w:r>
          </w:p>
        </w:tc>
        <w:tc>
          <w:tcPr>
            <w:tcW w:w="261" w:type="pct"/>
            <w:gridSpan w:val="6"/>
            <w:tcBorders>
              <w:tl2br w:val="nil"/>
              <w:tr2bl w:val="nil"/>
            </w:tcBorders>
            <w:shd w:val="clear" w:color="auto" w:fill="auto"/>
            <w:vAlign w:val="center"/>
          </w:tcPr>
          <w:p w14:paraId="3E452AB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排放浓度</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（毫克</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升）</w:t>
            </w:r>
          </w:p>
        </w:tc>
        <w:tc>
          <w:tcPr>
            <w:tcW w:w="261" w:type="pct"/>
            <w:gridSpan w:val="4"/>
            <w:tcBorders>
              <w:tl2br w:val="nil"/>
              <w:tr2bl w:val="nil"/>
            </w:tcBorders>
            <w:shd w:val="clear" w:color="auto" w:fill="auto"/>
            <w:vAlign w:val="center"/>
          </w:tcPr>
          <w:p w14:paraId="445AABB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430" w:type="pct"/>
            <w:gridSpan w:val="3"/>
            <w:tcBorders>
              <w:tl2br w:val="nil"/>
              <w:tr2bl w:val="nil"/>
            </w:tcBorders>
            <w:shd w:val="clear" w:color="auto" w:fill="auto"/>
            <w:vAlign w:val="center"/>
          </w:tcPr>
          <w:p w14:paraId="60480E9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排放标准名称</w:t>
            </w:r>
          </w:p>
        </w:tc>
      </w:tr>
      <w:tr w14:paraId="6B2D0D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36C158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4813F9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41C41236">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34" w:type="pct"/>
            <w:gridSpan w:val="4"/>
            <w:tcBorders>
              <w:tl2br w:val="nil"/>
              <w:tr2bl w:val="nil"/>
            </w:tcBorders>
            <w:shd w:val="clear" w:color="auto" w:fill="auto"/>
            <w:vAlign w:val="center"/>
          </w:tcPr>
          <w:p w14:paraId="14913316">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9" w:type="pct"/>
            <w:gridSpan w:val="3"/>
            <w:tcBorders>
              <w:tl2br w:val="nil"/>
              <w:tr2bl w:val="nil"/>
            </w:tcBorders>
            <w:shd w:val="clear" w:color="auto" w:fill="auto"/>
            <w:vAlign w:val="center"/>
          </w:tcPr>
          <w:p w14:paraId="2CAEC08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16" w:type="pct"/>
            <w:gridSpan w:val="10"/>
            <w:tcBorders>
              <w:tl2br w:val="nil"/>
              <w:tr2bl w:val="nil"/>
            </w:tcBorders>
            <w:shd w:val="clear" w:color="auto" w:fill="auto"/>
            <w:vAlign w:val="center"/>
          </w:tcPr>
          <w:p w14:paraId="1AEB31E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09" w:type="pct"/>
            <w:gridSpan w:val="3"/>
            <w:tcBorders>
              <w:tl2br w:val="nil"/>
              <w:tr2bl w:val="nil"/>
            </w:tcBorders>
            <w:shd w:val="clear" w:color="auto" w:fill="auto"/>
            <w:vAlign w:val="center"/>
          </w:tcPr>
          <w:p w14:paraId="317F2D3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3" w:type="pct"/>
            <w:gridSpan w:val="10"/>
            <w:tcBorders>
              <w:tl2br w:val="nil"/>
              <w:tr2bl w:val="nil"/>
            </w:tcBorders>
            <w:shd w:val="clear" w:color="auto" w:fill="auto"/>
            <w:vAlign w:val="center"/>
          </w:tcPr>
          <w:p w14:paraId="29599A0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1" w:type="pct"/>
            <w:gridSpan w:val="17"/>
            <w:tcBorders>
              <w:tl2br w:val="nil"/>
              <w:tr2bl w:val="nil"/>
            </w:tcBorders>
            <w:shd w:val="clear" w:color="auto" w:fill="auto"/>
            <w:vAlign w:val="center"/>
          </w:tcPr>
          <w:p w14:paraId="03C0264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 w:type="pct"/>
            <w:gridSpan w:val="4"/>
            <w:tcBorders>
              <w:tl2br w:val="nil"/>
              <w:tr2bl w:val="nil"/>
            </w:tcBorders>
            <w:shd w:val="clear" w:color="auto" w:fill="auto"/>
            <w:vAlign w:val="center"/>
          </w:tcPr>
          <w:p w14:paraId="17DEE0B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1" w:type="pct"/>
            <w:gridSpan w:val="6"/>
            <w:tcBorders>
              <w:tl2br w:val="nil"/>
              <w:tr2bl w:val="nil"/>
            </w:tcBorders>
            <w:shd w:val="clear" w:color="auto" w:fill="auto"/>
            <w:vAlign w:val="center"/>
          </w:tcPr>
          <w:p w14:paraId="66E6993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1" w:type="pct"/>
            <w:gridSpan w:val="4"/>
            <w:tcBorders>
              <w:tl2br w:val="nil"/>
              <w:tr2bl w:val="nil"/>
            </w:tcBorders>
            <w:shd w:val="clear" w:color="auto" w:fill="auto"/>
            <w:vAlign w:val="center"/>
          </w:tcPr>
          <w:p w14:paraId="34C61C7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30" w:type="pct"/>
            <w:gridSpan w:val="3"/>
            <w:tcBorders>
              <w:tl2br w:val="nil"/>
              <w:tr2bl w:val="nil"/>
            </w:tcBorders>
            <w:shd w:val="clear" w:color="auto" w:fill="auto"/>
            <w:vAlign w:val="center"/>
          </w:tcPr>
          <w:p w14:paraId="4D5275D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67E13A9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3DFD603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6FE6FBB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72C561C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34" w:type="pct"/>
            <w:gridSpan w:val="4"/>
            <w:tcBorders>
              <w:tl2br w:val="nil"/>
              <w:tr2bl w:val="nil"/>
            </w:tcBorders>
            <w:shd w:val="clear" w:color="auto" w:fill="auto"/>
            <w:vAlign w:val="center"/>
          </w:tcPr>
          <w:p w14:paraId="6FD9166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9" w:type="pct"/>
            <w:gridSpan w:val="3"/>
            <w:tcBorders>
              <w:tl2br w:val="nil"/>
              <w:tr2bl w:val="nil"/>
            </w:tcBorders>
            <w:shd w:val="clear" w:color="auto" w:fill="auto"/>
            <w:vAlign w:val="center"/>
          </w:tcPr>
          <w:p w14:paraId="3F7DAA1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16" w:type="pct"/>
            <w:gridSpan w:val="10"/>
            <w:tcBorders>
              <w:tl2br w:val="nil"/>
              <w:tr2bl w:val="nil"/>
            </w:tcBorders>
            <w:shd w:val="clear" w:color="auto" w:fill="auto"/>
            <w:vAlign w:val="center"/>
          </w:tcPr>
          <w:p w14:paraId="13EB73D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09" w:type="pct"/>
            <w:gridSpan w:val="3"/>
            <w:tcBorders>
              <w:tl2br w:val="nil"/>
              <w:tr2bl w:val="nil"/>
            </w:tcBorders>
            <w:shd w:val="clear" w:color="auto" w:fill="auto"/>
            <w:vAlign w:val="center"/>
          </w:tcPr>
          <w:p w14:paraId="0182477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3" w:type="pct"/>
            <w:gridSpan w:val="10"/>
            <w:tcBorders>
              <w:tl2br w:val="nil"/>
              <w:tr2bl w:val="nil"/>
            </w:tcBorders>
            <w:shd w:val="clear" w:color="auto" w:fill="auto"/>
            <w:vAlign w:val="center"/>
          </w:tcPr>
          <w:p w14:paraId="47EE3DC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1" w:type="pct"/>
            <w:gridSpan w:val="17"/>
            <w:tcBorders>
              <w:tl2br w:val="nil"/>
              <w:tr2bl w:val="nil"/>
            </w:tcBorders>
            <w:shd w:val="clear" w:color="auto" w:fill="auto"/>
            <w:vAlign w:val="center"/>
          </w:tcPr>
          <w:p w14:paraId="6CB1FF4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 w:type="pct"/>
            <w:gridSpan w:val="4"/>
            <w:tcBorders>
              <w:tl2br w:val="nil"/>
              <w:tr2bl w:val="nil"/>
            </w:tcBorders>
            <w:shd w:val="clear" w:color="auto" w:fill="auto"/>
            <w:vAlign w:val="center"/>
          </w:tcPr>
          <w:p w14:paraId="08EE412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1" w:type="pct"/>
            <w:gridSpan w:val="6"/>
            <w:tcBorders>
              <w:tl2br w:val="nil"/>
              <w:tr2bl w:val="nil"/>
            </w:tcBorders>
            <w:shd w:val="clear" w:color="auto" w:fill="auto"/>
            <w:vAlign w:val="center"/>
          </w:tcPr>
          <w:p w14:paraId="0F72E4E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1" w:type="pct"/>
            <w:gridSpan w:val="4"/>
            <w:tcBorders>
              <w:tl2br w:val="nil"/>
              <w:tr2bl w:val="nil"/>
            </w:tcBorders>
            <w:shd w:val="clear" w:color="auto" w:fill="auto"/>
            <w:vAlign w:val="center"/>
          </w:tcPr>
          <w:p w14:paraId="7214F8A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30" w:type="pct"/>
            <w:gridSpan w:val="3"/>
            <w:tcBorders>
              <w:tl2br w:val="nil"/>
              <w:tr2bl w:val="nil"/>
            </w:tcBorders>
            <w:shd w:val="clear" w:color="auto" w:fill="auto"/>
            <w:vAlign w:val="center"/>
          </w:tcPr>
          <w:p w14:paraId="49AFAA2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6993A1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EA18F1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4FD4470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49CFD98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34" w:type="pct"/>
            <w:gridSpan w:val="4"/>
            <w:tcBorders>
              <w:tl2br w:val="nil"/>
              <w:tr2bl w:val="nil"/>
            </w:tcBorders>
            <w:shd w:val="clear" w:color="auto" w:fill="auto"/>
            <w:vAlign w:val="center"/>
          </w:tcPr>
          <w:p w14:paraId="633230B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9" w:type="pct"/>
            <w:gridSpan w:val="3"/>
            <w:tcBorders>
              <w:tl2br w:val="nil"/>
              <w:tr2bl w:val="nil"/>
            </w:tcBorders>
            <w:shd w:val="clear" w:color="auto" w:fill="auto"/>
            <w:vAlign w:val="center"/>
          </w:tcPr>
          <w:p w14:paraId="72AD454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16" w:type="pct"/>
            <w:gridSpan w:val="10"/>
            <w:tcBorders>
              <w:tl2br w:val="nil"/>
              <w:tr2bl w:val="nil"/>
            </w:tcBorders>
            <w:shd w:val="clear" w:color="auto" w:fill="auto"/>
            <w:vAlign w:val="center"/>
          </w:tcPr>
          <w:p w14:paraId="7923C8A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09" w:type="pct"/>
            <w:gridSpan w:val="3"/>
            <w:tcBorders>
              <w:tl2br w:val="nil"/>
              <w:tr2bl w:val="nil"/>
            </w:tcBorders>
            <w:shd w:val="clear" w:color="auto" w:fill="auto"/>
            <w:vAlign w:val="center"/>
          </w:tcPr>
          <w:p w14:paraId="7E2F62A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3" w:type="pct"/>
            <w:gridSpan w:val="10"/>
            <w:tcBorders>
              <w:tl2br w:val="nil"/>
              <w:tr2bl w:val="nil"/>
            </w:tcBorders>
            <w:shd w:val="clear" w:color="auto" w:fill="auto"/>
            <w:vAlign w:val="center"/>
          </w:tcPr>
          <w:p w14:paraId="0B0A526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1" w:type="pct"/>
            <w:gridSpan w:val="17"/>
            <w:tcBorders>
              <w:tl2br w:val="nil"/>
              <w:tr2bl w:val="nil"/>
            </w:tcBorders>
            <w:shd w:val="clear" w:color="auto" w:fill="auto"/>
            <w:vAlign w:val="center"/>
          </w:tcPr>
          <w:p w14:paraId="04C2027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 w:type="pct"/>
            <w:gridSpan w:val="4"/>
            <w:tcBorders>
              <w:tl2br w:val="nil"/>
              <w:tr2bl w:val="nil"/>
            </w:tcBorders>
            <w:shd w:val="clear" w:color="auto" w:fill="auto"/>
            <w:vAlign w:val="center"/>
          </w:tcPr>
          <w:p w14:paraId="36E03F5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1" w:type="pct"/>
            <w:gridSpan w:val="6"/>
            <w:tcBorders>
              <w:tl2br w:val="nil"/>
              <w:tr2bl w:val="nil"/>
            </w:tcBorders>
            <w:shd w:val="clear" w:color="auto" w:fill="auto"/>
            <w:vAlign w:val="center"/>
          </w:tcPr>
          <w:p w14:paraId="7A796A6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1" w:type="pct"/>
            <w:gridSpan w:val="4"/>
            <w:tcBorders>
              <w:tl2br w:val="nil"/>
              <w:tr2bl w:val="nil"/>
            </w:tcBorders>
            <w:shd w:val="clear" w:color="auto" w:fill="auto"/>
            <w:vAlign w:val="center"/>
          </w:tcPr>
          <w:p w14:paraId="02CF98F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30" w:type="pct"/>
            <w:gridSpan w:val="3"/>
            <w:tcBorders>
              <w:tl2br w:val="nil"/>
              <w:tr2bl w:val="nil"/>
            </w:tcBorders>
            <w:shd w:val="clear" w:color="auto" w:fill="auto"/>
            <w:vAlign w:val="center"/>
          </w:tcPr>
          <w:p w14:paraId="44BC92A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05E027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507687A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7A38E94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47F0D25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34" w:type="pct"/>
            <w:gridSpan w:val="4"/>
            <w:tcBorders>
              <w:tl2br w:val="nil"/>
              <w:tr2bl w:val="nil"/>
            </w:tcBorders>
            <w:shd w:val="clear" w:color="auto" w:fill="auto"/>
            <w:vAlign w:val="center"/>
          </w:tcPr>
          <w:p w14:paraId="7ED8151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9" w:type="pct"/>
            <w:gridSpan w:val="3"/>
            <w:tcBorders>
              <w:tl2br w:val="nil"/>
              <w:tr2bl w:val="nil"/>
            </w:tcBorders>
            <w:shd w:val="clear" w:color="auto" w:fill="auto"/>
            <w:vAlign w:val="center"/>
          </w:tcPr>
          <w:p w14:paraId="2541AFB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16" w:type="pct"/>
            <w:gridSpan w:val="10"/>
            <w:tcBorders>
              <w:tl2br w:val="nil"/>
              <w:tr2bl w:val="nil"/>
            </w:tcBorders>
            <w:shd w:val="clear" w:color="auto" w:fill="auto"/>
            <w:vAlign w:val="center"/>
          </w:tcPr>
          <w:p w14:paraId="60145B7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09" w:type="pct"/>
            <w:gridSpan w:val="3"/>
            <w:tcBorders>
              <w:tl2br w:val="nil"/>
              <w:tr2bl w:val="nil"/>
            </w:tcBorders>
            <w:shd w:val="clear" w:color="auto" w:fill="auto"/>
            <w:vAlign w:val="center"/>
          </w:tcPr>
          <w:p w14:paraId="0FCA810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3" w:type="pct"/>
            <w:gridSpan w:val="10"/>
            <w:tcBorders>
              <w:tl2br w:val="nil"/>
              <w:tr2bl w:val="nil"/>
            </w:tcBorders>
            <w:shd w:val="clear" w:color="auto" w:fill="auto"/>
            <w:vAlign w:val="center"/>
          </w:tcPr>
          <w:p w14:paraId="737316F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1" w:type="pct"/>
            <w:gridSpan w:val="17"/>
            <w:tcBorders>
              <w:tl2br w:val="nil"/>
              <w:tr2bl w:val="nil"/>
            </w:tcBorders>
            <w:shd w:val="clear" w:color="auto" w:fill="auto"/>
            <w:vAlign w:val="center"/>
          </w:tcPr>
          <w:p w14:paraId="1DE88D1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 w:type="pct"/>
            <w:gridSpan w:val="4"/>
            <w:tcBorders>
              <w:tl2br w:val="nil"/>
              <w:tr2bl w:val="nil"/>
            </w:tcBorders>
            <w:shd w:val="clear" w:color="auto" w:fill="auto"/>
            <w:vAlign w:val="center"/>
          </w:tcPr>
          <w:p w14:paraId="2A30EB1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1" w:type="pct"/>
            <w:gridSpan w:val="6"/>
            <w:tcBorders>
              <w:tl2br w:val="nil"/>
              <w:tr2bl w:val="nil"/>
            </w:tcBorders>
            <w:shd w:val="clear" w:color="auto" w:fill="auto"/>
            <w:vAlign w:val="center"/>
          </w:tcPr>
          <w:p w14:paraId="3F03ECA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1" w:type="pct"/>
            <w:gridSpan w:val="4"/>
            <w:tcBorders>
              <w:tl2br w:val="nil"/>
              <w:tr2bl w:val="nil"/>
            </w:tcBorders>
            <w:shd w:val="clear" w:color="auto" w:fill="auto"/>
            <w:vAlign w:val="center"/>
          </w:tcPr>
          <w:p w14:paraId="79DDD04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30" w:type="pct"/>
            <w:gridSpan w:val="3"/>
            <w:tcBorders>
              <w:tl2br w:val="nil"/>
              <w:tr2bl w:val="nil"/>
            </w:tcBorders>
            <w:shd w:val="clear" w:color="auto" w:fill="auto"/>
            <w:vAlign w:val="center"/>
          </w:tcPr>
          <w:p w14:paraId="2E9F5CD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656BDF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5C48FC9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restart"/>
            <w:tcBorders>
              <w:tl2br w:val="nil"/>
              <w:tr2bl w:val="nil"/>
            </w:tcBorders>
            <w:shd w:val="clear" w:color="auto" w:fill="auto"/>
            <w:vAlign w:val="center"/>
          </w:tcPr>
          <w:p w14:paraId="0C7A7E9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总排放口（间接排放）</w:t>
            </w:r>
          </w:p>
        </w:tc>
        <w:tc>
          <w:tcPr>
            <w:tcW w:w="208" w:type="pct"/>
            <w:vMerge w:val="restart"/>
            <w:tcBorders>
              <w:tl2br w:val="nil"/>
              <w:tr2bl w:val="nil"/>
            </w:tcBorders>
            <w:shd w:val="clear" w:color="auto" w:fill="auto"/>
            <w:vAlign w:val="center"/>
          </w:tcPr>
          <w:p w14:paraId="6FB278F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（编号）</w:t>
            </w:r>
          </w:p>
        </w:tc>
        <w:tc>
          <w:tcPr>
            <w:tcW w:w="634" w:type="pct"/>
            <w:gridSpan w:val="4"/>
            <w:vMerge w:val="restart"/>
            <w:tcBorders>
              <w:tl2br w:val="nil"/>
              <w:tr2bl w:val="nil"/>
            </w:tcBorders>
            <w:shd w:val="clear" w:color="auto" w:fill="auto"/>
            <w:vAlign w:val="center"/>
          </w:tcPr>
          <w:p w14:paraId="4DD9C37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排放口名称</w:t>
            </w:r>
          </w:p>
        </w:tc>
        <w:tc>
          <w:tcPr>
            <w:tcW w:w="419" w:type="pct"/>
            <w:gridSpan w:val="3"/>
            <w:vMerge w:val="restart"/>
            <w:tcBorders>
              <w:tl2br w:val="nil"/>
              <w:tr2bl w:val="nil"/>
            </w:tcBorders>
            <w:shd w:val="clear" w:color="auto" w:fill="auto"/>
            <w:vAlign w:val="center"/>
          </w:tcPr>
          <w:p w14:paraId="5AD4C24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污染防治设施工艺</w:t>
            </w:r>
          </w:p>
        </w:tc>
        <w:tc>
          <w:tcPr>
            <w:tcW w:w="616" w:type="pct"/>
            <w:gridSpan w:val="10"/>
            <w:vMerge w:val="restart"/>
            <w:tcBorders>
              <w:tl2br w:val="nil"/>
              <w:tr2bl w:val="nil"/>
            </w:tcBorders>
            <w:shd w:val="clear" w:color="auto" w:fill="auto"/>
            <w:vAlign w:val="center"/>
          </w:tcPr>
          <w:p w14:paraId="5263FD8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污染防治设施处理水量（吨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小时）</w:t>
            </w:r>
          </w:p>
        </w:tc>
        <w:tc>
          <w:tcPr>
            <w:tcW w:w="823" w:type="pct"/>
            <w:gridSpan w:val="13"/>
            <w:tcBorders>
              <w:tl2br w:val="nil"/>
              <w:tr2bl w:val="nil"/>
            </w:tcBorders>
            <w:shd w:val="clear" w:color="auto" w:fill="auto"/>
            <w:vAlign w:val="center"/>
          </w:tcPr>
          <w:p w14:paraId="2F85FF8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受纳污水处理厂</w:t>
            </w:r>
          </w:p>
        </w:tc>
        <w:tc>
          <w:tcPr>
            <w:tcW w:w="851" w:type="pct"/>
            <w:gridSpan w:val="17"/>
            <w:vMerge w:val="restart"/>
            <w:tcBorders>
              <w:tl2br w:val="nil"/>
              <w:tr2bl w:val="nil"/>
            </w:tcBorders>
            <w:shd w:val="clear" w:color="auto" w:fill="auto"/>
            <w:vAlign w:val="center"/>
          </w:tcPr>
          <w:p w14:paraId="58E53BC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受纳污水处理厂排放标准名称</w:t>
            </w:r>
          </w:p>
        </w:tc>
        <w:tc>
          <w:tcPr>
            <w:tcW w:w="1153" w:type="pct"/>
            <w:gridSpan w:val="17"/>
            <w:tcBorders>
              <w:tl2br w:val="nil"/>
              <w:tr2bl w:val="nil"/>
            </w:tcBorders>
            <w:shd w:val="clear" w:color="auto" w:fill="auto"/>
            <w:vAlign w:val="center"/>
          </w:tcPr>
          <w:p w14:paraId="1B04B4B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污染物排放</w:t>
            </w:r>
          </w:p>
        </w:tc>
      </w:tr>
      <w:tr w14:paraId="36C40E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6D5978E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6BFA139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651FF13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77C7BAD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0CBC276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3B494C5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09" w:type="pct"/>
            <w:gridSpan w:val="3"/>
            <w:vMerge w:val="restart"/>
            <w:tcBorders>
              <w:tl2br w:val="nil"/>
              <w:tr2bl w:val="nil"/>
            </w:tcBorders>
            <w:shd w:val="clear" w:color="auto" w:fill="auto"/>
            <w:vAlign w:val="center"/>
          </w:tcPr>
          <w:p w14:paraId="3D6D6A8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名称</w:t>
            </w:r>
          </w:p>
        </w:tc>
        <w:tc>
          <w:tcPr>
            <w:tcW w:w="413" w:type="pct"/>
            <w:gridSpan w:val="10"/>
            <w:vMerge w:val="restart"/>
            <w:tcBorders>
              <w:tl2br w:val="nil"/>
              <w:tr2bl w:val="nil"/>
            </w:tcBorders>
            <w:shd w:val="clear" w:color="auto" w:fill="auto"/>
            <w:vAlign w:val="center"/>
          </w:tcPr>
          <w:p w14:paraId="0C637F0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编号</w:t>
            </w:r>
          </w:p>
        </w:tc>
        <w:tc>
          <w:tcPr>
            <w:tcW w:w="851" w:type="pct"/>
            <w:gridSpan w:val="17"/>
            <w:vMerge w:val="continue"/>
            <w:tcBorders>
              <w:tl2br w:val="nil"/>
              <w:tr2bl w:val="nil"/>
            </w:tcBorders>
            <w:shd w:val="clear" w:color="auto" w:fill="auto"/>
            <w:vAlign w:val="center"/>
          </w:tcPr>
          <w:p w14:paraId="0278187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vMerge w:val="restart"/>
            <w:tcBorders>
              <w:tl2br w:val="nil"/>
              <w:tr2bl w:val="nil"/>
            </w:tcBorders>
            <w:shd w:val="clear" w:color="auto" w:fill="auto"/>
            <w:vAlign w:val="center"/>
          </w:tcPr>
          <w:p w14:paraId="4CECB36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污染物种类</w:t>
            </w:r>
          </w:p>
        </w:tc>
        <w:tc>
          <w:tcPr>
            <w:tcW w:w="261" w:type="pct"/>
            <w:gridSpan w:val="6"/>
            <w:vMerge w:val="restart"/>
            <w:tcBorders>
              <w:tl2br w:val="nil"/>
              <w:tr2bl w:val="nil"/>
            </w:tcBorders>
            <w:shd w:val="clear" w:color="auto" w:fill="auto"/>
            <w:vAlign w:val="center"/>
          </w:tcPr>
          <w:p w14:paraId="2C310AF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排放浓度</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（毫克</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升）</w:t>
            </w:r>
          </w:p>
        </w:tc>
        <w:tc>
          <w:tcPr>
            <w:tcW w:w="261" w:type="pct"/>
            <w:gridSpan w:val="4"/>
            <w:vMerge w:val="restart"/>
            <w:tcBorders>
              <w:tl2br w:val="nil"/>
              <w:tr2bl w:val="nil"/>
            </w:tcBorders>
            <w:shd w:val="clear" w:color="auto" w:fill="auto"/>
            <w:vAlign w:val="center"/>
          </w:tcPr>
          <w:p w14:paraId="267CA07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430" w:type="pct"/>
            <w:gridSpan w:val="3"/>
            <w:vMerge w:val="restart"/>
            <w:tcBorders>
              <w:tl2br w:val="nil"/>
              <w:tr2bl w:val="nil"/>
            </w:tcBorders>
            <w:shd w:val="clear" w:color="auto" w:fill="auto"/>
            <w:vAlign w:val="center"/>
          </w:tcPr>
          <w:p w14:paraId="77360B9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排放标准名称</w:t>
            </w:r>
          </w:p>
        </w:tc>
      </w:tr>
      <w:tr w14:paraId="4044DC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1C32C0F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26D61F1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1BF55F9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305B192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7110977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1EED7F7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09" w:type="pct"/>
            <w:gridSpan w:val="3"/>
            <w:vMerge w:val="continue"/>
            <w:tcBorders>
              <w:tl2br w:val="nil"/>
              <w:tr2bl w:val="nil"/>
            </w:tcBorders>
            <w:shd w:val="clear" w:color="auto" w:fill="auto"/>
            <w:vAlign w:val="center"/>
          </w:tcPr>
          <w:p w14:paraId="13042EE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3" w:type="pct"/>
            <w:gridSpan w:val="10"/>
            <w:vMerge w:val="continue"/>
            <w:tcBorders>
              <w:tl2br w:val="nil"/>
              <w:tr2bl w:val="nil"/>
            </w:tcBorders>
            <w:shd w:val="clear" w:color="auto" w:fill="auto"/>
            <w:vAlign w:val="center"/>
          </w:tcPr>
          <w:p w14:paraId="0DC125B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18914A5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vMerge w:val="continue"/>
            <w:tcBorders>
              <w:tl2br w:val="nil"/>
              <w:tr2bl w:val="nil"/>
            </w:tcBorders>
            <w:shd w:val="clear" w:color="auto" w:fill="auto"/>
            <w:vAlign w:val="center"/>
          </w:tcPr>
          <w:p w14:paraId="7917EFE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61" w:type="pct"/>
            <w:gridSpan w:val="6"/>
            <w:vMerge w:val="continue"/>
            <w:tcBorders>
              <w:tl2br w:val="nil"/>
              <w:tr2bl w:val="nil"/>
            </w:tcBorders>
            <w:shd w:val="clear" w:color="auto" w:fill="auto"/>
            <w:vAlign w:val="center"/>
          </w:tcPr>
          <w:p w14:paraId="78DEB0D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61" w:type="pct"/>
            <w:gridSpan w:val="4"/>
            <w:vMerge w:val="continue"/>
            <w:tcBorders>
              <w:tl2br w:val="nil"/>
              <w:tr2bl w:val="nil"/>
            </w:tcBorders>
            <w:shd w:val="clear" w:color="auto" w:fill="auto"/>
            <w:vAlign w:val="center"/>
          </w:tcPr>
          <w:p w14:paraId="4BA379E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30" w:type="pct"/>
            <w:gridSpan w:val="3"/>
            <w:vMerge w:val="continue"/>
            <w:tcBorders>
              <w:tl2br w:val="nil"/>
              <w:tr2bl w:val="nil"/>
            </w:tcBorders>
            <w:shd w:val="clear" w:color="auto" w:fill="auto"/>
            <w:vAlign w:val="center"/>
          </w:tcPr>
          <w:p w14:paraId="1B84D42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414D9CA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4F3487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3B67087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restart"/>
            <w:tcBorders>
              <w:tl2br w:val="nil"/>
              <w:tr2bl w:val="nil"/>
            </w:tcBorders>
            <w:shd w:val="clear" w:color="auto" w:fill="auto"/>
            <w:vAlign w:val="center"/>
          </w:tcPr>
          <w:p w14:paraId="79DC8230">
            <w:pP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TW001</w:t>
            </w:r>
          </w:p>
        </w:tc>
        <w:tc>
          <w:tcPr>
            <w:tcW w:w="634" w:type="pct"/>
            <w:gridSpan w:val="4"/>
            <w:vMerge w:val="restart"/>
            <w:tcBorders>
              <w:tl2br w:val="nil"/>
              <w:tr2bl w:val="nil"/>
            </w:tcBorders>
            <w:shd w:val="clear" w:color="auto" w:fill="auto"/>
            <w:vAlign w:val="center"/>
          </w:tcPr>
          <w:p w14:paraId="50670EF5">
            <w:pP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生活污水排放口</w:t>
            </w:r>
          </w:p>
        </w:tc>
        <w:tc>
          <w:tcPr>
            <w:tcW w:w="419" w:type="pct"/>
            <w:gridSpan w:val="3"/>
            <w:vMerge w:val="restart"/>
            <w:tcBorders>
              <w:tl2br w:val="nil"/>
              <w:tr2bl w:val="nil"/>
            </w:tcBorders>
            <w:shd w:val="clear" w:color="auto" w:fill="auto"/>
            <w:vAlign w:val="center"/>
          </w:tcPr>
          <w:p w14:paraId="2AFCC0AC">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化粪池</w:t>
            </w:r>
          </w:p>
        </w:tc>
        <w:tc>
          <w:tcPr>
            <w:tcW w:w="616" w:type="pct"/>
            <w:gridSpan w:val="10"/>
            <w:vMerge w:val="restart"/>
            <w:tcBorders>
              <w:tl2br w:val="nil"/>
              <w:tr2bl w:val="nil"/>
            </w:tcBorders>
            <w:shd w:val="clear" w:color="auto" w:fill="auto"/>
            <w:vAlign w:val="center"/>
          </w:tcPr>
          <w:p w14:paraId="5D511CE7">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23" w:type="pct"/>
            <w:gridSpan w:val="13"/>
            <w:vMerge w:val="restart"/>
            <w:tcBorders>
              <w:tl2br w:val="nil"/>
              <w:tr2bl w:val="nil"/>
            </w:tcBorders>
            <w:shd w:val="clear" w:color="auto" w:fill="auto"/>
            <w:vAlign w:val="center"/>
          </w:tcPr>
          <w:p w14:paraId="5E6C3260">
            <w:pPr>
              <w:jc w:val="center"/>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p>
        </w:tc>
        <w:tc>
          <w:tcPr>
            <w:tcW w:w="851" w:type="pct"/>
            <w:gridSpan w:val="17"/>
            <w:vMerge w:val="restart"/>
            <w:tcBorders>
              <w:tl2br w:val="nil"/>
              <w:tr2bl w:val="nil"/>
            </w:tcBorders>
            <w:shd w:val="clear" w:color="auto" w:fill="auto"/>
            <w:vAlign w:val="center"/>
          </w:tcPr>
          <w:p w14:paraId="2AAA06FE">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COD、NH</w:t>
            </w:r>
            <w:r>
              <w:rPr>
                <w:rFonts w:hint="default" w:ascii="Times New Roman" w:hAnsi="Times New Roman" w:eastAsia="宋体" w:cs="Times New Roman"/>
                <w:i w:val="0"/>
                <w:iCs w:val="0"/>
                <w:color w:val="000000" w:themeColor="text1"/>
                <w:sz w:val="21"/>
                <w:szCs w:val="21"/>
                <w:u w:val="none" w:color="auto"/>
                <w:vertAlign w:val="subscript"/>
                <w14:textFill>
                  <w14:solidFill>
                    <w14:schemeClr w14:val="tx1"/>
                  </w14:solidFill>
                </w14:textFill>
              </w:rPr>
              <w:t>3</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-N、TP、TN达到《湖南省城镇污水处理厂主要水污染物排放标准（DB</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43/T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1546-2018）》表1中二级标准，其它污染物达到《城镇污水处理厂污染物排放标准》（GB</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18918-2002）一级A标准排放</w:t>
            </w:r>
          </w:p>
        </w:tc>
        <w:tc>
          <w:tcPr>
            <w:tcW w:w="200" w:type="pct"/>
            <w:gridSpan w:val="4"/>
            <w:tcBorders>
              <w:tl2br w:val="nil"/>
              <w:tr2bl w:val="nil"/>
            </w:tcBorders>
            <w:shd w:val="clear" w:color="auto" w:fill="auto"/>
            <w:vAlign w:val="center"/>
          </w:tcPr>
          <w:p w14:paraId="7F1A9C88">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COD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Cr</w:t>
            </w:r>
          </w:p>
        </w:tc>
        <w:tc>
          <w:tcPr>
            <w:tcW w:w="261" w:type="pct"/>
            <w:gridSpan w:val="6"/>
            <w:tcBorders>
              <w:tl2br w:val="nil"/>
              <w:tr2bl w:val="nil"/>
            </w:tcBorders>
            <w:shd w:val="clear" w:color="auto" w:fill="auto"/>
            <w:vAlign w:val="center"/>
          </w:tcPr>
          <w:p w14:paraId="369F18A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200</w:t>
            </w:r>
          </w:p>
        </w:tc>
        <w:tc>
          <w:tcPr>
            <w:tcW w:w="261" w:type="pct"/>
            <w:gridSpan w:val="4"/>
            <w:tcBorders>
              <w:tl2br w:val="nil"/>
              <w:tr2bl w:val="nil"/>
            </w:tcBorders>
            <w:shd w:val="clear" w:color="auto" w:fill="auto"/>
            <w:vAlign w:val="center"/>
          </w:tcPr>
          <w:p w14:paraId="57DF8BB1">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szCs w:val="21"/>
                <w:u w:val="none" w:color="auto"/>
                <w:lang w:val="en-US" w:eastAsia="zh-CN"/>
                <w14:textFill>
                  <w14:solidFill>
                    <w14:schemeClr w14:val="tx1"/>
                  </w14:solidFill>
                </w14:textFill>
              </w:rPr>
              <w:t>0.1392</w:t>
            </w:r>
          </w:p>
        </w:tc>
        <w:tc>
          <w:tcPr>
            <w:tcW w:w="430" w:type="pct"/>
            <w:gridSpan w:val="3"/>
            <w:vMerge w:val="restart"/>
            <w:tcBorders>
              <w:tl2br w:val="nil"/>
              <w:tr2bl w:val="nil"/>
            </w:tcBorders>
            <w:shd w:val="clear" w:color="auto" w:fill="auto"/>
            <w:vAlign w:val="center"/>
          </w:tcPr>
          <w:p w14:paraId="267ED66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《污水综合排放标准》（GB</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8978-1996）表4三级标准及平江高新技术产业园污水处理厂进水水质要求中的较严值</w:t>
            </w:r>
          </w:p>
        </w:tc>
      </w:tr>
      <w:tr w14:paraId="1D2464D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71EC932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23774D6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75D8CE02">
            <w:pP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2A94F473">
            <w:pP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6C1B7077">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18E8F621">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823" w:type="pct"/>
            <w:gridSpan w:val="13"/>
            <w:vMerge w:val="continue"/>
            <w:tcBorders>
              <w:tl2br w:val="nil"/>
              <w:tr2bl w:val="nil"/>
            </w:tcBorders>
            <w:shd w:val="clear" w:color="auto" w:fill="auto"/>
            <w:vAlign w:val="center"/>
          </w:tcPr>
          <w:p w14:paraId="0C73C343">
            <w:pPr>
              <w:jc w:val="center"/>
              <w:rPr>
                <w:rFonts w:hint="default" w:ascii="Times New Roman" w:hAnsi="Times New Roman" w:eastAsia="宋体" w:cs="Times New Roman"/>
                <w:color w:val="000000" w:themeColor="text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2129837E">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7D6059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BOD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5</w:t>
            </w:r>
          </w:p>
        </w:tc>
        <w:tc>
          <w:tcPr>
            <w:tcW w:w="261" w:type="pct"/>
            <w:gridSpan w:val="6"/>
            <w:tcBorders>
              <w:tl2br w:val="nil"/>
              <w:tr2bl w:val="nil"/>
            </w:tcBorders>
            <w:shd w:val="clear" w:color="auto" w:fill="auto"/>
            <w:vAlign w:val="center"/>
          </w:tcPr>
          <w:p w14:paraId="75B10C2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80</w:t>
            </w:r>
          </w:p>
        </w:tc>
        <w:tc>
          <w:tcPr>
            <w:tcW w:w="261" w:type="pct"/>
            <w:gridSpan w:val="4"/>
            <w:tcBorders>
              <w:tl2br w:val="nil"/>
              <w:tr2bl w:val="nil"/>
            </w:tcBorders>
            <w:shd w:val="clear" w:color="auto" w:fill="auto"/>
            <w:vAlign w:val="center"/>
          </w:tcPr>
          <w:p w14:paraId="413F5749">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szCs w:val="21"/>
                <w:u w:val="none" w:color="auto"/>
                <w:lang w:val="en-US" w:eastAsia="zh-CN"/>
                <w14:textFill>
                  <w14:solidFill>
                    <w14:schemeClr w14:val="tx1"/>
                  </w14:solidFill>
                </w14:textFill>
              </w:rPr>
              <w:t>0.0557</w:t>
            </w:r>
          </w:p>
        </w:tc>
        <w:tc>
          <w:tcPr>
            <w:tcW w:w="430" w:type="pct"/>
            <w:gridSpan w:val="3"/>
            <w:vMerge w:val="continue"/>
            <w:tcBorders>
              <w:tl2br w:val="nil"/>
              <w:tr2bl w:val="nil"/>
            </w:tcBorders>
            <w:shd w:val="clear" w:color="auto" w:fill="auto"/>
            <w:vAlign w:val="center"/>
          </w:tcPr>
          <w:p w14:paraId="4C1FF1B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08188F0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7A958BD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274769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67C7BD33">
            <w:pP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45B6DD0F">
            <w:pP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44546154">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6661BB39">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823" w:type="pct"/>
            <w:gridSpan w:val="13"/>
            <w:vMerge w:val="continue"/>
            <w:tcBorders>
              <w:tl2br w:val="nil"/>
              <w:tr2bl w:val="nil"/>
            </w:tcBorders>
            <w:shd w:val="clear" w:color="auto" w:fill="auto"/>
            <w:vAlign w:val="center"/>
          </w:tcPr>
          <w:p w14:paraId="79996905">
            <w:pPr>
              <w:jc w:val="center"/>
              <w:rPr>
                <w:rFonts w:hint="default" w:ascii="Times New Roman" w:hAnsi="Times New Roman" w:eastAsia="宋体" w:cs="Times New Roman"/>
                <w:color w:val="000000" w:themeColor="text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11136435">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3A22DD8F">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SS</w:t>
            </w:r>
          </w:p>
        </w:tc>
        <w:tc>
          <w:tcPr>
            <w:tcW w:w="261" w:type="pct"/>
            <w:gridSpan w:val="6"/>
            <w:tcBorders>
              <w:tl2br w:val="nil"/>
              <w:tr2bl w:val="nil"/>
            </w:tcBorders>
            <w:shd w:val="clear" w:color="auto" w:fill="auto"/>
            <w:vAlign w:val="center"/>
          </w:tcPr>
          <w:p w14:paraId="4935790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180</w:t>
            </w:r>
          </w:p>
        </w:tc>
        <w:tc>
          <w:tcPr>
            <w:tcW w:w="261" w:type="pct"/>
            <w:gridSpan w:val="4"/>
            <w:tcBorders>
              <w:tl2br w:val="nil"/>
              <w:tr2bl w:val="nil"/>
            </w:tcBorders>
            <w:shd w:val="clear" w:color="auto" w:fill="auto"/>
            <w:vAlign w:val="center"/>
          </w:tcPr>
          <w:p w14:paraId="4C27806D">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szCs w:val="21"/>
                <w:u w:val="none" w:color="auto"/>
                <w:lang w:val="en-US" w:eastAsia="zh-CN"/>
                <w14:textFill>
                  <w14:solidFill>
                    <w14:schemeClr w14:val="tx1"/>
                  </w14:solidFill>
                </w14:textFill>
              </w:rPr>
              <w:t>0.1253</w:t>
            </w:r>
          </w:p>
        </w:tc>
        <w:tc>
          <w:tcPr>
            <w:tcW w:w="430" w:type="pct"/>
            <w:gridSpan w:val="3"/>
            <w:vMerge w:val="continue"/>
            <w:tcBorders>
              <w:tl2br w:val="nil"/>
              <w:tr2bl w:val="nil"/>
            </w:tcBorders>
            <w:shd w:val="clear" w:color="auto" w:fill="auto"/>
            <w:vAlign w:val="center"/>
          </w:tcPr>
          <w:p w14:paraId="60FF95B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08680B8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484B659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3053255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3A04238A">
            <w:pP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633E9896">
            <w:pP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440A6E5F">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793ACF7F">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823" w:type="pct"/>
            <w:gridSpan w:val="13"/>
            <w:vMerge w:val="continue"/>
            <w:tcBorders>
              <w:tl2br w:val="nil"/>
              <w:tr2bl w:val="nil"/>
            </w:tcBorders>
            <w:shd w:val="clear" w:color="auto" w:fill="auto"/>
            <w:vAlign w:val="center"/>
          </w:tcPr>
          <w:p w14:paraId="3260B479">
            <w:pPr>
              <w:jc w:val="center"/>
              <w:rPr>
                <w:rFonts w:hint="default" w:ascii="Times New Roman" w:hAnsi="Times New Roman" w:eastAsia="宋体" w:cs="Times New Roman"/>
                <w:color w:val="000000" w:themeColor="text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15D43CE4">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6D047E1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氨氮</w:t>
            </w:r>
          </w:p>
        </w:tc>
        <w:tc>
          <w:tcPr>
            <w:tcW w:w="261" w:type="pct"/>
            <w:gridSpan w:val="6"/>
            <w:tcBorders>
              <w:tl2br w:val="nil"/>
              <w:tr2bl w:val="nil"/>
            </w:tcBorders>
            <w:shd w:val="clear" w:color="auto" w:fill="auto"/>
            <w:vAlign w:val="center"/>
          </w:tcPr>
          <w:p w14:paraId="7CBDCEF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30</w:t>
            </w:r>
          </w:p>
        </w:tc>
        <w:tc>
          <w:tcPr>
            <w:tcW w:w="261" w:type="pct"/>
            <w:gridSpan w:val="4"/>
            <w:tcBorders>
              <w:tl2br w:val="nil"/>
              <w:tr2bl w:val="nil"/>
            </w:tcBorders>
            <w:shd w:val="clear" w:color="auto" w:fill="auto"/>
            <w:vAlign w:val="center"/>
          </w:tcPr>
          <w:p w14:paraId="152B9773">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szCs w:val="21"/>
                <w:u w:val="none" w:color="auto"/>
                <w:lang w:val="en-US" w:eastAsia="zh-CN"/>
                <w14:textFill>
                  <w14:solidFill>
                    <w14:schemeClr w14:val="tx1"/>
                  </w14:solidFill>
                </w14:textFill>
              </w:rPr>
              <w:t>0.0209</w:t>
            </w:r>
          </w:p>
        </w:tc>
        <w:tc>
          <w:tcPr>
            <w:tcW w:w="430" w:type="pct"/>
            <w:gridSpan w:val="3"/>
            <w:vMerge w:val="continue"/>
            <w:tcBorders>
              <w:tl2br w:val="nil"/>
              <w:tr2bl w:val="nil"/>
            </w:tcBorders>
            <w:shd w:val="clear" w:color="auto" w:fill="auto"/>
            <w:vAlign w:val="center"/>
          </w:tcPr>
          <w:p w14:paraId="37F44E8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4F1D5D7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75D69B9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134695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29C085EC">
            <w:pP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6880B781">
            <w:pP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5505F6E5">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1066A196">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p>
        </w:tc>
        <w:tc>
          <w:tcPr>
            <w:tcW w:w="823" w:type="pct"/>
            <w:gridSpan w:val="13"/>
            <w:vMerge w:val="continue"/>
            <w:tcBorders>
              <w:tl2br w:val="nil"/>
              <w:tr2bl w:val="nil"/>
            </w:tcBorders>
            <w:shd w:val="clear" w:color="auto" w:fill="auto"/>
            <w:vAlign w:val="center"/>
          </w:tcPr>
          <w:p w14:paraId="28F5F3F3">
            <w:pPr>
              <w:jc w:val="center"/>
              <w:rPr>
                <w:rFonts w:hint="default" w:ascii="Times New Roman" w:hAnsi="Times New Roman" w:eastAsia="宋体" w:cs="Times New Roman"/>
                <w:color w:val="000000" w:themeColor="text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40461EC6">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190329D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动植物油</w:t>
            </w:r>
          </w:p>
        </w:tc>
        <w:tc>
          <w:tcPr>
            <w:tcW w:w="261" w:type="pct"/>
            <w:gridSpan w:val="6"/>
            <w:tcBorders>
              <w:tl2br w:val="nil"/>
              <w:tr2bl w:val="nil"/>
            </w:tcBorders>
            <w:shd w:val="clear" w:color="auto" w:fill="auto"/>
            <w:vAlign w:val="center"/>
          </w:tcPr>
          <w:p w14:paraId="4D9EF6A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15</w:t>
            </w:r>
          </w:p>
        </w:tc>
        <w:tc>
          <w:tcPr>
            <w:tcW w:w="261" w:type="pct"/>
            <w:gridSpan w:val="4"/>
            <w:tcBorders>
              <w:tl2br w:val="nil"/>
              <w:tr2bl w:val="nil"/>
            </w:tcBorders>
            <w:shd w:val="clear" w:color="auto" w:fill="auto"/>
            <w:vAlign w:val="center"/>
          </w:tcPr>
          <w:p w14:paraId="38D5FDCD">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pPr>
            <w:r>
              <w:rPr>
                <w:rFonts w:hint="default" w:ascii="Times New Roman" w:hAnsi="Times New Roman" w:eastAsia="宋体" w:cs="Times New Roman"/>
                <w:color w:val="000000" w:themeColor="text1"/>
                <w:szCs w:val="21"/>
                <w:u w:val="none" w:color="auto"/>
                <w:lang w:val="en-US" w:eastAsia="zh-CN"/>
                <w14:textFill>
                  <w14:solidFill>
                    <w14:schemeClr w14:val="tx1"/>
                  </w14:solidFill>
                </w14:textFill>
              </w:rPr>
              <w:t>0.0104</w:t>
            </w:r>
          </w:p>
        </w:tc>
        <w:tc>
          <w:tcPr>
            <w:tcW w:w="430" w:type="pct"/>
            <w:gridSpan w:val="3"/>
            <w:vMerge w:val="continue"/>
            <w:tcBorders>
              <w:tl2br w:val="nil"/>
              <w:tr2bl w:val="nil"/>
            </w:tcBorders>
            <w:shd w:val="clear" w:color="auto" w:fill="auto"/>
            <w:vAlign w:val="center"/>
          </w:tcPr>
          <w:p w14:paraId="67F47AF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1C843E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663A7AB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E8BB1D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restart"/>
            <w:tcBorders>
              <w:tl2br w:val="nil"/>
              <w:tr2bl w:val="nil"/>
            </w:tcBorders>
            <w:shd w:val="clear" w:color="auto" w:fill="auto"/>
            <w:vAlign w:val="center"/>
          </w:tcPr>
          <w:p w14:paraId="3882F6AC">
            <w:pP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TW002</w:t>
            </w:r>
          </w:p>
        </w:tc>
        <w:tc>
          <w:tcPr>
            <w:tcW w:w="634" w:type="pct"/>
            <w:gridSpan w:val="4"/>
            <w:vMerge w:val="restart"/>
            <w:tcBorders>
              <w:tl2br w:val="nil"/>
              <w:tr2bl w:val="nil"/>
            </w:tcBorders>
            <w:shd w:val="clear" w:color="auto" w:fill="auto"/>
            <w:vAlign w:val="center"/>
          </w:tcPr>
          <w:p w14:paraId="61FCE6CB">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污水处理设施排放口</w:t>
            </w:r>
          </w:p>
        </w:tc>
        <w:tc>
          <w:tcPr>
            <w:tcW w:w="419" w:type="pct"/>
            <w:gridSpan w:val="3"/>
            <w:vMerge w:val="restart"/>
            <w:tcBorders>
              <w:tl2br w:val="nil"/>
              <w:tr2bl w:val="nil"/>
            </w:tcBorders>
            <w:shd w:val="clear" w:color="auto" w:fill="auto"/>
            <w:vAlign w:val="center"/>
          </w:tcPr>
          <w:p w14:paraId="18EA403A">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隔油池+A/O预处理</w:t>
            </w:r>
          </w:p>
        </w:tc>
        <w:tc>
          <w:tcPr>
            <w:tcW w:w="616" w:type="pct"/>
            <w:gridSpan w:val="10"/>
            <w:vMerge w:val="restart"/>
            <w:tcBorders>
              <w:tl2br w:val="nil"/>
              <w:tr2bl w:val="nil"/>
            </w:tcBorders>
            <w:shd w:val="clear" w:color="auto" w:fill="auto"/>
            <w:vAlign w:val="center"/>
          </w:tcPr>
          <w:p w14:paraId="20410A80">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0.16</w:t>
            </w:r>
          </w:p>
        </w:tc>
        <w:tc>
          <w:tcPr>
            <w:tcW w:w="823" w:type="pct"/>
            <w:gridSpan w:val="13"/>
            <w:vMerge w:val="restart"/>
            <w:tcBorders>
              <w:tl2br w:val="nil"/>
              <w:tr2bl w:val="nil"/>
            </w:tcBorders>
            <w:shd w:val="clear" w:color="auto" w:fill="auto"/>
            <w:vAlign w:val="center"/>
          </w:tcPr>
          <w:p w14:paraId="38E2EA7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平江高新</w:t>
            </w:r>
            <w:r>
              <w:rPr>
                <w:rFonts w:hint="default" w:ascii="Times New Roman" w:hAnsi="Times New Roman" w:eastAsia="宋体" w:cs="Times New Roman"/>
                <w:color w:val="000000" w:themeColor="text1"/>
                <w:u w:val="none" w:color="auto"/>
                <w:lang w:eastAsia="zh-CN"/>
                <w14:textFill>
                  <w14:solidFill>
                    <w14:schemeClr w14:val="tx1"/>
                  </w14:solidFill>
                </w14:textFill>
              </w:rPr>
              <w:t>平江高新区污水处理厂</w:t>
            </w:r>
          </w:p>
        </w:tc>
        <w:tc>
          <w:tcPr>
            <w:tcW w:w="851" w:type="pct"/>
            <w:gridSpan w:val="17"/>
            <w:vMerge w:val="restart"/>
            <w:tcBorders>
              <w:tl2br w:val="nil"/>
              <w:tr2bl w:val="nil"/>
            </w:tcBorders>
            <w:shd w:val="clear" w:color="auto" w:fill="auto"/>
            <w:vAlign w:val="center"/>
          </w:tcPr>
          <w:p w14:paraId="55C76736">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COD、NH</w:t>
            </w:r>
            <w:r>
              <w:rPr>
                <w:rFonts w:hint="default" w:ascii="Times New Roman" w:hAnsi="Times New Roman" w:eastAsia="宋体" w:cs="Times New Roman"/>
                <w:i w:val="0"/>
                <w:iCs w:val="0"/>
                <w:color w:val="000000" w:themeColor="text1"/>
                <w:sz w:val="21"/>
                <w:szCs w:val="21"/>
                <w:u w:val="none" w:color="auto"/>
                <w:vertAlign w:val="subscript"/>
                <w14:textFill>
                  <w14:solidFill>
                    <w14:schemeClr w14:val="tx1"/>
                  </w14:solidFill>
                </w14:textFill>
              </w:rPr>
              <w:t>3</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-N、TP、TN达到《湖南省城镇污水处理厂主要水污染物排放标准（DB</w:t>
            </w: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43/T</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1546-2018）》表1中二级标准，其它污染物达到《城镇污水处理厂污染物排放标准》（GB</w:t>
            </w:r>
            <w: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 xml:space="preserve"> </w:t>
            </w: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18918-2002）一级A标准排放</w:t>
            </w:r>
          </w:p>
        </w:tc>
        <w:tc>
          <w:tcPr>
            <w:tcW w:w="200" w:type="pct"/>
            <w:gridSpan w:val="4"/>
            <w:tcBorders>
              <w:tl2br w:val="nil"/>
              <w:tr2bl w:val="nil"/>
            </w:tcBorders>
            <w:shd w:val="clear" w:color="auto" w:fill="auto"/>
            <w:vAlign w:val="center"/>
          </w:tcPr>
          <w:p w14:paraId="39A28EC3">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COD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Cr</w:t>
            </w:r>
          </w:p>
        </w:tc>
        <w:tc>
          <w:tcPr>
            <w:tcW w:w="261" w:type="pct"/>
            <w:gridSpan w:val="6"/>
            <w:tcBorders>
              <w:tl2br w:val="nil"/>
              <w:tr2bl w:val="nil"/>
            </w:tcBorders>
            <w:shd w:val="clear" w:color="auto" w:fill="auto"/>
            <w:vAlign w:val="center"/>
          </w:tcPr>
          <w:p w14:paraId="0717381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292</w:t>
            </w:r>
          </w:p>
        </w:tc>
        <w:tc>
          <w:tcPr>
            <w:tcW w:w="261" w:type="pct"/>
            <w:gridSpan w:val="4"/>
            <w:tcBorders>
              <w:tl2br w:val="nil"/>
              <w:tr2bl w:val="nil"/>
            </w:tcBorders>
            <w:shd w:val="clear" w:color="auto" w:fill="auto"/>
            <w:vAlign w:val="center"/>
          </w:tcPr>
          <w:p w14:paraId="752A5CF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0.0926 </w:t>
            </w:r>
          </w:p>
        </w:tc>
        <w:tc>
          <w:tcPr>
            <w:tcW w:w="430" w:type="pct"/>
            <w:gridSpan w:val="3"/>
            <w:vMerge w:val="restart"/>
            <w:tcBorders>
              <w:tl2br w:val="nil"/>
              <w:tr2bl w:val="nil"/>
            </w:tcBorders>
            <w:shd w:val="clear" w:color="auto" w:fill="auto"/>
            <w:vAlign w:val="center"/>
          </w:tcPr>
          <w:p w14:paraId="74DC2A5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t>平江高新技术产业园污水处理厂进水水质要求</w:t>
            </w:r>
          </w:p>
        </w:tc>
      </w:tr>
      <w:tr w14:paraId="17548E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4E806F3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6698A50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44D93C2C">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02F3C260">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202820C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579F7301">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23" w:type="pct"/>
            <w:gridSpan w:val="13"/>
            <w:vMerge w:val="continue"/>
            <w:tcBorders>
              <w:tl2br w:val="nil"/>
              <w:tr2bl w:val="nil"/>
            </w:tcBorders>
            <w:shd w:val="clear" w:color="auto" w:fill="auto"/>
            <w:vAlign w:val="center"/>
          </w:tcPr>
          <w:p w14:paraId="2DBB183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16E28265">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7481421C">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BOD</w:t>
            </w:r>
            <w:r>
              <w:rPr>
                <w:rFonts w:hint="default" w:ascii="Times New Roman" w:hAnsi="Times New Roman" w:eastAsia="宋体" w:cs="Times New Roman"/>
                <w:color w:val="000000" w:themeColor="text1"/>
                <w:sz w:val="21"/>
                <w:szCs w:val="21"/>
                <w:u w:val="none" w:color="auto"/>
                <w:vertAlign w:val="subscript"/>
                <w14:textFill>
                  <w14:solidFill>
                    <w14:schemeClr w14:val="tx1"/>
                  </w14:solidFill>
                </w14:textFill>
              </w:rPr>
              <w:t>5</w:t>
            </w:r>
          </w:p>
        </w:tc>
        <w:tc>
          <w:tcPr>
            <w:tcW w:w="261" w:type="pct"/>
            <w:gridSpan w:val="6"/>
            <w:tcBorders>
              <w:tl2br w:val="nil"/>
              <w:tr2bl w:val="nil"/>
            </w:tcBorders>
            <w:shd w:val="clear" w:color="auto" w:fill="auto"/>
            <w:vAlign w:val="center"/>
          </w:tcPr>
          <w:p w14:paraId="203CD12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87</w:t>
            </w:r>
          </w:p>
        </w:tc>
        <w:tc>
          <w:tcPr>
            <w:tcW w:w="261" w:type="pct"/>
            <w:gridSpan w:val="4"/>
            <w:tcBorders>
              <w:tl2br w:val="nil"/>
              <w:tr2bl w:val="nil"/>
            </w:tcBorders>
            <w:shd w:val="clear" w:color="auto" w:fill="auto"/>
            <w:vAlign w:val="center"/>
          </w:tcPr>
          <w:p w14:paraId="782BF78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0.0276 </w:t>
            </w:r>
          </w:p>
        </w:tc>
        <w:tc>
          <w:tcPr>
            <w:tcW w:w="430" w:type="pct"/>
            <w:gridSpan w:val="3"/>
            <w:vMerge w:val="continue"/>
            <w:tcBorders>
              <w:tl2br w:val="nil"/>
              <w:tr2bl w:val="nil"/>
            </w:tcBorders>
            <w:shd w:val="clear" w:color="auto" w:fill="auto"/>
            <w:vAlign w:val="center"/>
          </w:tcPr>
          <w:p w14:paraId="373D221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307873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3429BE8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0930A1B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0B6723E8">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4AE3AD4F">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457B4AE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6263E4EF">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23" w:type="pct"/>
            <w:gridSpan w:val="13"/>
            <w:vMerge w:val="continue"/>
            <w:tcBorders>
              <w:tl2br w:val="nil"/>
              <w:tr2bl w:val="nil"/>
            </w:tcBorders>
            <w:shd w:val="clear" w:color="auto" w:fill="auto"/>
            <w:vAlign w:val="center"/>
          </w:tcPr>
          <w:p w14:paraId="752EC90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44949329">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4DC28E2A">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SS</w:t>
            </w:r>
          </w:p>
        </w:tc>
        <w:tc>
          <w:tcPr>
            <w:tcW w:w="261" w:type="pct"/>
            <w:gridSpan w:val="6"/>
            <w:tcBorders>
              <w:tl2br w:val="nil"/>
              <w:tr2bl w:val="nil"/>
            </w:tcBorders>
            <w:shd w:val="clear" w:color="auto" w:fill="auto"/>
            <w:vAlign w:val="center"/>
          </w:tcPr>
          <w:p w14:paraId="198A41B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50</w:t>
            </w:r>
          </w:p>
        </w:tc>
        <w:tc>
          <w:tcPr>
            <w:tcW w:w="261" w:type="pct"/>
            <w:gridSpan w:val="4"/>
            <w:tcBorders>
              <w:tl2br w:val="nil"/>
              <w:tr2bl w:val="nil"/>
            </w:tcBorders>
            <w:shd w:val="clear" w:color="auto" w:fill="auto"/>
            <w:vAlign w:val="center"/>
          </w:tcPr>
          <w:p w14:paraId="7CF3819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0.0159 </w:t>
            </w:r>
          </w:p>
        </w:tc>
        <w:tc>
          <w:tcPr>
            <w:tcW w:w="430" w:type="pct"/>
            <w:gridSpan w:val="3"/>
            <w:vMerge w:val="continue"/>
            <w:tcBorders>
              <w:tl2br w:val="nil"/>
              <w:tr2bl w:val="nil"/>
            </w:tcBorders>
            <w:shd w:val="clear" w:color="auto" w:fill="auto"/>
            <w:vAlign w:val="center"/>
          </w:tcPr>
          <w:p w14:paraId="7EA096C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3B83DD5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473AD76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16D61B4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4633F35E">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0DC23C5D">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097DCEE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1559551F">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23" w:type="pct"/>
            <w:gridSpan w:val="13"/>
            <w:vMerge w:val="continue"/>
            <w:tcBorders>
              <w:tl2br w:val="nil"/>
              <w:tr2bl w:val="nil"/>
            </w:tcBorders>
            <w:shd w:val="clear" w:color="auto" w:fill="auto"/>
            <w:vAlign w:val="center"/>
          </w:tcPr>
          <w:p w14:paraId="1F863E1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59A0EE09">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460AC47E">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氨氮</w:t>
            </w:r>
          </w:p>
        </w:tc>
        <w:tc>
          <w:tcPr>
            <w:tcW w:w="261" w:type="pct"/>
            <w:gridSpan w:val="6"/>
            <w:tcBorders>
              <w:tl2br w:val="nil"/>
              <w:tr2bl w:val="nil"/>
            </w:tcBorders>
            <w:shd w:val="clear" w:color="auto" w:fill="auto"/>
            <w:vAlign w:val="center"/>
          </w:tcPr>
          <w:p w14:paraId="168989C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14</w:t>
            </w:r>
          </w:p>
        </w:tc>
        <w:tc>
          <w:tcPr>
            <w:tcW w:w="261" w:type="pct"/>
            <w:gridSpan w:val="4"/>
            <w:tcBorders>
              <w:tl2br w:val="nil"/>
              <w:tr2bl w:val="nil"/>
            </w:tcBorders>
            <w:shd w:val="clear" w:color="auto" w:fill="auto"/>
            <w:vAlign w:val="center"/>
          </w:tcPr>
          <w:p w14:paraId="68D1CCE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0.0044 </w:t>
            </w:r>
          </w:p>
        </w:tc>
        <w:tc>
          <w:tcPr>
            <w:tcW w:w="430" w:type="pct"/>
            <w:gridSpan w:val="3"/>
            <w:vMerge w:val="continue"/>
            <w:tcBorders>
              <w:tl2br w:val="nil"/>
              <w:tr2bl w:val="nil"/>
            </w:tcBorders>
            <w:shd w:val="clear" w:color="auto" w:fill="auto"/>
            <w:vAlign w:val="center"/>
          </w:tcPr>
          <w:p w14:paraId="266A8A1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6D58A73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5C175A1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08378B6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6853F39D">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1E550490">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10DFD97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16" w:type="pct"/>
            <w:gridSpan w:val="10"/>
            <w:vMerge w:val="continue"/>
            <w:tcBorders>
              <w:tl2br w:val="nil"/>
              <w:tr2bl w:val="nil"/>
            </w:tcBorders>
            <w:shd w:val="clear" w:color="auto" w:fill="auto"/>
            <w:vAlign w:val="center"/>
          </w:tcPr>
          <w:p w14:paraId="52978984">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23" w:type="pct"/>
            <w:gridSpan w:val="13"/>
            <w:vMerge w:val="continue"/>
            <w:tcBorders>
              <w:tl2br w:val="nil"/>
              <w:tr2bl w:val="nil"/>
            </w:tcBorders>
            <w:shd w:val="clear" w:color="auto" w:fill="auto"/>
            <w:vAlign w:val="center"/>
          </w:tcPr>
          <w:p w14:paraId="0F9491A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7288AF56">
            <w:pP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tcBorders>
              <w:tl2br w:val="nil"/>
              <w:tr2bl w:val="nil"/>
            </w:tcBorders>
            <w:shd w:val="clear" w:color="auto" w:fill="auto"/>
            <w:vAlign w:val="center"/>
          </w:tcPr>
          <w:p w14:paraId="6F96B5C5">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动植物油</w:t>
            </w:r>
          </w:p>
        </w:tc>
        <w:tc>
          <w:tcPr>
            <w:tcW w:w="261" w:type="pct"/>
            <w:gridSpan w:val="6"/>
            <w:tcBorders>
              <w:tl2br w:val="nil"/>
              <w:tr2bl w:val="nil"/>
            </w:tcBorders>
            <w:shd w:val="clear" w:color="auto" w:fill="auto"/>
            <w:vAlign w:val="center"/>
          </w:tcPr>
          <w:p w14:paraId="7F5B505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18</w:t>
            </w:r>
          </w:p>
        </w:tc>
        <w:tc>
          <w:tcPr>
            <w:tcW w:w="261" w:type="pct"/>
            <w:gridSpan w:val="4"/>
            <w:tcBorders>
              <w:tl2br w:val="nil"/>
              <w:tr2bl w:val="nil"/>
            </w:tcBorders>
            <w:shd w:val="clear" w:color="auto" w:fill="auto"/>
            <w:vAlign w:val="center"/>
          </w:tcPr>
          <w:p w14:paraId="0220FD2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0.0057 </w:t>
            </w:r>
          </w:p>
        </w:tc>
        <w:tc>
          <w:tcPr>
            <w:tcW w:w="430" w:type="pct"/>
            <w:gridSpan w:val="3"/>
            <w:vMerge w:val="continue"/>
            <w:tcBorders>
              <w:tl2br w:val="nil"/>
              <w:tr2bl w:val="nil"/>
            </w:tcBorders>
            <w:shd w:val="clear" w:color="auto" w:fill="auto"/>
            <w:vAlign w:val="center"/>
          </w:tcPr>
          <w:p w14:paraId="56EA8D6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3DD249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11BE8BD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restart"/>
            <w:tcBorders>
              <w:tl2br w:val="nil"/>
              <w:tr2bl w:val="nil"/>
            </w:tcBorders>
            <w:shd w:val="clear" w:color="auto" w:fill="auto"/>
            <w:vAlign w:val="center"/>
          </w:tcPr>
          <w:p w14:paraId="1DAAAD7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总排放口（直接排放）</w:t>
            </w:r>
          </w:p>
        </w:tc>
        <w:tc>
          <w:tcPr>
            <w:tcW w:w="208" w:type="pct"/>
            <w:vMerge w:val="restart"/>
            <w:tcBorders>
              <w:tl2br w:val="nil"/>
              <w:tr2bl w:val="nil"/>
            </w:tcBorders>
            <w:shd w:val="clear" w:color="auto" w:fill="auto"/>
            <w:vAlign w:val="center"/>
          </w:tcPr>
          <w:p w14:paraId="5A2768E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（编号）</w:t>
            </w:r>
          </w:p>
        </w:tc>
        <w:tc>
          <w:tcPr>
            <w:tcW w:w="634" w:type="pct"/>
            <w:gridSpan w:val="4"/>
            <w:vMerge w:val="restart"/>
            <w:tcBorders>
              <w:tl2br w:val="nil"/>
              <w:tr2bl w:val="nil"/>
            </w:tcBorders>
            <w:shd w:val="clear" w:color="auto" w:fill="auto"/>
            <w:vAlign w:val="center"/>
          </w:tcPr>
          <w:p w14:paraId="2A7AC88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排放口名称</w:t>
            </w:r>
          </w:p>
        </w:tc>
        <w:tc>
          <w:tcPr>
            <w:tcW w:w="419" w:type="pct"/>
            <w:gridSpan w:val="3"/>
            <w:vMerge w:val="restart"/>
            <w:tcBorders>
              <w:tl2br w:val="nil"/>
              <w:tr2bl w:val="nil"/>
            </w:tcBorders>
            <w:shd w:val="clear" w:color="auto" w:fill="auto"/>
            <w:vAlign w:val="center"/>
          </w:tcPr>
          <w:p w14:paraId="66C84CB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污染防治设施工艺</w:t>
            </w:r>
          </w:p>
        </w:tc>
        <w:tc>
          <w:tcPr>
            <w:tcW w:w="1025" w:type="pct"/>
            <w:gridSpan w:val="13"/>
            <w:vMerge w:val="restart"/>
            <w:tcBorders>
              <w:tl2br w:val="nil"/>
              <w:tr2bl w:val="nil"/>
            </w:tcBorders>
            <w:shd w:val="clear" w:color="auto" w:fill="auto"/>
            <w:vAlign w:val="center"/>
          </w:tcPr>
          <w:p w14:paraId="58676C6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污染防治设施处理水量（吨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小时）</w:t>
            </w:r>
          </w:p>
        </w:tc>
        <w:tc>
          <w:tcPr>
            <w:tcW w:w="1264" w:type="pct"/>
            <w:gridSpan w:val="27"/>
            <w:tcBorders>
              <w:tl2br w:val="nil"/>
              <w:tr2bl w:val="nil"/>
            </w:tcBorders>
            <w:shd w:val="clear" w:color="auto" w:fill="auto"/>
            <w:vAlign w:val="center"/>
          </w:tcPr>
          <w:p w14:paraId="6D0CFEE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受纳水体</w:t>
            </w:r>
          </w:p>
        </w:tc>
        <w:tc>
          <w:tcPr>
            <w:tcW w:w="1153" w:type="pct"/>
            <w:gridSpan w:val="17"/>
            <w:tcBorders>
              <w:tl2br w:val="nil"/>
              <w:tr2bl w:val="nil"/>
            </w:tcBorders>
            <w:shd w:val="clear" w:color="auto" w:fill="auto"/>
            <w:vAlign w:val="center"/>
          </w:tcPr>
          <w:p w14:paraId="5652D73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污染物排放</w:t>
            </w:r>
          </w:p>
        </w:tc>
      </w:tr>
      <w:tr w14:paraId="365B9E1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DEDF76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4EEE74C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3FC9177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282A5DE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3536221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025" w:type="pct"/>
            <w:gridSpan w:val="13"/>
            <w:vMerge w:val="continue"/>
            <w:tcBorders>
              <w:tl2br w:val="nil"/>
              <w:tr2bl w:val="nil"/>
            </w:tcBorders>
            <w:shd w:val="clear" w:color="auto" w:fill="auto"/>
            <w:vAlign w:val="center"/>
          </w:tcPr>
          <w:p w14:paraId="1CE369A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3" w:type="pct"/>
            <w:gridSpan w:val="10"/>
            <w:vMerge w:val="restart"/>
            <w:tcBorders>
              <w:tl2br w:val="nil"/>
              <w:tr2bl w:val="nil"/>
            </w:tcBorders>
            <w:shd w:val="clear" w:color="auto" w:fill="auto"/>
            <w:vAlign w:val="center"/>
          </w:tcPr>
          <w:p w14:paraId="70D3DCD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名称</w:t>
            </w:r>
          </w:p>
        </w:tc>
        <w:tc>
          <w:tcPr>
            <w:tcW w:w="851" w:type="pct"/>
            <w:gridSpan w:val="17"/>
            <w:vMerge w:val="restart"/>
            <w:tcBorders>
              <w:tl2br w:val="nil"/>
              <w:tr2bl w:val="nil"/>
            </w:tcBorders>
            <w:shd w:val="clear" w:color="auto" w:fill="auto"/>
            <w:vAlign w:val="center"/>
          </w:tcPr>
          <w:p w14:paraId="5D29462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功能类别</w:t>
            </w:r>
          </w:p>
        </w:tc>
        <w:tc>
          <w:tcPr>
            <w:tcW w:w="200" w:type="pct"/>
            <w:gridSpan w:val="4"/>
            <w:vMerge w:val="restart"/>
            <w:tcBorders>
              <w:tl2br w:val="nil"/>
              <w:tr2bl w:val="nil"/>
            </w:tcBorders>
            <w:shd w:val="clear" w:color="auto" w:fill="auto"/>
            <w:vAlign w:val="center"/>
          </w:tcPr>
          <w:p w14:paraId="6816E66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污染物种类</w:t>
            </w:r>
          </w:p>
        </w:tc>
        <w:tc>
          <w:tcPr>
            <w:tcW w:w="261" w:type="pct"/>
            <w:gridSpan w:val="6"/>
            <w:vMerge w:val="restart"/>
            <w:tcBorders>
              <w:tl2br w:val="nil"/>
              <w:tr2bl w:val="nil"/>
            </w:tcBorders>
            <w:shd w:val="clear" w:color="auto" w:fill="auto"/>
            <w:vAlign w:val="center"/>
          </w:tcPr>
          <w:p w14:paraId="3B1BD38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排放浓度</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br w:type="textWrapping"/>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（毫克</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升）</w:t>
            </w:r>
          </w:p>
        </w:tc>
        <w:tc>
          <w:tcPr>
            <w:tcW w:w="261" w:type="pct"/>
            <w:gridSpan w:val="4"/>
            <w:vMerge w:val="restart"/>
            <w:tcBorders>
              <w:tl2br w:val="nil"/>
              <w:tr2bl w:val="nil"/>
            </w:tcBorders>
            <w:shd w:val="clear" w:color="auto" w:fill="auto"/>
            <w:vAlign w:val="center"/>
          </w:tcPr>
          <w:p w14:paraId="311AA0C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排放量（吨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430" w:type="pct"/>
            <w:gridSpan w:val="3"/>
            <w:vMerge w:val="restart"/>
            <w:tcBorders>
              <w:tl2br w:val="nil"/>
              <w:tr2bl w:val="nil"/>
            </w:tcBorders>
            <w:shd w:val="clear" w:color="auto" w:fill="auto"/>
            <w:vAlign w:val="center"/>
          </w:tcPr>
          <w:p w14:paraId="7C51CF2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排放标准名称</w:t>
            </w:r>
          </w:p>
        </w:tc>
      </w:tr>
      <w:tr w14:paraId="2F12E29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560A2ED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1F8BB6B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vMerge w:val="continue"/>
            <w:tcBorders>
              <w:tl2br w:val="nil"/>
              <w:tr2bl w:val="nil"/>
            </w:tcBorders>
            <w:shd w:val="clear" w:color="auto" w:fill="auto"/>
            <w:vAlign w:val="center"/>
          </w:tcPr>
          <w:p w14:paraId="0BFA407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634" w:type="pct"/>
            <w:gridSpan w:val="4"/>
            <w:vMerge w:val="continue"/>
            <w:tcBorders>
              <w:tl2br w:val="nil"/>
              <w:tr2bl w:val="nil"/>
            </w:tcBorders>
            <w:shd w:val="clear" w:color="auto" w:fill="auto"/>
            <w:vAlign w:val="center"/>
          </w:tcPr>
          <w:p w14:paraId="51455A3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9" w:type="pct"/>
            <w:gridSpan w:val="3"/>
            <w:vMerge w:val="continue"/>
            <w:tcBorders>
              <w:tl2br w:val="nil"/>
              <w:tr2bl w:val="nil"/>
            </w:tcBorders>
            <w:shd w:val="clear" w:color="auto" w:fill="auto"/>
            <w:vAlign w:val="center"/>
          </w:tcPr>
          <w:p w14:paraId="48E0A1A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025" w:type="pct"/>
            <w:gridSpan w:val="13"/>
            <w:vMerge w:val="continue"/>
            <w:tcBorders>
              <w:tl2br w:val="nil"/>
              <w:tr2bl w:val="nil"/>
            </w:tcBorders>
            <w:shd w:val="clear" w:color="auto" w:fill="auto"/>
            <w:vAlign w:val="center"/>
          </w:tcPr>
          <w:p w14:paraId="562E537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13" w:type="pct"/>
            <w:gridSpan w:val="10"/>
            <w:vMerge w:val="continue"/>
            <w:tcBorders>
              <w:tl2br w:val="nil"/>
              <w:tr2bl w:val="nil"/>
            </w:tcBorders>
            <w:shd w:val="clear" w:color="auto" w:fill="auto"/>
            <w:vAlign w:val="center"/>
          </w:tcPr>
          <w:p w14:paraId="752CFE2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851" w:type="pct"/>
            <w:gridSpan w:val="17"/>
            <w:vMerge w:val="continue"/>
            <w:tcBorders>
              <w:tl2br w:val="nil"/>
              <w:tr2bl w:val="nil"/>
            </w:tcBorders>
            <w:shd w:val="clear" w:color="auto" w:fill="auto"/>
            <w:vAlign w:val="center"/>
          </w:tcPr>
          <w:p w14:paraId="72D428B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0" w:type="pct"/>
            <w:gridSpan w:val="4"/>
            <w:vMerge w:val="continue"/>
            <w:tcBorders>
              <w:tl2br w:val="nil"/>
              <w:tr2bl w:val="nil"/>
            </w:tcBorders>
            <w:shd w:val="clear" w:color="auto" w:fill="auto"/>
            <w:vAlign w:val="center"/>
          </w:tcPr>
          <w:p w14:paraId="0EA9285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61" w:type="pct"/>
            <w:gridSpan w:val="6"/>
            <w:vMerge w:val="continue"/>
            <w:tcBorders>
              <w:tl2br w:val="nil"/>
              <w:tr2bl w:val="nil"/>
            </w:tcBorders>
            <w:shd w:val="clear" w:color="auto" w:fill="auto"/>
            <w:vAlign w:val="center"/>
          </w:tcPr>
          <w:p w14:paraId="2DEDA08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61" w:type="pct"/>
            <w:gridSpan w:val="4"/>
            <w:vMerge w:val="continue"/>
            <w:tcBorders>
              <w:tl2br w:val="nil"/>
              <w:tr2bl w:val="nil"/>
            </w:tcBorders>
            <w:shd w:val="clear" w:color="auto" w:fill="auto"/>
            <w:vAlign w:val="center"/>
          </w:tcPr>
          <w:p w14:paraId="5A9BC6F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430" w:type="pct"/>
            <w:gridSpan w:val="3"/>
            <w:vMerge w:val="continue"/>
            <w:tcBorders>
              <w:tl2br w:val="nil"/>
              <w:tr2bl w:val="nil"/>
            </w:tcBorders>
            <w:shd w:val="clear" w:color="auto" w:fill="auto"/>
            <w:vAlign w:val="center"/>
          </w:tcPr>
          <w:p w14:paraId="5649DDB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r>
      <w:tr w14:paraId="01CC536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1885713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1656C43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3EA9725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34" w:type="pct"/>
            <w:gridSpan w:val="4"/>
            <w:tcBorders>
              <w:tl2br w:val="nil"/>
              <w:tr2bl w:val="nil"/>
            </w:tcBorders>
            <w:shd w:val="clear" w:color="auto" w:fill="auto"/>
            <w:vAlign w:val="center"/>
          </w:tcPr>
          <w:p w14:paraId="0339624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9" w:type="pct"/>
            <w:gridSpan w:val="3"/>
            <w:tcBorders>
              <w:tl2br w:val="nil"/>
              <w:tr2bl w:val="nil"/>
            </w:tcBorders>
            <w:shd w:val="clear" w:color="auto" w:fill="auto"/>
            <w:vAlign w:val="center"/>
          </w:tcPr>
          <w:p w14:paraId="491E029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1025" w:type="pct"/>
            <w:gridSpan w:val="13"/>
            <w:tcBorders>
              <w:tl2br w:val="nil"/>
              <w:tr2bl w:val="nil"/>
            </w:tcBorders>
            <w:shd w:val="clear" w:color="auto" w:fill="auto"/>
            <w:vAlign w:val="center"/>
          </w:tcPr>
          <w:p w14:paraId="57F4309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3" w:type="pct"/>
            <w:gridSpan w:val="10"/>
            <w:tcBorders>
              <w:tl2br w:val="nil"/>
              <w:tr2bl w:val="nil"/>
            </w:tcBorders>
            <w:shd w:val="clear" w:color="auto" w:fill="auto"/>
            <w:vAlign w:val="center"/>
          </w:tcPr>
          <w:p w14:paraId="5AF7053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1" w:type="pct"/>
            <w:gridSpan w:val="17"/>
            <w:tcBorders>
              <w:tl2br w:val="nil"/>
              <w:tr2bl w:val="nil"/>
            </w:tcBorders>
            <w:shd w:val="clear" w:color="auto" w:fill="auto"/>
            <w:vAlign w:val="center"/>
          </w:tcPr>
          <w:p w14:paraId="26CE9A1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 w:type="pct"/>
            <w:gridSpan w:val="4"/>
            <w:tcBorders>
              <w:tl2br w:val="nil"/>
              <w:tr2bl w:val="nil"/>
            </w:tcBorders>
            <w:shd w:val="clear" w:color="auto" w:fill="auto"/>
            <w:vAlign w:val="center"/>
          </w:tcPr>
          <w:p w14:paraId="3F1CA6E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9" w:type="pct"/>
            <w:gridSpan w:val="5"/>
            <w:tcBorders>
              <w:tl2br w:val="nil"/>
              <w:tr2bl w:val="nil"/>
            </w:tcBorders>
            <w:shd w:val="clear" w:color="auto" w:fill="auto"/>
            <w:vAlign w:val="center"/>
          </w:tcPr>
          <w:p w14:paraId="55ACA27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4" w:type="pct"/>
            <w:gridSpan w:val="5"/>
            <w:tcBorders>
              <w:tl2br w:val="nil"/>
              <w:tr2bl w:val="nil"/>
            </w:tcBorders>
            <w:shd w:val="clear" w:color="auto" w:fill="auto"/>
            <w:vAlign w:val="center"/>
          </w:tcPr>
          <w:p w14:paraId="0706864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30" w:type="pct"/>
            <w:gridSpan w:val="3"/>
            <w:tcBorders>
              <w:tl2br w:val="nil"/>
              <w:tr2bl w:val="nil"/>
            </w:tcBorders>
            <w:shd w:val="clear" w:color="auto" w:fill="auto"/>
            <w:vAlign w:val="center"/>
          </w:tcPr>
          <w:p w14:paraId="1E2FC42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7DF1857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3E12D44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636AB4D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4293679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34" w:type="pct"/>
            <w:gridSpan w:val="4"/>
            <w:tcBorders>
              <w:tl2br w:val="nil"/>
              <w:tr2bl w:val="nil"/>
            </w:tcBorders>
            <w:shd w:val="clear" w:color="auto" w:fill="auto"/>
            <w:vAlign w:val="center"/>
          </w:tcPr>
          <w:p w14:paraId="4B4C3DC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9" w:type="pct"/>
            <w:gridSpan w:val="3"/>
            <w:tcBorders>
              <w:tl2br w:val="nil"/>
              <w:tr2bl w:val="nil"/>
            </w:tcBorders>
            <w:shd w:val="clear" w:color="auto" w:fill="auto"/>
            <w:vAlign w:val="center"/>
          </w:tcPr>
          <w:p w14:paraId="685ED22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1025" w:type="pct"/>
            <w:gridSpan w:val="13"/>
            <w:tcBorders>
              <w:tl2br w:val="nil"/>
              <w:tr2bl w:val="nil"/>
            </w:tcBorders>
            <w:shd w:val="clear" w:color="auto" w:fill="auto"/>
            <w:vAlign w:val="center"/>
          </w:tcPr>
          <w:p w14:paraId="4DA49AA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3" w:type="pct"/>
            <w:gridSpan w:val="10"/>
            <w:tcBorders>
              <w:tl2br w:val="nil"/>
              <w:tr2bl w:val="nil"/>
            </w:tcBorders>
            <w:shd w:val="clear" w:color="auto" w:fill="auto"/>
            <w:vAlign w:val="center"/>
          </w:tcPr>
          <w:p w14:paraId="31822FA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1" w:type="pct"/>
            <w:gridSpan w:val="17"/>
            <w:tcBorders>
              <w:tl2br w:val="nil"/>
              <w:tr2bl w:val="nil"/>
            </w:tcBorders>
            <w:shd w:val="clear" w:color="auto" w:fill="auto"/>
            <w:vAlign w:val="center"/>
          </w:tcPr>
          <w:p w14:paraId="0B99C90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 w:type="pct"/>
            <w:gridSpan w:val="4"/>
            <w:tcBorders>
              <w:tl2br w:val="nil"/>
              <w:tr2bl w:val="nil"/>
            </w:tcBorders>
            <w:shd w:val="clear" w:color="auto" w:fill="auto"/>
            <w:vAlign w:val="center"/>
          </w:tcPr>
          <w:p w14:paraId="0E0A95C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9" w:type="pct"/>
            <w:gridSpan w:val="5"/>
            <w:tcBorders>
              <w:tl2br w:val="nil"/>
              <w:tr2bl w:val="nil"/>
            </w:tcBorders>
            <w:shd w:val="clear" w:color="auto" w:fill="auto"/>
            <w:vAlign w:val="center"/>
          </w:tcPr>
          <w:p w14:paraId="0A00DA9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4" w:type="pct"/>
            <w:gridSpan w:val="5"/>
            <w:tcBorders>
              <w:tl2br w:val="nil"/>
              <w:tr2bl w:val="nil"/>
            </w:tcBorders>
            <w:shd w:val="clear" w:color="auto" w:fill="auto"/>
            <w:vAlign w:val="center"/>
          </w:tcPr>
          <w:p w14:paraId="4A1463A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30" w:type="pct"/>
            <w:gridSpan w:val="3"/>
            <w:tcBorders>
              <w:tl2br w:val="nil"/>
              <w:tr2bl w:val="nil"/>
            </w:tcBorders>
            <w:shd w:val="clear" w:color="auto" w:fill="auto"/>
            <w:vAlign w:val="center"/>
          </w:tcPr>
          <w:p w14:paraId="33801D7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382BFE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76E2864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04C46BC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230269C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34" w:type="pct"/>
            <w:gridSpan w:val="4"/>
            <w:tcBorders>
              <w:tl2br w:val="nil"/>
              <w:tr2bl w:val="nil"/>
            </w:tcBorders>
            <w:shd w:val="clear" w:color="auto" w:fill="auto"/>
            <w:vAlign w:val="center"/>
          </w:tcPr>
          <w:p w14:paraId="43E4726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9" w:type="pct"/>
            <w:gridSpan w:val="3"/>
            <w:tcBorders>
              <w:tl2br w:val="nil"/>
              <w:tr2bl w:val="nil"/>
            </w:tcBorders>
            <w:shd w:val="clear" w:color="auto" w:fill="auto"/>
            <w:vAlign w:val="center"/>
          </w:tcPr>
          <w:p w14:paraId="4D818DF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1025" w:type="pct"/>
            <w:gridSpan w:val="13"/>
            <w:tcBorders>
              <w:tl2br w:val="nil"/>
              <w:tr2bl w:val="nil"/>
            </w:tcBorders>
            <w:shd w:val="clear" w:color="auto" w:fill="auto"/>
            <w:vAlign w:val="center"/>
          </w:tcPr>
          <w:p w14:paraId="253DFD9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3" w:type="pct"/>
            <w:gridSpan w:val="10"/>
            <w:tcBorders>
              <w:tl2br w:val="nil"/>
              <w:tr2bl w:val="nil"/>
            </w:tcBorders>
            <w:shd w:val="clear" w:color="auto" w:fill="auto"/>
            <w:vAlign w:val="center"/>
          </w:tcPr>
          <w:p w14:paraId="0835425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1" w:type="pct"/>
            <w:gridSpan w:val="17"/>
            <w:tcBorders>
              <w:tl2br w:val="nil"/>
              <w:tr2bl w:val="nil"/>
            </w:tcBorders>
            <w:shd w:val="clear" w:color="auto" w:fill="auto"/>
            <w:vAlign w:val="center"/>
          </w:tcPr>
          <w:p w14:paraId="4EC2BF5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 w:type="pct"/>
            <w:gridSpan w:val="4"/>
            <w:tcBorders>
              <w:tl2br w:val="nil"/>
              <w:tr2bl w:val="nil"/>
            </w:tcBorders>
            <w:shd w:val="clear" w:color="auto" w:fill="auto"/>
            <w:vAlign w:val="center"/>
          </w:tcPr>
          <w:p w14:paraId="17C8D33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9" w:type="pct"/>
            <w:gridSpan w:val="5"/>
            <w:tcBorders>
              <w:tl2br w:val="nil"/>
              <w:tr2bl w:val="nil"/>
            </w:tcBorders>
            <w:shd w:val="clear" w:color="auto" w:fill="auto"/>
            <w:vAlign w:val="center"/>
          </w:tcPr>
          <w:p w14:paraId="314C97D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4" w:type="pct"/>
            <w:gridSpan w:val="5"/>
            <w:tcBorders>
              <w:tl2br w:val="nil"/>
              <w:tr2bl w:val="nil"/>
            </w:tcBorders>
            <w:shd w:val="clear" w:color="auto" w:fill="auto"/>
            <w:vAlign w:val="center"/>
          </w:tcPr>
          <w:p w14:paraId="0683EBC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30" w:type="pct"/>
            <w:gridSpan w:val="3"/>
            <w:tcBorders>
              <w:tl2br w:val="nil"/>
              <w:tr2bl w:val="nil"/>
            </w:tcBorders>
            <w:shd w:val="clear" w:color="auto" w:fill="auto"/>
            <w:vAlign w:val="center"/>
          </w:tcPr>
          <w:p w14:paraId="383E51E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44A357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4692F4B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38979E3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3F2EE3A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634" w:type="pct"/>
            <w:gridSpan w:val="4"/>
            <w:tcBorders>
              <w:tl2br w:val="nil"/>
              <w:tr2bl w:val="nil"/>
            </w:tcBorders>
            <w:shd w:val="clear" w:color="auto" w:fill="auto"/>
            <w:vAlign w:val="center"/>
          </w:tcPr>
          <w:p w14:paraId="30ADC68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9" w:type="pct"/>
            <w:gridSpan w:val="3"/>
            <w:tcBorders>
              <w:tl2br w:val="nil"/>
              <w:tr2bl w:val="nil"/>
            </w:tcBorders>
            <w:shd w:val="clear" w:color="auto" w:fill="auto"/>
            <w:vAlign w:val="center"/>
          </w:tcPr>
          <w:p w14:paraId="3C0F7BB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1025" w:type="pct"/>
            <w:gridSpan w:val="13"/>
            <w:tcBorders>
              <w:tl2br w:val="nil"/>
              <w:tr2bl w:val="nil"/>
            </w:tcBorders>
            <w:shd w:val="clear" w:color="auto" w:fill="auto"/>
            <w:vAlign w:val="center"/>
          </w:tcPr>
          <w:p w14:paraId="1617F5B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13" w:type="pct"/>
            <w:gridSpan w:val="10"/>
            <w:tcBorders>
              <w:tl2br w:val="nil"/>
              <w:tr2bl w:val="nil"/>
            </w:tcBorders>
            <w:shd w:val="clear" w:color="auto" w:fill="auto"/>
            <w:vAlign w:val="center"/>
          </w:tcPr>
          <w:p w14:paraId="1EA02C4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851" w:type="pct"/>
            <w:gridSpan w:val="17"/>
            <w:tcBorders>
              <w:tl2br w:val="nil"/>
              <w:tr2bl w:val="nil"/>
            </w:tcBorders>
            <w:shd w:val="clear" w:color="auto" w:fill="auto"/>
            <w:vAlign w:val="center"/>
          </w:tcPr>
          <w:p w14:paraId="23EC4A2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00" w:type="pct"/>
            <w:gridSpan w:val="4"/>
            <w:tcBorders>
              <w:tl2br w:val="nil"/>
              <w:tr2bl w:val="nil"/>
            </w:tcBorders>
            <w:shd w:val="clear" w:color="auto" w:fill="auto"/>
            <w:vAlign w:val="center"/>
          </w:tcPr>
          <w:p w14:paraId="4348B31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9" w:type="pct"/>
            <w:gridSpan w:val="5"/>
            <w:tcBorders>
              <w:tl2br w:val="nil"/>
              <w:tr2bl w:val="nil"/>
            </w:tcBorders>
            <w:shd w:val="clear" w:color="auto" w:fill="auto"/>
            <w:vAlign w:val="center"/>
          </w:tcPr>
          <w:p w14:paraId="50BE100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4" w:type="pct"/>
            <w:gridSpan w:val="5"/>
            <w:tcBorders>
              <w:tl2br w:val="nil"/>
              <w:tr2bl w:val="nil"/>
            </w:tcBorders>
            <w:shd w:val="clear" w:color="auto" w:fill="auto"/>
            <w:vAlign w:val="center"/>
          </w:tcPr>
          <w:p w14:paraId="712F7DA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30" w:type="pct"/>
            <w:gridSpan w:val="3"/>
            <w:tcBorders>
              <w:tl2br w:val="nil"/>
              <w:tr2bl w:val="nil"/>
            </w:tcBorders>
            <w:shd w:val="clear" w:color="auto" w:fill="auto"/>
            <w:vAlign w:val="center"/>
          </w:tcPr>
          <w:p w14:paraId="2A61ADB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r>
      <w:tr w14:paraId="409089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restart"/>
            <w:tcBorders>
              <w:tl2br w:val="nil"/>
              <w:tr2bl w:val="nil"/>
            </w:tcBorders>
            <w:shd w:val="clear" w:color="auto" w:fill="auto"/>
            <w:vAlign w:val="center"/>
          </w:tcPr>
          <w:p w14:paraId="4033FA4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固体废物信息</w:t>
            </w:r>
          </w:p>
        </w:tc>
        <w:tc>
          <w:tcPr>
            <w:tcW w:w="148" w:type="pct"/>
            <w:tcBorders>
              <w:tl2br w:val="nil"/>
              <w:tr2bl w:val="nil"/>
            </w:tcBorders>
            <w:shd w:val="clear" w:color="auto" w:fill="auto"/>
            <w:vAlign w:val="center"/>
          </w:tcPr>
          <w:p w14:paraId="5666C9E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废物类型</w:t>
            </w:r>
          </w:p>
        </w:tc>
        <w:tc>
          <w:tcPr>
            <w:tcW w:w="208" w:type="pct"/>
            <w:tcBorders>
              <w:tl2br w:val="nil"/>
              <w:tr2bl w:val="nil"/>
            </w:tcBorders>
            <w:shd w:val="clear" w:color="auto" w:fill="auto"/>
            <w:vAlign w:val="center"/>
          </w:tcPr>
          <w:p w14:paraId="3F26D02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序号</w:t>
            </w:r>
          </w:p>
        </w:tc>
        <w:tc>
          <w:tcPr>
            <w:tcW w:w="634" w:type="pct"/>
            <w:gridSpan w:val="4"/>
            <w:tcBorders>
              <w:tl2br w:val="nil"/>
              <w:tr2bl w:val="nil"/>
            </w:tcBorders>
            <w:shd w:val="clear" w:color="auto" w:fill="auto"/>
            <w:vAlign w:val="center"/>
          </w:tcPr>
          <w:p w14:paraId="1D7D4D9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名称</w:t>
            </w:r>
          </w:p>
        </w:tc>
        <w:tc>
          <w:tcPr>
            <w:tcW w:w="1037" w:type="pct"/>
            <w:gridSpan w:val="14"/>
            <w:tcBorders>
              <w:tl2br w:val="nil"/>
              <w:tr2bl w:val="nil"/>
            </w:tcBorders>
            <w:shd w:val="clear" w:color="auto" w:fill="auto"/>
            <w:vAlign w:val="center"/>
          </w:tcPr>
          <w:p w14:paraId="3CBB561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产生环节及装置</w:t>
            </w:r>
          </w:p>
        </w:tc>
        <w:tc>
          <w:tcPr>
            <w:tcW w:w="409" w:type="pct"/>
            <w:gridSpan w:val="3"/>
            <w:tcBorders>
              <w:tl2br w:val="nil"/>
              <w:tr2bl w:val="nil"/>
            </w:tcBorders>
            <w:shd w:val="clear" w:color="auto" w:fill="auto"/>
            <w:vAlign w:val="center"/>
          </w:tcPr>
          <w:p w14:paraId="5F4B179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危险废物特性</w:t>
            </w:r>
          </w:p>
        </w:tc>
        <w:tc>
          <w:tcPr>
            <w:tcW w:w="414" w:type="pct"/>
            <w:gridSpan w:val="10"/>
            <w:tcBorders>
              <w:tl2br w:val="nil"/>
              <w:tr2bl w:val="nil"/>
            </w:tcBorders>
            <w:shd w:val="clear" w:color="auto" w:fill="auto"/>
            <w:vAlign w:val="center"/>
          </w:tcPr>
          <w:p w14:paraId="1828DC3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危险废物代码</w:t>
            </w:r>
          </w:p>
        </w:tc>
        <w:tc>
          <w:tcPr>
            <w:tcW w:w="334" w:type="pct"/>
            <w:gridSpan w:val="6"/>
            <w:tcBorders>
              <w:tl2br w:val="nil"/>
              <w:tr2bl w:val="nil"/>
            </w:tcBorders>
            <w:shd w:val="clear" w:color="auto" w:fill="auto"/>
            <w:vAlign w:val="center"/>
          </w:tcPr>
          <w:p w14:paraId="4636F43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产生量（吨</w:t>
            </w: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w:t>
            </w: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年）</w:t>
            </w:r>
          </w:p>
        </w:tc>
        <w:tc>
          <w:tcPr>
            <w:tcW w:w="515" w:type="pct"/>
            <w:gridSpan w:val="11"/>
            <w:tcBorders>
              <w:tl2br w:val="nil"/>
              <w:tr2bl w:val="nil"/>
            </w:tcBorders>
            <w:shd w:val="clear" w:color="auto" w:fill="auto"/>
            <w:vAlign w:val="center"/>
          </w:tcPr>
          <w:p w14:paraId="1724532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贮存设施名称</w:t>
            </w:r>
          </w:p>
        </w:tc>
        <w:tc>
          <w:tcPr>
            <w:tcW w:w="199" w:type="pct"/>
            <w:gridSpan w:val="3"/>
            <w:tcBorders>
              <w:tl2br w:val="nil"/>
              <w:tr2bl w:val="nil"/>
            </w:tcBorders>
            <w:shd w:val="clear" w:color="auto" w:fill="auto"/>
            <w:vAlign w:val="center"/>
          </w:tcPr>
          <w:p w14:paraId="4DCC2B0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贮存能力</w:t>
            </w:r>
          </w:p>
        </w:tc>
        <w:tc>
          <w:tcPr>
            <w:tcW w:w="259" w:type="pct"/>
            <w:gridSpan w:val="5"/>
            <w:tcBorders>
              <w:tl2br w:val="nil"/>
              <w:tr2bl w:val="nil"/>
            </w:tcBorders>
            <w:shd w:val="clear" w:color="auto" w:fill="auto"/>
            <w:vAlign w:val="center"/>
          </w:tcPr>
          <w:p w14:paraId="3390AED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自行利用工艺</w:t>
            </w:r>
          </w:p>
        </w:tc>
        <w:tc>
          <w:tcPr>
            <w:tcW w:w="265" w:type="pct"/>
            <w:gridSpan w:val="7"/>
            <w:tcBorders>
              <w:tl2br w:val="nil"/>
              <w:tr2bl w:val="nil"/>
            </w:tcBorders>
            <w:shd w:val="clear" w:color="auto" w:fill="auto"/>
            <w:vAlign w:val="center"/>
          </w:tcPr>
          <w:p w14:paraId="0B1A971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自行处置工艺</w:t>
            </w:r>
          </w:p>
        </w:tc>
        <w:tc>
          <w:tcPr>
            <w:tcW w:w="428" w:type="pct"/>
            <w:tcBorders>
              <w:tl2br w:val="nil"/>
              <w:tr2bl w:val="nil"/>
            </w:tcBorders>
            <w:shd w:val="clear" w:color="auto" w:fill="auto"/>
            <w:vAlign w:val="center"/>
          </w:tcPr>
          <w:p w14:paraId="6011E9A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Style w:val="156"/>
                <w:rFonts w:hint="default" w:ascii="Times New Roman" w:hAnsi="Times New Roman" w:eastAsia="宋体" w:cs="Times New Roman"/>
                <w:color w:val="000000" w:themeColor="text1"/>
                <w:sz w:val="21"/>
                <w:szCs w:val="21"/>
                <w:u w:val="none" w:color="auto"/>
                <w:lang w:val="en-US" w:eastAsia="zh-CN" w:bidi="ar"/>
                <w14:textFill>
                  <w14:solidFill>
                    <w14:schemeClr w14:val="tx1"/>
                  </w14:solidFill>
                </w14:textFill>
              </w:rPr>
              <w:t>是否外委处置</w:t>
            </w:r>
          </w:p>
        </w:tc>
      </w:tr>
      <w:tr w14:paraId="48149C6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48F676E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restart"/>
            <w:tcBorders>
              <w:tl2br w:val="nil"/>
              <w:tr2bl w:val="nil"/>
            </w:tcBorders>
            <w:shd w:val="clear" w:color="auto" w:fill="auto"/>
            <w:vAlign w:val="center"/>
          </w:tcPr>
          <w:p w14:paraId="66AD1F5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一般工业固体废物</w:t>
            </w:r>
          </w:p>
        </w:tc>
        <w:tc>
          <w:tcPr>
            <w:tcW w:w="208" w:type="pct"/>
            <w:tcBorders>
              <w:tl2br w:val="nil"/>
              <w:tr2bl w:val="nil"/>
            </w:tcBorders>
            <w:shd w:val="clear" w:color="auto" w:fill="auto"/>
            <w:vAlign w:val="center"/>
          </w:tcPr>
          <w:p w14:paraId="508E2551">
            <w:pPr>
              <w:pStyle w:val="68"/>
              <w:keepNext w:val="0"/>
              <w:keepLines w:val="0"/>
              <w:pageBreakBefore w:val="0"/>
              <w:widowControl w:val="0"/>
              <w:kinsoku/>
              <w:wordWrap/>
              <w:overflowPunct/>
              <w:topLinePunct w:val="0"/>
              <w:bidi w:val="0"/>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634" w:type="pct"/>
            <w:gridSpan w:val="4"/>
            <w:tcBorders>
              <w:tl2br w:val="nil"/>
              <w:tr2bl w:val="nil"/>
            </w:tcBorders>
            <w:shd w:val="clear" w:color="auto" w:fill="auto"/>
            <w:vAlign w:val="center"/>
          </w:tcPr>
          <w:p w14:paraId="2A8CF6AD">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成品油检验产生的废油</w:t>
            </w:r>
          </w:p>
        </w:tc>
        <w:tc>
          <w:tcPr>
            <w:tcW w:w="1037" w:type="pct"/>
            <w:gridSpan w:val="14"/>
            <w:tcBorders>
              <w:tl2br w:val="nil"/>
              <w:tr2bl w:val="nil"/>
            </w:tcBorders>
            <w:shd w:val="clear" w:color="auto" w:fill="auto"/>
            <w:vAlign w:val="center"/>
          </w:tcPr>
          <w:p w14:paraId="6903AE2A">
            <w:pPr>
              <w:jc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检验工序</w:t>
            </w:r>
          </w:p>
        </w:tc>
        <w:tc>
          <w:tcPr>
            <w:tcW w:w="409" w:type="pct"/>
            <w:gridSpan w:val="3"/>
            <w:tcBorders>
              <w:tl2br w:val="nil"/>
              <w:tr2bl w:val="nil"/>
            </w:tcBorders>
            <w:shd w:val="clear" w:color="auto" w:fill="auto"/>
            <w:vAlign w:val="center"/>
          </w:tcPr>
          <w:p w14:paraId="4EF46730">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2"/>
                <w:u w:val="none" w:color="auto"/>
                <w14:textFill>
                  <w14:solidFill>
                    <w14:schemeClr w14:val="tx1"/>
                  </w14:solidFill>
                </w14:textFill>
              </w:rPr>
              <w:t>/</w:t>
            </w:r>
          </w:p>
        </w:tc>
        <w:tc>
          <w:tcPr>
            <w:tcW w:w="414" w:type="pct"/>
            <w:gridSpan w:val="10"/>
            <w:tcBorders>
              <w:tl2br w:val="nil"/>
              <w:tr2bl w:val="nil"/>
            </w:tcBorders>
            <w:shd w:val="clear" w:color="auto" w:fill="auto"/>
            <w:vAlign w:val="center"/>
          </w:tcPr>
          <w:p w14:paraId="40CFD980">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eastAsia="宋体" w:cs="Times New Roman"/>
                <w:i w:val="0"/>
                <w:iCs w:val="0"/>
                <w:color w:val="000000" w:themeColor="text1"/>
                <w:kern w:val="2"/>
                <w:sz w:val="21"/>
                <w:szCs w:val="21"/>
                <w:u w:val="none" w:color="auto"/>
                <w:lang w:val="en-US" w:eastAsia="zh-CN" w:bidi="ar-SA"/>
                <w14:textFill>
                  <w14:solidFill>
                    <w14:schemeClr w14:val="tx1"/>
                  </w14:solidFill>
                </w14:textFill>
              </w:rPr>
              <w:t>/</w:t>
            </w:r>
          </w:p>
        </w:tc>
        <w:tc>
          <w:tcPr>
            <w:tcW w:w="334" w:type="pct"/>
            <w:gridSpan w:val="6"/>
            <w:tcBorders>
              <w:tl2br w:val="nil"/>
              <w:tr2bl w:val="nil"/>
            </w:tcBorders>
            <w:shd w:val="clear" w:color="auto" w:fill="auto"/>
            <w:vAlign w:val="center"/>
          </w:tcPr>
          <w:p w14:paraId="5023D93D">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2"/>
                <w:u w:val="none" w:color="auto"/>
                <w:lang w:val="en-US" w:eastAsia="zh-CN"/>
                <w14:textFill>
                  <w14:solidFill>
                    <w14:schemeClr w14:val="tx1"/>
                  </w14:solidFill>
                </w14:textFill>
              </w:rPr>
              <w:t>0.1</w:t>
            </w:r>
          </w:p>
        </w:tc>
        <w:tc>
          <w:tcPr>
            <w:tcW w:w="515" w:type="pct"/>
            <w:gridSpan w:val="11"/>
            <w:tcBorders>
              <w:tl2br w:val="nil"/>
              <w:tr2bl w:val="nil"/>
            </w:tcBorders>
            <w:shd w:val="clear" w:color="auto" w:fill="auto"/>
            <w:vAlign w:val="center"/>
          </w:tcPr>
          <w:p w14:paraId="27210F02">
            <w:pPr>
              <w:jc w:val="cente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199" w:type="pct"/>
            <w:gridSpan w:val="3"/>
            <w:tcBorders>
              <w:tl2br w:val="nil"/>
              <w:tr2bl w:val="nil"/>
            </w:tcBorders>
            <w:shd w:val="clear" w:color="auto" w:fill="auto"/>
            <w:vAlign w:val="center"/>
          </w:tcPr>
          <w:p w14:paraId="5E60B42C">
            <w:pPr>
              <w:jc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9" w:type="pct"/>
            <w:gridSpan w:val="5"/>
            <w:tcBorders>
              <w:tl2br w:val="nil"/>
              <w:tr2bl w:val="nil"/>
            </w:tcBorders>
            <w:shd w:val="clear" w:color="auto" w:fill="auto"/>
            <w:vAlign w:val="center"/>
          </w:tcPr>
          <w:p w14:paraId="3457BEA6">
            <w:pPr>
              <w:jc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作为原料回用于生产</w:t>
            </w:r>
          </w:p>
        </w:tc>
        <w:tc>
          <w:tcPr>
            <w:tcW w:w="265" w:type="pct"/>
            <w:gridSpan w:val="7"/>
            <w:tcBorders>
              <w:tl2br w:val="nil"/>
              <w:tr2bl w:val="nil"/>
            </w:tcBorders>
            <w:shd w:val="clear" w:color="auto" w:fill="auto"/>
            <w:vAlign w:val="center"/>
          </w:tcPr>
          <w:p w14:paraId="706A40F4">
            <w:pPr>
              <w:jc w:val="center"/>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vAlign w:val="center"/>
          </w:tcPr>
          <w:p w14:paraId="7D662D53">
            <w:pPr>
              <w:jc w:val="cente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否</w:t>
            </w:r>
          </w:p>
        </w:tc>
      </w:tr>
      <w:tr w14:paraId="7B7DB2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1C96893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B5BB07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02D37E6F">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634" w:type="pct"/>
            <w:gridSpan w:val="4"/>
            <w:tcBorders>
              <w:tl2br w:val="nil"/>
              <w:tr2bl w:val="nil"/>
            </w:tcBorders>
            <w:shd w:val="clear" w:color="auto" w:fill="auto"/>
            <w:vAlign w:val="center"/>
          </w:tcPr>
          <w:p w14:paraId="5D661C91">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污水处理设施隔油池产生的浮渣</w:t>
            </w:r>
          </w:p>
        </w:tc>
        <w:tc>
          <w:tcPr>
            <w:tcW w:w="1037" w:type="pct"/>
            <w:gridSpan w:val="14"/>
            <w:tcBorders>
              <w:tl2br w:val="nil"/>
              <w:tr2bl w:val="nil"/>
            </w:tcBorders>
            <w:shd w:val="clear" w:color="auto" w:fill="auto"/>
            <w:vAlign w:val="center"/>
          </w:tcPr>
          <w:p w14:paraId="0A49D92F">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污水处理</w:t>
            </w:r>
          </w:p>
        </w:tc>
        <w:tc>
          <w:tcPr>
            <w:tcW w:w="409" w:type="pct"/>
            <w:gridSpan w:val="3"/>
            <w:tcBorders>
              <w:tl2br w:val="nil"/>
              <w:tr2bl w:val="nil"/>
            </w:tcBorders>
            <w:shd w:val="clear" w:color="auto" w:fill="auto"/>
            <w:vAlign w:val="center"/>
          </w:tcPr>
          <w:p w14:paraId="2D6BD3B4">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2"/>
                <w:u w:val="none" w:color="auto"/>
                <w14:textFill>
                  <w14:solidFill>
                    <w14:schemeClr w14:val="tx1"/>
                  </w14:solidFill>
                </w14:textFill>
              </w:rPr>
              <w:t>/</w:t>
            </w:r>
          </w:p>
        </w:tc>
        <w:tc>
          <w:tcPr>
            <w:tcW w:w="414" w:type="pct"/>
            <w:gridSpan w:val="10"/>
            <w:tcBorders>
              <w:tl2br w:val="nil"/>
              <w:tr2bl w:val="nil"/>
            </w:tcBorders>
            <w:shd w:val="clear" w:color="auto" w:fill="auto"/>
            <w:vAlign w:val="center"/>
          </w:tcPr>
          <w:p w14:paraId="3FB57E6F">
            <w:pPr>
              <w:pStyle w:val="68"/>
              <w:keepNext w:val="0"/>
              <w:keepLines w:val="0"/>
              <w:pageBreakBefore w:val="0"/>
              <w:widowControl w:val="0"/>
              <w:kinsoku/>
              <w:wordWrap/>
              <w:overflowPunct/>
              <w:topLinePunct w:val="0"/>
              <w:bidi w:val="0"/>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eastAsia="宋体" w:cs="Times New Roman"/>
                <w:i w:val="0"/>
                <w:iCs w:val="0"/>
                <w:color w:val="000000" w:themeColor="text1"/>
                <w:sz w:val="21"/>
                <w:szCs w:val="21"/>
                <w:u w:val="none" w:color="auto"/>
                <w:lang w:val="en-US" w:eastAsia="zh-CN"/>
                <w14:textFill>
                  <w14:solidFill>
                    <w14:schemeClr w14:val="tx1"/>
                  </w14:solidFill>
                </w14:textFill>
              </w:rPr>
              <w:t>/</w:t>
            </w:r>
          </w:p>
        </w:tc>
        <w:tc>
          <w:tcPr>
            <w:tcW w:w="334" w:type="pct"/>
            <w:gridSpan w:val="6"/>
            <w:tcBorders>
              <w:tl2br w:val="nil"/>
              <w:tr2bl w:val="nil"/>
            </w:tcBorders>
            <w:shd w:val="clear" w:color="auto" w:fill="auto"/>
            <w:vAlign w:val="center"/>
          </w:tcPr>
          <w:p w14:paraId="208181D3">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2"/>
                <w:u w:val="none" w:color="auto"/>
                <w:lang w:val="en-US" w:eastAsia="zh-CN"/>
                <w14:textFill>
                  <w14:solidFill>
                    <w14:schemeClr w14:val="tx1"/>
                  </w14:solidFill>
                </w14:textFill>
              </w:rPr>
              <w:t>0.1</w:t>
            </w:r>
          </w:p>
        </w:tc>
        <w:tc>
          <w:tcPr>
            <w:tcW w:w="515" w:type="pct"/>
            <w:gridSpan w:val="11"/>
            <w:tcBorders>
              <w:tl2br w:val="nil"/>
              <w:tr2bl w:val="nil"/>
            </w:tcBorders>
            <w:shd w:val="clear" w:color="auto" w:fill="auto"/>
            <w:vAlign w:val="center"/>
          </w:tcPr>
          <w:p w14:paraId="348B623C">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199" w:type="pct"/>
            <w:gridSpan w:val="3"/>
            <w:tcBorders>
              <w:tl2br w:val="nil"/>
              <w:tr2bl w:val="nil"/>
            </w:tcBorders>
            <w:shd w:val="clear" w:color="auto" w:fill="auto"/>
            <w:vAlign w:val="center"/>
          </w:tcPr>
          <w:p w14:paraId="54718016">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59" w:type="pct"/>
            <w:gridSpan w:val="5"/>
            <w:tcBorders>
              <w:tl2br w:val="nil"/>
              <w:tr2bl w:val="nil"/>
            </w:tcBorders>
            <w:shd w:val="clear" w:color="auto" w:fill="auto"/>
            <w:vAlign w:val="center"/>
          </w:tcPr>
          <w:p w14:paraId="3243BE95">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作为原料回用于生产</w:t>
            </w:r>
          </w:p>
        </w:tc>
        <w:tc>
          <w:tcPr>
            <w:tcW w:w="265" w:type="pct"/>
            <w:gridSpan w:val="7"/>
            <w:tcBorders>
              <w:tl2br w:val="nil"/>
              <w:tr2bl w:val="nil"/>
            </w:tcBorders>
            <w:shd w:val="clear" w:color="auto" w:fill="auto"/>
            <w:vAlign w:val="center"/>
          </w:tcPr>
          <w:p w14:paraId="3685836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vAlign w:val="center"/>
          </w:tcPr>
          <w:p w14:paraId="50C02772">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否</w:t>
            </w:r>
          </w:p>
        </w:tc>
      </w:tr>
      <w:tr w14:paraId="5C4A2A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7070BDA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59E37CB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7D1FA321">
            <w:pPr>
              <w:pStyle w:val="68"/>
              <w:keepNext w:val="0"/>
              <w:keepLines w:val="0"/>
              <w:pageBreakBefore w:val="0"/>
              <w:widowControl w:val="0"/>
              <w:kinsoku/>
              <w:wordWrap/>
              <w:overflowPunct/>
              <w:topLinePunct w:val="0"/>
              <w:bidi w:val="0"/>
              <w:rPr>
                <w:rFonts w:hint="eastAsia" w:ascii="Times New Roman" w:hAnsi="Times New Roman" w:eastAsia="宋体" w:cs="Times New Roman"/>
                <w:color w:val="000000" w:themeColor="text1"/>
                <w:u w:val="none" w:color="auto"/>
                <w:lang w:val="en-US" w:eastAsia="zh-CN"/>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3</w:t>
            </w:r>
          </w:p>
        </w:tc>
        <w:tc>
          <w:tcPr>
            <w:tcW w:w="634" w:type="pct"/>
            <w:gridSpan w:val="4"/>
            <w:tcBorders>
              <w:tl2br w:val="nil"/>
              <w:tr2bl w:val="nil"/>
            </w:tcBorders>
            <w:shd w:val="clear" w:color="auto" w:fill="auto"/>
            <w:vAlign w:val="center"/>
          </w:tcPr>
          <w:p w14:paraId="337FC24D">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废弃油脂加工产生的废渣</w:t>
            </w:r>
          </w:p>
        </w:tc>
        <w:tc>
          <w:tcPr>
            <w:tcW w:w="1037" w:type="pct"/>
            <w:gridSpan w:val="14"/>
            <w:tcBorders>
              <w:tl2br w:val="nil"/>
              <w:tr2bl w:val="nil"/>
            </w:tcBorders>
            <w:shd w:val="clear" w:color="auto" w:fill="auto"/>
            <w:vAlign w:val="center"/>
          </w:tcPr>
          <w:p w14:paraId="01137088">
            <w:pPr>
              <w:jc w:val="cente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废弃油脂加工工序</w:t>
            </w:r>
          </w:p>
        </w:tc>
        <w:tc>
          <w:tcPr>
            <w:tcW w:w="409" w:type="pct"/>
            <w:gridSpan w:val="3"/>
            <w:tcBorders>
              <w:tl2br w:val="nil"/>
              <w:tr2bl w:val="nil"/>
            </w:tcBorders>
            <w:shd w:val="clear" w:color="auto" w:fill="auto"/>
            <w:vAlign w:val="center"/>
          </w:tcPr>
          <w:p w14:paraId="141C7D7B">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sz w:val="22"/>
                <w:u w:val="none" w:color="auto"/>
                <w14:textFill>
                  <w14:solidFill>
                    <w14:schemeClr w14:val="tx1"/>
                  </w14:solidFill>
                </w14:textFill>
              </w:rPr>
              <w:t>/</w:t>
            </w:r>
          </w:p>
        </w:tc>
        <w:tc>
          <w:tcPr>
            <w:tcW w:w="414" w:type="pct"/>
            <w:gridSpan w:val="10"/>
            <w:tcBorders>
              <w:tl2br w:val="nil"/>
              <w:tr2bl w:val="nil"/>
            </w:tcBorders>
            <w:shd w:val="clear" w:color="auto" w:fill="auto"/>
            <w:vAlign w:val="center"/>
          </w:tcPr>
          <w:p w14:paraId="3B4F0719">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SW59</w:t>
            </w:r>
          </w:p>
          <w:p w14:paraId="36D90AC1">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900-099-S</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59</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334" w:type="pct"/>
            <w:gridSpan w:val="6"/>
            <w:tcBorders>
              <w:tl2br w:val="nil"/>
              <w:tr2bl w:val="nil"/>
            </w:tcBorders>
            <w:shd w:val="clear" w:color="auto" w:fill="auto"/>
            <w:vAlign w:val="center"/>
          </w:tcPr>
          <w:p w14:paraId="74E75D23">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248</w:t>
            </w:r>
          </w:p>
        </w:tc>
        <w:tc>
          <w:tcPr>
            <w:tcW w:w="515" w:type="pct"/>
            <w:gridSpan w:val="11"/>
            <w:tcBorders>
              <w:tl2br w:val="nil"/>
              <w:tr2bl w:val="nil"/>
            </w:tcBorders>
            <w:shd w:val="clear" w:color="auto" w:fill="auto"/>
            <w:vAlign w:val="center"/>
          </w:tcPr>
          <w:p w14:paraId="3245859A">
            <w:pPr>
              <w:jc w:val="cente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沉渣池</w:t>
            </w:r>
          </w:p>
        </w:tc>
        <w:tc>
          <w:tcPr>
            <w:tcW w:w="199" w:type="pct"/>
            <w:gridSpan w:val="3"/>
            <w:tcBorders>
              <w:tl2br w:val="nil"/>
              <w:tr2bl w:val="nil"/>
            </w:tcBorders>
            <w:shd w:val="clear" w:color="auto" w:fill="auto"/>
            <w:vAlign w:val="center"/>
          </w:tcPr>
          <w:p w14:paraId="002D05EC">
            <w:pPr>
              <w:jc w:val="cente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12 m</w:t>
            </w:r>
            <w:r>
              <w:rPr>
                <w:rFonts w:hint="eastAsia" w:ascii="Times New Roman" w:hAnsi="Times New Roman" w:eastAsia="宋体" w:cs="Times New Roman"/>
                <w:i w:val="0"/>
                <w:iCs w:val="0"/>
                <w:color w:val="000000" w:themeColor="text1"/>
                <w:sz w:val="21"/>
                <w:szCs w:val="21"/>
                <w:u w:val="none" w:color="auto"/>
                <w:vertAlign w:val="superscript"/>
                <w:lang w:val="en-US" w:eastAsia="zh-CN"/>
                <w14:textFill>
                  <w14:solidFill>
                    <w14:schemeClr w14:val="tx1"/>
                  </w14:solidFill>
                </w14:textFill>
              </w:rPr>
              <w:t>3</w:t>
            </w:r>
          </w:p>
        </w:tc>
        <w:tc>
          <w:tcPr>
            <w:tcW w:w="259" w:type="pct"/>
            <w:gridSpan w:val="5"/>
            <w:tcBorders>
              <w:tl2br w:val="nil"/>
              <w:tr2bl w:val="nil"/>
            </w:tcBorders>
            <w:shd w:val="clear" w:color="auto" w:fill="auto"/>
            <w:vAlign w:val="center"/>
          </w:tcPr>
          <w:p w14:paraId="1A5B873E">
            <w:pPr>
              <w:jc w:val="cente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5" w:type="pct"/>
            <w:gridSpan w:val="7"/>
            <w:tcBorders>
              <w:tl2br w:val="nil"/>
              <w:tr2bl w:val="nil"/>
            </w:tcBorders>
            <w:shd w:val="clear" w:color="auto" w:fill="auto"/>
            <w:vAlign w:val="center"/>
          </w:tcPr>
          <w:p w14:paraId="7E32ED17">
            <w:pPr>
              <w:jc w:val="cente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vAlign w:val="center"/>
          </w:tcPr>
          <w:p w14:paraId="6A44C408">
            <w:pPr>
              <w:jc w:val="center"/>
              <w:rPr>
                <w:rFonts w:hint="eastAsia" w:ascii="Times New Roman" w:hAnsi="Times New Roman" w:eastAsia="宋体" w:cs="Times New Roman"/>
                <w:i w:val="0"/>
                <w:iCs w:val="0"/>
                <w:color w:val="000000" w:themeColor="text1"/>
                <w:kern w:val="2"/>
                <w:sz w:val="21"/>
                <w:szCs w:val="21"/>
                <w:u w:val="none" w:color="auto"/>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是</w:t>
            </w:r>
          </w:p>
        </w:tc>
      </w:tr>
      <w:tr w14:paraId="5AD875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E081CD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71BD636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41CBEACA">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634" w:type="pct"/>
            <w:gridSpan w:val="4"/>
            <w:tcBorders>
              <w:tl2br w:val="nil"/>
              <w:tr2bl w:val="nil"/>
            </w:tcBorders>
            <w:shd w:val="clear" w:color="auto" w:fill="auto"/>
            <w:vAlign w:val="center"/>
          </w:tcPr>
          <w:p w14:paraId="79C61C7D">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生活垃圾</w:t>
            </w:r>
          </w:p>
        </w:tc>
        <w:tc>
          <w:tcPr>
            <w:tcW w:w="1037" w:type="pct"/>
            <w:gridSpan w:val="14"/>
            <w:tcBorders>
              <w:tl2br w:val="nil"/>
              <w:tr2bl w:val="nil"/>
            </w:tcBorders>
            <w:shd w:val="clear" w:color="auto" w:fill="auto"/>
            <w:vAlign w:val="center"/>
          </w:tcPr>
          <w:p w14:paraId="0F507BC9">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员工生活</w:t>
            </w:r>
          </w:p>
        </w:tc>
        <w:tc>
          <w:tcPr>
            <w:tcW w:w="409" w:type="pct"/>
            <w:gridSpan w:val="3"/>
            <w:tcBorders>
              <w:tl2br w:val="nil"/>
              <w:tr2bl w:val="nil"/>
            </w:tcBorders>
            <w:shd w:val="clear" w:color="auto" w:fill="auto"/>
            <w:vAlign w:val="center"/>
          </w:tcPr>
          <w:p w14:paraId="3DBCA87E">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2"/>
                <w:u w:val="none" w:color="auto"/>
                <w14:textFill>
                  <w14:solidFill>
                    <w14:schemeClr w14:val="tx1"/>
                  </w14:solidFill>
                </w14:textFill>
              </w:rPr>
              <w:t>/</w:t>
            </w:r>
          </w:p>
        </w:tc>
        <w:tc>
          <w:tcPr>
            <w:tcW w:w="414" w:type="pct"/>
            <w:gridSpan w:val="10"/>
            <w:tcBorders>
              <w:tl2br w:val="nil"/>
              <w:tr2bl w:val="nil"/>
            </w:tcBorders>
            <w:shd w:val="clear" w:color="auto" w:fill="auto"/>
            <w:vAlign w:val="center"/>
          </w:tcPr>
          <w:p w14:paraId="3894BF8A">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SW64</w:t>
            </w:r>
          </w:p>
          <w:p w14:paraId="13E3261F">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eastAsia="zh-CN"/>
                <w14:textFill>
                  <w14:solidFill>
                    <w14:schemeClr w14:val="tx1"/>
                  </w14:solidFill>
                </w14:textFill>
              </w:rPr>
              <w:t>（</w:t>
            </w:r>
            <w:r>
              <w:rPr>
                <w:rFonts w:hint="default" w:ascii="Times New Roman" w:hAnsi="Times New Roman" w:eastAsia="宋体" w:cs="Times New Roman"/>
                <w:color w:val="000000" w:themeColor="text1"/>
                <w:u w:val="none" w:color="auto"/>
                <w14:textFill>
                  <w14:solidFill>
                    <w14:schemeClr w14:val="tx1"/>
                  </w14:solidFill>
                </w14:textFill>
              </w:rPr>
              <w:t>900-099-S</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64</w:t>
            </w:r>
            <w:r>
              <w:rPr>
                <w:rFonts w:hint="default" w:ascii="Times New Roman" w:hAnsi="Times New Roman" w:eastAsia="宋体" w:cs="Times New Roman"/>
                <w:color w:val="000000" w:themeColor="text1"/>
                <w:u w:val="none" w:color="auto"/>
                <w:lang w:eastAsia="zh-CN"/>
                <w14:textFill>
                  <w14:solidFill>
                    <w14:schemeClr w14:val="tx1"/>
                  </w14:solidFill>
                </w14:textFill>
              </w:rPr>
              <w:t>）</w:t>
            </w:r>
          </w:p>
        </w:tc>
        <w:tc>
          <w:tcPr>
            <w:tcW w:w="334" w:type="pct"/>
            <w:gridSpan w:val="6"/>
            <w:tcBorders>
              <w:tl2br w:val="nil"/>
              <w:tr2bl w:val="nil"/>
            </w:tcBorders>
            <w:shd w:val="clear" w:color="auto" w:fill="auto"/>
            <w:vAlign w:val="center"/>
          </w:tcPr>
          <w:p w14:paraId="7D9DE7B1">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2"/>
                <w:u w:val="none" w:color="auto"/>
                <w:lang w:val="en-US" w:eastAsia="zh-CN"/>
                <w14:textFill>
                  <w14:solidFill>
                    <w14:schemeClr w14:val="tx1"/>
                  </w14:solidFill>
                </w14:textFill>
              </w:rPr>
              <w:t>3</w:t>
            </w:r>
          </w:p>
        </w:tc>
        <w:tc>
          <w:tcPr>
            <w:tcW w:w="515" w:type="pct"/>
            <w:gridSpan w:val="11"/>
            <w:tcBorders>
              <w:tl2br w:val="nil"/>
              <w:tr2bl w:val="nil"/>
            </w:tcBorders>
            <w:shd w:val="clear" w:color="auto" w:fill="auto"/>
            <w:vAlign w:val="center"/>
          </w:tcPr>
          <w:p w14:paraId="04727733">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垃圾桶</w:t>
            </w:r>
          </w:p>
        </w:tc>
        <w:tc>
          <w:tcPr>
            <w:tcW w:w="199" w:type="pct"/>
            <w:gridSpan w:val="3"/>
            <w:tcBorders>
              <w:tl2br w:val="nil"/>
              <w:tr2bl w:val="nil"/>
            </w:tcBorders>
            <w:shd w:val="clear" w:color="auto" w:fill="auto"/>
            <w:vAlign w:val="center"/>
          </w:tcPr>
          <w:p w14:paraId="0214069D">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2 t</w:t>
            </w:r>
          </w:p>
        </w:tc>
        <w:tc>
          <w:tcPr>
            <w:tcW w:w="259" w:type="pct"/>
            <w:gridSpan w:val="5"/>
            <w:tcBorders>
              <w:tl2br w:val="nil"/>
              <w:tr2bl w:val="nil"/>
            </w:tcBorders>
            <w:shd w:val="clear" w:color="auto" w:fill="auto"/>
            <w:vAlign w:val="center"/>
          </w:tcPr>
          <w:p w14:paraId="3D42A20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5" w:type="pct"/>
            <w:gridSpan w:val="7"/>
            <w:tcBorders>
              <w:tl2br w:val="nil"/>
              <w:tr2bl w:val="nil"/>
            </w:tcBorders>
            <w:shd w:val="clear" w:color="auto" w:fill="auto"/>
            <w:vAlign w:val="center"/>
          </w:tcPr>
          <w:p w14:paraId="3AD05315">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vAlign w:val="center"/>
          </w:tcPr>
          <w:p w14:paraId="60F24849">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是</w:t>
            </w:r>
          </w:p>
        </w:tc>
      </w:tr>
      <w:tr w14:paraId="6B9BA6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5EB6AA2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restart"/>
            <w:tcBorders>
              <w:tl2br w:val="nil"/>
              <w:tr2bl w:val="nil"/>
            </w:tcBorders>
            <w:shd w:val="clear" w:color="auto" w:fill="auto"/>
            <w:vAlign w:val="center"/>
          </w:tcPr>
          <w:p w14:paraId="6904267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color="auto"/>
                <w:lang w:val="en-US" w:eastAsia="zh-CN" w:bidi="ar"/>
                <w14:textFill>
                  <w14:solidFill>
                    <w14:schemeClr w14:val="tx1"/>
                  </w14:solidFill>
                </w14:textFill>
              </w:rPr>
              <w:t>危险废物</w:t>
            </w:r>
          </w:p>
        </w:tc>
        <w:tc>
          <w:tcPr>
            <w:tcW w:w="208" w:type="pct"/>
            <w:tcBorders>
              <w:tl2br w:val="nil"/>
              <w:tr2bl w:val="nil"/>
            </w:tcBorders>
            <w:shd w:val="clear" w:color="auto" w:fill="auto"/>
            <w:vAlign w:val="center"/>
          </w:tcPr>
          <w:p w14:paraId="4023368D">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1</w:t>
            </w:r>
          </w:p>
        </w:tc>
        <w:tc>
          <w:tcPr>
            <w:tcW w:w="634" w:type="pct"/>
            <w:gridSpan w:val="4"/>
            <w:tcBorders>
              <w:tl2br w:val="nil"/>
              <w:tr2bl w:val="nil"/>
            </w:tcBorders>
            <w:shd w:val="clear" w:color="auto" w:fill="auto"/>
            <w:vAlign w:val="center"/>
          </w:tcPr>
          <w:p w14:paraId="08D01C93">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废气处理设施产生的废过滤棉</w:t>
            </w:r>
          </w:p>
        </w:tc>
        <w:tc>
          <w:tcPr>
            <w:tcW w:w="1037" w:type="pct"/>
            <w:gridSpan w:val="14"/>
            <w:tcBorders>
              <w:tl2br w:val="nil"/>
              <w:tr2bl w:val="nil"/>
            </w:tcBorders>
            <w:shd w:val="clear" w:color="auto" w:fill="auto"/>
            <w:vAlign w:val="center"/>
          </w:tcPr>
          <w:p w14:paraId="3827F00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废气处理</w:t>
            </w:r>
          </w:p>
        </w:tc>
        <w:tc>
          <w:tcPr>
            <w:tcW w:w="409" w:type="pct"/>
            <w:gridSpan w:val="3"/>
            <w:tcBorders>
              <w:tl2br w:val="nil"/>
              <w:tr2bl w:val="nil"/>
            </w:tcBorders>
            <w:shd w:val="clear" w:color="auto" w:fill="auto"/>
            <w:vAlign w:val="center"/>
          </w:tcPr>
          <w:p w14:paraId="5816C24E">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T，In</w:t>
            </w:r>
          </w:p>
        </w:tc>
        <w:tc>
          <w:tcPr>
            <w:tcW w:w="414" w:type="pct"/>
            <w:gridSpan w:val="10"/>
            <w:tcBorders>
              <w:tl2br w:val="nil"/>
              <w:tr2bl w:val="nil"/>
            </w:tcBorders>
            <w:shd w:val="clear" w:color="auto" w:fill="auto"/>
            <w:vAlign w:val="center"/>
          </w:tcPr>
          <w:p w14:paraId="50985ACB">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HW49</w:t>
            </w:r>
          </w:p>
          <w:p w14:paraId="3CE6A031">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（900-041-49）</w:t>
            </w:r>
          </w:p>
        </w:tc>
        <w:tc>
          <w:tcPr>
            <w:tcW w:w="334" w:type="pct"/>
            <w:gridSpan w:val="6"/>
            <w:tcBorders>
              <w:tl2br w:val="nil"/>
              <w:tr2bl w:val="nil"/>
            </w:tcBorders>
            <w:shd w:val="clear" w:color="auto" w:fill="auto"/>
            <w:vAlign w:val="center"/>
          </w:tcPr>
          <w:p w14:paraId="5FB196AD">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0.004</w:t>
            </w:r>
          </w:p>
        </w:tc>
        <w:tc>
          <w:tcPr>
            <w:tcW w:w="515" w:type="pct"/>
            <w:gridSpan w:val="11"/>
            <w:tcBorders>
              <w:tl2br w:val="nil"/>
              <w:tr2bl w:val="nil"/>
            </w:tcBorders>
            <w:shd w:val="clear" w:color="auto" w:fill="auto"/>
            <w:vAlign w:val="center"/>
          </w:tcPr>
          <w:p w14:paraId="538562EF">
            <w:pPr>
              <w:jc w:val="cente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危废暂存间</w:t>
            </w:r>
          </w:p>
        </w:tc>
        <w:tc>
          <w:tcPr>
            <w:tcW w:w="199" w:type="pct"/>
            <w:gridSpan w:val="3"/>
            <w:vMerge w:val="restart"/>
            <w:tcBorders>
              <w:tl2br w:val="nil"/>
              <w:tr2bl w:val="nil"/>
            </w:tcBorders>
            <w:shd w:val="clear" w:color="auto" w:fill="auto"/>
            <w:vAlign w:val="center"/>
          </w:tcPr>
          <w:p w14:paraId="67965619">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10 m</w:t>
            </w:r>
            <w:r>
              <w:rPr>
                <w:rFonts w:hint="eastAsia" w:ascii="Times New Roman" w:hAnsi="Times New Roman" w:eastAsia="宋体" w:cs="Times New Roman"/>
                <w:i w:val="0"/>
                <w:iCs w:val="0"/>
                <w:color w:val="000000" w:themeColor="text1"/>
                <w:sz w:val="21"/>
                <w:szCs w:val="21"/>
                <w:u w:val="none" w:color="auto"/>
                <w:vertAlign w:val="superscript"/>
                <w:lang w:val="en-US" w:eastAsia="zh-CN"/>
                <w14:textFill>
                  <w14:solidFill>
                    <w14:schemeClr w14:val="tx1"/>
                  </w14:solidFill>
                </w14:textFill>
              </w:rPr>
              <w:t>2</w:t>
            </w:r>
          </w:p>
        </w:tc>
        <w:tc>
          <w:tcPr>
            <w:tcW w:w="259" w:type="pct"/>
            <w:gridSpan w:val="5"/>
            <w:tcBorders>
              <w:tl2br w:val="nil"/>
              <w:tr2bl w:val="nil"/>
            </w:tcBorders>
            <w:shd w:val="clear" w:color="auto" w:fill="auto"/>
            <w:vAlign w:val="center"/>
          </w:tcPr>
          <w:p w14:paraId="19B7E34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5" w:type="pct"/>
            <w:gridSpan w:val="7"/>
            <w:tcBorders>
              <w:tl2br w:val="nil"/>
              <w:tr2bl w:val="nil"/>
            </w:tcBorders>
            <w:shd w:val="clear" w:color="auto" w:fill="auto"/>
            <w:vAlign w:val="center"/>
          </w:tcPr>
          <w:p w14:paraId="0053FB5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vAlign w:val="center"/>
          </w:tcPr>
          <w:p w14:paraId="741404F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是</w:t>
            </w:r>
          </w:p>
        </w:tc>
      </w:tr>
      <w:tr w14:paraId="2B287E7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2AA64CB1">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0D7E02F7">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0174430A">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2</w:t>
            </w:r>
          </w:p>
        </w:tc>
        <w:tc>
          <w:tcPr>
            <w:tcW w:w="634" w:type="pct"/>
            <w:gridSpan w:val="4"/>
            <w:tcBorders>
              <w:tl2br w:val="nil"/>
              <w:tr2bl w:val="nil"/>
            </w:tcBorders>
            <w:shd w:val="clear" w:color="auto" w:fill="auto"/>
            <w:vAlign w:val="center"/>
          </w:tcPr>
          <w:p w14:paraId="6782670F">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废气处理设施产生的废活性炭</w:t>
            </w:r>
          </w:p>
        </w:tc>
        <w:tc>
          <w:tcPr>
            <w:tcW w:w="1037" w:type="pct"/>
            <w:gridSpan w:val="14"/>
            <w:tcBorders>
              <w:tl2br w:val="nil"/>
              <w:tr2bl w:val="nil"/>
            </w:tcBorders>
            <w:shd w:val="clear" w:color="auto" w:fill="auto"/>
            <w:vAlign w:val="center"/>
          </w:tcPr>
          <w:p w14:paraId="3B2DFF53">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废气处理</w:t>
            </w:r>
          </w:p>
        </w:tc>
        <w:tc>
          <w:tcPr>
            <w:tcW w:w="409" w:type="pct"/>
            <w:gridSpan w:val="3"/>
            <w:tcBorders>
              <w:tl2br w:val="nil"/>
              <w:tr2bl w:val="nil"/>
            </w:tcBorders>
            <w:shd w:val="clear" w:color="auto" w:fill="auto"/>
            <w:vAlign w:val="center"/>
          </w:tcPr>
          <w:p w14:paraId="1642859C">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w:t>
            </w:r>
          </w:p>
        </w:tc>
        <w:tc>
          <w:tcPr>
            <w:tcW w:w="414" w:type="pct"/>
            <w:gridSpan w:val="10"/>
            <w:tcBorders>
              <w:tl2br w:val="nil"/>
              <w:tr2bl w:val="nil"/>
            </w:tcBorders>
            <w:shd w:val="clear" w:color="auto" w:fill="auto"/>
            <w:vAlign w:val="center"/>
          </w:tcPr>
          <w:p w14:paraId="1D4A71A3">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HW4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p>
          <w:p w14:paraId="03FA63B4">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39</w:t>
            </w:r>
            <w:r>
              <w:rPr>
                <w:rFonts w:hint="default" w:ascii="Times New Roman" w:hAnsi="Times New Roman" w:eastAsia="宋体" w:cs="Times New Roman"/>
                <w:color w:val="000000" w:themeColor="text1"/>
                <w:u w:val="none" w:color="auto"/>
                <w14:textFill>
                  <w14:solidFill>
                    <w14:schemeClr w14:val="tx1"/>
                  </w14:solidFill>
                </w14:textFill>
              </w:rPr>
              <w:t>-4</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334" w:type="pct"/>
            <w:gridSpan w:val="6"/>
            <w:tcBorders>
              <w:tl2br w:val="nil"/>
              <w:tr2bl w:val="nil"/>
            </w:tcBorders>
            <w:shd w:val="clear" w:color="auto" w:fill="auto"/>
            <w:vAlign w:val="center"/>
          </w:tcPr>
          <w:p w14:paraId="75DB1876">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lang w:val="en-US"/>
                <w14:textFill>
                  <w14:solidFill>
                    <w14:schemeClr w14:val="tx1"/>
                  </w14:solidFill>
                </w14:textFill>
              </w:rPr>
            </w:pPr>
            <w:r>
              <w:rPr>
                <w:rFonts w:hint="eastAsia" w:eastAsia="宋体" w:cs="Times New Roman"/>
                <w:color w:val="000000" w:themeColor="text1"/>
                <w:u w:val="none" w:color="auto"/>
                <w:lang w:val="en-US" w:eastAsia="zh-CN"/>
                <w14:textFill>
                  <w14:solidFill>
                    <w14:schemeClr w14:val="tx1"/>
                  </w14:solidFill>
                </w14:textFill>
              </w:rPr>
              <w:t>1.6</w:t>
            </w:r>
          </w:p>
        </w:tc>
        <w:tc>
          <w:tcPr>
            <w:tcW w:w="515" w:type="pct"/>
            <w:gridSpan w:val="11"/>
            <w:tcBorders>
              <w:tl2br w:val="nil"/>
              <w:tr2bl w:val="nil"/>
            </w:tcBorders>
            <w:shd w:val="clear" w:color="auto" w:fill="auto"/>
            <w:vAlign w:val="center"/>
          </w:tcPr>
          <w:p w14:paraId="7507E22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危废暂存间</w:t>
            </w:r>
          </w:p>
        </w:tc>
        <w:tc>
          <w:tcPr>
            <w:tcW w:w="199" w:type="pct"/>
            <w:gridSpan w:val="3"/>
            <w:vMerge w:val="continue"/>
            <w:tcBorders>
              <w:tl2br w:val="nil"/>
              <w:tr2bl w:val="nil"/>
            </w:tcBorders>
            <w:shd w:val="clear" w:color="auto" w:fill="auto"/>
            <w:vAlign w:val="center"/>
          </w:tcPr>
          <w:p w14:paraId="27B07EB0">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59" w:type="pct"/>
            <w:gridSpan w:val="5"/>
            <w:tcBorders>
              <w:tl2br w:val="nil"/>
              <w:tr2bl w:val="nil"/>
            </w:tcBorders>
            <w:shd w:val="clear" w:color="auto" w:fill="auto"/>
            <w:vAlign w:val="center"/>
          </w:tcPr>
          <w:p w14:paraId="208670A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5" w:type="pct"/>
            <w:gridSpan w:val="7"/>
            <w:tcBorders>
              <w:tl2br w:val="nil"/>
              <w:tr2bl w:val="nil"/>
            </w:tcBorders>
            <w:shd w:val="clear" w:color="auto" w:fill="auto"/>
            <w:vAlign w:val="center"/>
          </w:tcPr>
          <w:p w14:paraId="1A49A422">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vAlign w:val="center"/>
          </w:tcPr>
          <w:p w14:paraId="3EF1DCCD">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是</w:t>
            </w:r>
          </w:p>
        </w:tc>
      </w:tr>
      <w:tr w14:paraId="500DFE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1F6343B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2C0D6FAB">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2802F4F7">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3</w:t>
            </w:r>
          </w:p>
        </w:tc>
        <w:tc>
          <w:tcPr>
            <w:tcW w:w="634" w:type="pct"/>
            <w:gridSpan w:val="4"/>
            <w:tcBorders>
              <w:tl2br w:val="nil"/>
              <w:tr2bl w:val="nil"/>
            </w:tcBorders>
            <w:shd w:val="clear" w:color="auto" w:fill="auto"/>
            <w:vAlign w:val="center"/>
          </w:tcPr>
          <w:p w14:paraId="346ED701">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设备检修产生的废</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润滑油</w:t>
            </w:r>
          </w:p>
        </w:tc>
        <w:tc>
          <w:tcPr>
            <w:tcW w:w="1037" w:type="pct"/>
            <w:gridSpan w:val="14"/>
            <w:tcBorders>
              <w:tl2br w:val="nil"/>
              <w:tr2bl w:val="nil"/>
            </w:tcBorders>
            <w:shd w:val="clear" w:color="auto" w:fill="auto"/>
            <w:vAlign w:val="center"/>
          </w:tcPr>
          <w:p w14:paraId="00DFA616">
            <w:pPr>
              <w:jc w:val="center"/>
              <w:rPr>
                <w:rFonts w:hint="default"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设备检修</w:t>
            </w:r>
          </w:p>
        </w:tc>
        <w:tc>
          <w:tcPr>
            <w:tcW w:w="409" w:type="pct"/>
            <w:gridSpan w:val="3"/>
            <w:tcBorders>
              <w:tl2br w:val="nil"/>
              <w:tr2bl w:val="nil"/>
            </w:tcBorders>
            <w:shd w:val="clear" w:color="auto" w:fill="auto"/>
            <w:vAlign w:val="center"/>
          </w:tcPr>
          <w:p w14:paraId="1FF72622">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T，I</w:t>
            </w:r>
          </w:p>
        </w:tc>
        <w:tc>
          <w:tcPr>
            <w:tcW w:w="414" w:type="pct"/>
            <w:gridSpan w:val="10"/>
            <w:tcBorders>
              <w:tl2br w:val="nil"/>
              <w:tr2bl w:val="nil"/>
            </w:tcBorders>
            <w:shd w:val="clear" w:color="auto" w:fill="auto"/>
            <w:vAlign w:val="center"/>
          </w:tcPr>
          <w:p w14:paraId="6C31E702">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HW</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08</w:t>
            </w:r>
          </w:p>
          <w:p w14:paraId="03460505">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214-08</w:t>
            </w:r>
            <w:r>
              <w:rPr>
                <w:rFonts w:hint="default" w:ascii="Times New Roman" w:hAnsi="Times New Roman" w:eastAsia="宋体" w:cs="Times New Roman"/>
                <w:color w:val="000000" w:themeColor="text1"/>
                <w:u w:val="none" w:color="auto"/>
                <w14:textFill>
                  <w14:solidFill>
                    <w14:schemeClr w14:val="tx1"/>
                  </w14:solidFill>
                </w14:textFill>
              </w:rPr>
              <w:t>）</w:t>
            </w:r>
          </w:p>
        </w:tc>
        <w:tc>
          <w:tcPr>
            <w:tcW w:w="334" w:type="pct"/>
            <w:gridSpan w:val="6"/>
            <w:tcBorders>
              <w:tl2br w:val="nil"/>
              <w:tr2bl w:val="nil"/>
            </w:tcBorders>
            <w:shd w:val="clear" w:color="auto" w:fill="auto"/>
            <w:vAlign w:val="center"/>
          </w:tcPr>
          <w:p w14:paraId="747527B9">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0.1</w:t>
            </w:r>
          </w:p>
        </w:tc>
        <w:tc>
          <w:tcPr>
            <w:tcW w:w="515" w:type="pct"/>
            <w:gridSpan w:val="11"/>
            <w:tcBorders>
              <w:tl2br w:val="nil"/>
              <w:tr2bl w:val="nil"/>
            </w:tcBorders>
            <w:shd w:val="clear" w:color="auto" w:fill="auto"/>
            <w:vAlign w:val="center"/>
          </w:tcPr>
          <w:p w14:paraId="76AB8466">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危废暂存间</w:t>
            </w:r>
          </w:p>
        </w:tc>
        <w:tc>
          <w:tcPr>
            <w:tcW w:w="199" w:type="pct"/>
            <w:gridSpan w:val="3"/>
            <w:vMerge w:val="continue"/>
            <w:tcBorders>
              <w:tl2br w:val="nil"/>
              <w:tr2bl w:val="nil"/>
            </w:tcBorders>
            <w:shd w:val="clear" w:color="auto" w:fill="auto"/>
            <w:vAlign w:val="center"/>
          </w:tcPr>
          <w:p w14:paraId="2E0229E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59" w:type="pct"/>
            <w:gridSpan w:val="5"/>
            <w:tcBorders>
              <w:tl2br w:val="nil"/>
              <w:tr2bl w:val="nil"/>
            </w:tcBorders>
            <w:shd w:val="clear" w:color="auto" w:fill="auto"/>
            <w:vAlign w:val="center"/>
          </w:tcPr>
          <w:p w14:paraId="2FEFA053">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5" w:type="pct"/>
            <w:gridSpan w:val="7"/>
            <w:tcBorders>
              <w:tl2br w:val="nil"/>
              <w:tr2bl w:val="nil"/>
            </w:tcBorders>
            <w:shd w:val="clear" w:color="auto" w:fill="auto"/>
            <w:vAlign w:val="center"/>
          </w:tcPr>
          <w:p w14:paraId="0485577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vAlign w:val="center"/>
          </w:tcPr>
          <w:p w14:paraId="11127AC9">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是</w:t>
            </w:r>
          </w:p>
        </w:tc>
      </w:tr>
      <w:tr w14:paraId="284F226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rPr>
        <w:tc>
          <w:tcPr>
            <w:tcW w:w="144" w:type="pct"/>
            <w:gridSpan w:val="3"/>
            <w:vMerge w:val="continue"/>
            <w:tcBorders>
              <w:tl2br w:val="nil"/>
              <w:tr2bl w:val="nil"/>
            </w:tcBorders>
            <w:shd w:val="clear" w:color="auto" w:fill="auto"/>
            <w:vAlign w:val="center"/>
          </w:tcPr>
          <w:p w14:paraId="772A3AEA">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148" w:type="pct"/>
            <w:vMerge w:val="continue"/>
            <w:tcBorders>
              <w:tl2br w:val="nil"/>
              <w:tr2bl w:val="nil"/>
            </w:tcBorders>
            <w:shd w:val="clear" w:color="auto" w:fill="auto"/>
            <w:vAlign w:val="center"/>
          </w:tcPr>
          <w:p w14:paraId="6E8BD7B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08" w:type="pct"/>
            <w:tcBorders>
              <w:tl2br w:val="nil"/>
              <w:tr2bl w:val="nil"/>
            </w:tcBorders>
            <w:shd w:val="clear" w:color="auto" w:fill="auto"/>
            <w:vAlign w:val="center"/>
          </w:tcPr>
          <w:p w14:paraId="76CBC283">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4</w:t>
            </w:r>
          </w:p>
        </w:tc>
        <w:tc>
          <w:tcPr>
            <w:tcW w:w="634" w:type="pct"/>
            <w:gridSpan w:val="4"/>
            <w:tcBorders>
              <w:tl2br w:val="nil"/>
              <w:tr2bl w:val="nil"/>
            </w:tcBorders>
            <w:shd w:val="clear" w:color="auto" w:fill="auto"/>
            <w:vAlign w:val="center"/>
          </w:tcPr>
          <w:p w14:paraId="0CC1AE7C">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废劳保用品</w:t>
            </w:r>
          </w:p>
        </w:tc>
        <w:tc>
          <w:tcPr>
            <w:tcW w:w="1037" w:type="pct"/>
            <w:gridSpan w:val="14"/>
            <w:tcBorders>
              <w:tl2br w:val="nil"/>
              <w:tr2bl w:val="nil"/>
            </w:tcBorders>
            <w:shd w:val="clear" w:color="auto" w:fill="auto"/>
            <w:vAlign w:val="center"/>
          </w:tcPr>
          <w:p w14:paraId="0F5AF28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设备检修</w:t>
            </w:r>
          </w:p>
        </w:tc>
        <w:tc>
          <w:tcPr>
            <w:tcW w:w="409" w:type="pct"/>
            <w:gridSpan w:val="3"/>
            <w:tcBorders>
              <w:tl2br w:val="nil"/>
              <w:tr2bl w:val="nil"/>
            </w:tcBorders>
            <w:shd w:val="clear" w:color="auto" w:fill="auto"/>
            <w:vAlign w:val="center"/>
          </w:tcPr>
          <w:p w14:paraId="10D23C66">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T，In</w:t>
            </w:r>
          </w:p>
        </w:tc>
        <w:tc>
          <w:tcPr>
            <w:tcW w:w="414" w:type="pct"/>
            <w:gridSpan w:val="10"/>
            <w:tcBorders>
              <w:tl2br w:val="nil"/>
              <w:tr2bl w:val="nil"/>
            </w:tcBorders>
            <w:shd w:val="clear" w:color="auto" w:fill="auto"/>
            <w:vAlign w:val="center"/>
          </w:tcPr>
          <w:p w14:paraId="146436E0">
            <w:pPr>
              <w:pStyle w:val="68"/>
              <w:keepNext w:val="0"/>
              <w:keepLines w:val="0"/>
              <w:pageBreakBefore w:val="0"/>
              <w:widowControl w:val="0"/>
              <w:kinsoku/>
              <w:wordWrap/>
              <w:overflowPunct/>
              <w:topLinePunct w:val="0"/>
              <w:bidi w:val="0"/>
              <w:rPr>
                <w:rFonts w:hint="default" w:ascii="Times New Roman" w:hAnsi="Times New Roman" w:eastAsia="宋体" w:cs="Times New Roman"/>
                <w:color w:val="000000" w:themeColor="text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HW49</w:t>
            </w:r>
          </w:p>
          <w:p w14:paraId="44240D96">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900</w:t>
            </w:r>
            <w:r>
              <w:rPr>
                <w:rFonts w:hint="default" w:ascii="Times New Roman" w:hAnsi="Times New Roman" w:eastAsia="宋体" w:cs="Times New Roman"/>
                <w:color w:val="000000" w:themeColor="text1"/>
                <w:u w:val="none" w:color="auto"/>
                <w14:textFill>
                  <w14:solidFill>
                    <w14:schemeClr w14:val="tx1"/>
                  </w14:solidFill>
                </w14:textFill>
              </w:rPr>
              <w:t>-0</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41</w:t>
            </w:r>
            <w:r>
              <w:rPr>
                <w:rFonts w:hint="default" w:ascii="Times New Roman" w:hAnsi="Times New Roman" w:eastAsia="宋体" w:cs="Times New Roman"/>
                <w:color w:val="000000" w:themeColor="text1"/>
                <w:u w:val="none" w:color="auto"/>
                <w14:textFill>
                  <w14:solidFill>
                    <w14:schemeClr w14:val="tx1"/>
                  </w14:solidFill>
                </w14:textFill>
              </w:rPr>
              <w:t>-49）</w:t>
            </w:r>
          </w:p>
        </w:tc>
        <w:tc>
          <w:tcPr>
            <w:tcW w:w="334" w:type="pct"/>
            <w:gridSpan w:val="6"/>
            <w:tcBorders>
              <w:tl2br w:val="nil"/>
              <w:tr2bl w:val="nil"/>
            </w:tcBorders>
            <w:shd w:val="clear" w:color="auto" w:fill="auto"/>
            <w:vAlign w:val="center"/>
          </w:tcPr>
          <w:p w14:paraId="52A1C2A1">
            <w:pPr>
              <w:pStyle w:val="68"/>
              <w:keepNext w:val="0"/>
              <w:keepLines w:val="0"/>
              <w:pageBreakBefore w:val="0"/>
              <w:widowControl w:val="0"/>
              <w:kinsoku/>
              <w:wordWrap/>
              <w:overflowPunct/>
              <w:topLinePunct w:val="0"/>
              <w:bidi w:val="0"/>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u w:val="none" w:color="auto"/>
                <w:lang w:val="en-US" w:eastAsia="zh-CN"/>
                <w14:textFill>
                  <w14:solidFill>
                    <w14:schemeClr w14:val="tx1"/>
                  </w14:solidFill>
                </w14:textFill>
              </w:rPr>
              <w:t>0.1</w:t>
            </w:r>
          </w:p>
        </w:tc>
        <w:tc>
          <w:tcPr>
            <w:tcW w:w="515" w:type="pct"/>
            <w:gridSpan w:val="11"/>
            <w:tcBorders>
              <w:tl2br w:val="nil"/>
              <w:tr2bl w:val="nil"/>
            </w:tcBorders>
            <w:shd w:val="clear" w:color="auto" w:fill="auto"/>
            <w:vAlign w:val="center"/>
          </w:tcPr>
          <w:p w14:paraId="7E59DE9E">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危废暂存间</w:t>
            </w:r>
          </w:p>
        </w:tc>
        <w:tc>
          <w:tcPr>
            <w:tcW w:w="199" w:type="pct"/>
            <w:gridSpan w:val="3"/>
            <w:vMerge w:val="continue"/>
            <w:tcBorders>
              <w:tl2br w:val="nil"/>
              <w:tr2bl w:val="nil"/>
            </w:tcBorders>
            <w:shd w:val="clear" w:color="auto" w:fill="auto"/>
            <w:vAlign w:val="center"/>
          </w:tcPr>
          <w:p w14:paraId="61D1AC54">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p>
        </w:tc>
        <w:tc>
          <w:tcPr>
            <w:tcW w:w="259" w:type="pct"/>
            <w:gridSpan w:val="5"/>
            <w:tcBorders>
              <w:tl2br w:val="nil"/>
              <w:tr2bl w:val="nil"/>
            </w:tcBorders>
            <w:shd w:val="clear" w:color="auto" w:fill="auto"/>
            <w:vAlign w:val="center"/>
          </w:tcPr>
          <w:p w14:paraId="7E3F19F8">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265" w:type="pct"/>
            <w:gridSpan w:val="7"/>
            <w:tcBorders>
              <w:tl2br w:val="nil"/>
              <w:tr2bl w:val="nil"/>
            </w:tcBorders>
            <w:shd w:val="clear" w:color="auto" w:fill="auto"/>
            <w:vAlign w:val="center"/>
          </w:tcPr>
          <w:p w14:paraId="75D319CC">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w:t>
            </w:r>
          </w:p>
        </w:tc>
        <w:tc>
          <w:tcPr>
            <w:tcW w:w="428" w:type="pct"/>
            <w:tcBorders>
              <w:tl2br w:val="nil"/>
              <w:tr2bl w:val="nil"/>
            </w:tcBorders>
            <w:shd w:val="clear" w:color="auto" w:fill="auto"/>
            <w:vAlign w:val="center"/>
          </w:tcPr>
          <w:p w14:paraId="62197A2F">
            <w:pPr>
              <w:jc w:val="center"/>
              <w:rPr>
                <w:rFonts w:hint="default" w:ascii="Times New Roman" w:hAnsi="Times New Roman" w:eastAsia="宋体" w:cs="Times New Roman"/>
                <w:i w:val="0"/>
                <w:iCs w:val="0"/>
                <w:color w:val="000000" w:themeColor="text1"/>
                <w:sz w:val="21"/>
                <w:szCs w:val="21"/>
                <w:u w:val="none" w:color="auto"/>
                <w14:textFill>
                  <w14:solidFill>
                    <w14:schemeClr w14:val="tx1"/>
                  </w14:solidFill>
                </w14:textFill>
              </w:rPr>
            </w:pPr>
            <w:r>
              <w:rPr>
                <w:rFonts w:hint="eastAsia" w:ascii="Times New Roman" w:hAnsi="Times New Roman" w:eastAsia="宋体" w:cs="Times New Roman"/>
                <w:i w:val="0"/>
                <w:iCs w:val="0"/>
                <w:color w:val="000000" w:themeColor="text1"/>
                <w:sz w:val="21"/>
                <w:szCs w:val="21"/>
                <w:u w:val="none" w:color="auto"/>
                <w:lang w:val="en-US" w:eastAsia="zh-CN"/>
                <w14:textFill>
                  <w14:solidFill>
                    <w14:schemeClr w14:val="tx1"/>
                  </w14:solidFill>
                </w14:textFill>
              </w:rPr>
              <w:t>是</w:t>
            </w:r>
          </w:p>
        </w:tc>
      </w:tr>
    </w:tbl>
    <w:p w14:paraId="45B2C91E">
      <w:pPr>
        <w:rPr>
          <w:rFonts w:hint="default"/>
          <w:u w:val="none" w:color="auto"/>
          <w:lang w:val="en-US" w:eastAsia="zh-CN"/>
        </w:rPr>
      </w:pPr>
    </w:p>
    <w:sectPr>
      <w:pgSz w:w="23811" w:h="16838" w:orient="landscape"/>
      <w:pgMar w:top="1797" w:right="1440" w:bottom="1797" w:left="1440" w:header="851" w:footer="992" w:gutter="0"/>
      <w:pgBorders>
        <w:top w:val="none" w:sz="0" w:space="0"/>
        <w:left w:val="none" w:sz="0" w:space="0"/>
        <w:bottom w:val="none" w:sz="0" w:space="0"/>
        <w:right w:val="none" w:sz="0" w:space="0"/>
      </w:pgBorders>
      <w:cols w:space="425" w:num="1"/>
      <w:docGrid w:linePitch="326"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Y" w:date="2026-01-27T15:37:58Z" w:initials="Y">
    <w:p w14:paraId="65E2B5A6">
      <w:pPr>
        <w:pStyle w:val="18"/>
      </w:pPr>
      <w:r>
        <w:annotationRef/>
      </w:r>
    </w:p>
  </w:comment>
  <w:comment w:id="1" w:author="Y" w:date="2026-01-27T15:38:30Z" w:initials="Y">
    <w:p w14:paraId="72A9C42A">
      <w:pPr>
        <w:pStyle w:val="18"/>
      </w:pPr>
      <w:r>
        <w:annotationRef/>
      </w:r>
    </w:p>
  </w:comment>
  <w:comment w:id="2" w:author="Y" w:date="2026-03-12T09:06:34Z" w:initials="Y">
    <w:p w14:paraId="4C0EA32F">
      <w:pPr>
        <w:pStyle w:val="18"/>
      </w:pPr>
      <w: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5E2B5A6" w15:done="0"/>
  <w15:commentEx w15:paraId="72A9C42A" w15:done="0"/>
  <w15:commentEx w15:paraId="4C0EA32F"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ingdings 2">
    <w:altName w:val="Wingdings"/>
    <w:panose1 w:val="05020102010507070707"/>
    <w:charset w:val="02"/>
    <w:family w:val="roman"/>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93D8D6">
    <w:pPr>
      <w:pStyle w:val="2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23017823"/>
    </w:sdtPr>
    <w:sdtContent>
      <w:p w14:paraId="4BF4B30B">
        <w:pPr>
          <w:pStyle w:val="25"/>
          <w:jc w:val="center"/>
        </w:pPr>
        <w:r>
          <w:fldChar w:fldCharType="begin"/>
        </w:r>
        <w:r>
          <w:instrText xml:space="preserve">PAGE   \* MERGEFORMAT</w:instrText>
        </w:r>
        <w:r>
          <w:fldChar w:fldCharType="separate"/>
        </w:r>
        <w:r>
          <w:rPr>
            <w:lang w:val="zh-CN"/>
          </w:rPr>
          <w:t>38</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CB8EE5">
    <w:pPr>
      <w:pStyle w:val="25"/>
      <w:spacing w:before="120" w:after="120"/>
      <w:ind w:left="192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C0C336">
    <w:pPr>
      <w:pStyle w:val="25"/>
      <w:spacing w:before="120" w:after="120"/>
      <w:ind w:left="192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52314300"/>
    </w:sdtPr>
    <w:sdtContent>
      <w:p w14:paraId="4FD584E1">
        <w:pPr>
          <w:pStyle w:val="25"/>
          <w:jc w:val="center"/>
        </w:pPr>
        <w:r>
          <w:fldChar w:fldCharType="begin"/>
        </w:r>
        <w:r>
          <w:instrText xml:space="preserve">PAGE   \* MERGEFORMAT</w:instrText>
        </w:r>
        <w:r>
          <w:fldChar w:fldCharType="separate"/>
        </w:r>
        <w:r>
          <w:rPr>
            <w:lang w:val="zh-CN"/>
          </w:rPr>
          <w:t>364</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7404D9">
    <w:pPr>
      <w:pStyle w:val="25"/>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1BA362">
    <w:pPr>
      <w:pStyle w:val="25"/>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749E1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3EB2A2">
    <w:pPr>
      <w:pStyle w:val="26"/>
      <w:ind w:left="480"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0B5CF">
    <w:pPr>
      <w:pStyle w:val="26"/>
      <w:ind w:left="480"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7CF311">
    <w:pPr>
      <w:pStyle w:val="2"/>
      <w:spacing w:line="14" w:lineRule="auto"/>
      <w:ind w:firstLine="400"/>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AB51E6">
    <w:pPr>
      <w:pStyle w:val="26"/>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0C708F">
    <w:pPr>
      <w:pStyle w:val="2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04611E"/>
    <w:multiLevelType w:val="singleLevel"/>
    <w:tmpl w:val="8904611E"/>
    <w:lvl w:ilvl="0" w:tentative="0">
      <w:start w:val="1"/>
      <w:numFmt w:val="decimal"/>
      <w:pStyle w:val="117"/>
      <w:suff w:val="nothing"/>
      <w:lvlText w:val="（%1）"/>
      <w:lvlJc w:val="left"/>
    </w:lvl>
  </w:abstractNum>
  <w:abstractNum w:abstractNumId="1">
    <w:nsid w:val="9FAFC22B"/>
    <w:multiLevelType w:val="singleLevel"/>
    <w:tmpl w:val="9FAFC22B"/>
    <w:lvl w:ilvl="0" w:tentative="0">
      <w:start w:val="1"/>
      <w:numFmt w:val="decimalEnclosedCircleChinese"/>
      <w:suff w:val="nothing"/>
      <w:lvlText w:val="%1　"/>
      <w:lvlJc w:val="left"/>
      <w:pPr>
        <w:ind w:left="420" w:firstLine="400"/>
      </w:pPr>
      <w:rPr>
        <w:rFonts w:hint="eastAsia"/>
      </w:rPr>
    </w:lvl>
  </w:abstractNum>
  <w:abstractNum w:abstractNumId="2">
    <w:nsid w:val="46335E6F"/>
    <w:multiLevelType w:val="multilevel"/>
    <w:tmpl w:val="46335E6F"/>
    <w:lvl w:ilvl="0" w:tentative="0">
      <w:start w:val="1"/>
      <w:numFmt w:val="decimal"/>
      <w:lvlText w:val="（%1）"/>
      <w:lvlJc w:val="left"/>
      <w:pPr>
        <w:ind w:left="987" w:hanging="420"/>
      </w:pPr>
      <w:rPr>
        <w:rFonts w:hint="eastAsia"/>
      </w:rPr>
    </w:lvl>
    <w:lvl w:ilvl="1" w:tentative="0">
      <w:start w:val="1"/>
      <w:numFmt w:val="lowerLetter"/>
      <w:pStyle w:val="116"/>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num w:numId="1">
    <w:abstractNumId w:val="2"/>
  </w:num>
  <w:num w:numId="2">
    <w:abstractNumId w:val="0"/>
  </w:num>
  <w:num w:numId="3">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Y">
    <w15:presenceInfo w15:providerId="None" w15:userId="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Q3ODY4YTk3MGNiNGQ4MTEyOTYxOGI2NGEyYzhkZjIifQ=="/>
  </w:docVars>
  <w:rsids>
    <w:rsidRoot w:val="001B28D7"/>
    <w:rsid w:val="00001352"/>
    <w:rsid w:val="000019AA"/>
    <w:rsid w:val="000028C2"/>
    <w:rsid w:val="0000430B"/>
    <w:rsid w:val="0000481F"/>
    <w:rsid w:val="0000505D"/>
    <w:rsid w:val="00005839"/>
    <w:rsid w:val="0001036E"/>
    <w:rsid w:val="00011272"/>
    <w:rsid w:val="00011761"/>
    <w:rsid w:val="000131E1"/>
    <w:rsid w:val="00013432"/>
    <w:rsid w:val="000154AA"/>
    <w:rsid w:val="00015947"/>
    <w:rsid w:val="000169AE"/>
    <w:rsid w:val="00017C3B"/>
    <w:rsid w:val="00017E05"/>
    <w:rsid w:val="00023696"/>
    <w:rsid w:val="00023710"/>
    <w:rsid w:val="0002420B"/>
    <w:rsid w:val="00024551"/>
    <w:rsid w:val="00025300"/>
    <w:rsid w:val="00025DDF"/>
    <w:rsid w:val="00026BC1"/>
    <w:rsid w:val="00027B97"/>
    <w:rsid w:val="0003122E"/>
    <w:rsid w:val="00031367"/>
    <w:rsid w:val="00031661"/>
    <w:rsid w:val="000319D0"/>
    <w:rsid w:val="000345E2"/>
    <w:rsid w:val="00035324"/>
    <w:rsid w:val="000361A4"/>
    <w:rsid w:val="00042AC6"/>
    <w:rsid w:val="000451A9"/>
    <w:rsid w:val="00045F5A"/>
    <w:rsid w:val="000465A8"/>
    <w:rsid w:val="00046797"/>
    <w:rsid w:val="000545FD"/>
    <w:rsid w:val="00055A07"/>
    <w:rsid w:val="00062C92"/>
    <w:rsid w:val="00062FBA"/>
    <w:rsid w:val="00063CB6"/>
    <w:rsid w:val="000650D5"/>
    <w:rsid w:val="0006537E"/>
    <w:rsid w:val="00066572"/>
    <w:rsid w:val="00071AAA"/>
    <w:rsid w:val="00071E42"/>
    <w:rsid w:val="00073DEF"/>
    <w:rsid w:val="0007561F"/>
    <w:rsid w:val="000758FC"/>
    <w:rsid w:val="00081845"/>
    <w:rsid w:val="0008213A"/>
    <w:rsid w:val="0008438A"/>
    <w:rsid w:val="000849B4"/>
    <w:rsid w:val="00090CCE"/>
    <w:rsid w:val="00092D08"/>
    <w:rsid w:val="000949EA"/>
    <w:rsid w:val="000A08FC"/>
    <w:rsid w:val="000A383F"/>
    <w:rsid w:val="000A46D2"/>
    <w:rsid w:val="000A47FA"/>
    <w:rsid w:val="000A649F"/>
    <w:rsid w:val="000A7440"/>
    <w:rsid w:val="000B1671"/>
    <w:rsid w:val="000B484F"/>
    <w:rsid w:val="000B4A64"/>
    <w:rsid w:val="000B58EF"/>
    <w:rsid w:val="000B6378"/>
    <w:rsid w:val="000B6A5B"/>
    <w:rsid w:val="000B707F"/>
    <w:rsid w:val="000B7BA6"/>
    <w:rsid w:val="000C032E"/>
    <w:rsid w:val="000C07BC"/>
    <w:rsid w:val="000C2CC8"/>
    <w:rsid w:val="000C49CE"/>
    <w:rsid w:val="000C5344"/>
    <w:rsid w:val="000C5489"/>
    <w:rsid w:val="000C6037"/>
    <w:rsid w:val="000D0068"/>
    <w:rsid w:val="000D127E"/>
    <w:rsid w:val="000D191E"/>
    <w:rsid w:val="000D20B1"/>
    <w:rsid w:val="000D3381"/>
    <w:rsid w:val="000D3831"/>
    <w:rsid w:val="000D3926"/>
    <w:rsid w:val="000D3B10"/>
    <w:rsid w:val="000D3D6C"/>
    <w:rsid w:val="000D3FD6"/>
    <w:rsid w:val="000D3FE9"/>
    <w:rsid w:val="000D4B11"/>
    <w:rsid w:val="000D4C10"/>
    <w:rsid w:val="000D6187"/>
    <w:rsid w:val="000D6D18"/>
    <w:rsid w:val="000D7311"/>
    <w:rsid w:val="000E0DC4"/>
    <w:rsid w:val="000E47FB"/>
    <w:rsid w:val="000E4E55"/>
    <w:rsid w:val="000E5232"/>
    <w:rsid w:val="000E5CA0"/>
    <w:rsid w:val="000E61A5"/>
    <w:rsid w:val="000E694B"/>
    <w:rsid w:val="000F1A4D"/>
    <w:rsid w:val="000F1E5E"/>
    <w:rsid w:val="000F5431"/>
    <w:rsid w:val="000F6395"/>
    <w:rsid w:val="000F7B03"/>
    <w:rsid w:val="00102E34"/>
    <w:rsid w:val="0010392E"/>
    <w:rsid w:val="00105D03"/>
    <w:rsid w:val="00106CBF"/>
    <w:rsid w:val="001079CE"/>
    <w:rsid w:val="001116B2"/>
    <w:rsid w:val="001136FD"/>
    <w:rsid w:val="001155E0"/>
    <w:rsid w:val="00115B54"/>
    <w:rsid w:val="00115ED7"/>
    <w:rsid w:val="001162BD"/>
    <w:rsid w:val="00117733"/>
    <w:rsid w:val="001179D3"/>
    <w:rsid w:val="001223BF"/>
    <w:rsid w:val="001229E5"/>
    <w:rsid w:val="00122F69"/>
    <w:rsid w:val="0012304F"/>
    <w:rsid w:val="0012570C"/>
    <w:rsid w:val="00125763"/>
    <w:rsid w:val="00125874"/>
    <w:rsid w:val="00125D0D"/>
    <w:rsid w:val="00126931"/>
    <w:rsid w:val="00127FA8"/>
    <w:rsid w:val="00131CA7"/>
    <w:rsid w:val="001328BF"/>
    <w:rsid w:val="00134DDD"/>
    <w:rsid w:val="00135A7A"/>
    <w:rsid w:val="00136784"/>
    <w:rsid w:val="00141387"/>
    <w:rsid w:val="00145445"/>
    <w:rsid w:val="00146D9F"/>
    <w:rsid w:val="00147B66"/>
    <w:rsid w:val="00152516"/>
    <w:rsid w:val="001530C8"/>
    <w:rsid w:val="00154FFC"/>
    <w:rsid w:val="00156986"/>
    <w:rsid w:val="00160559"/>
    <w:rsid w:val="0016438E"/>
    <w:rsid w:val="001664AF"/>
    <w:rsid w:val="00167663"/>
    <w:rsid w:val="0016784D"/>
    <w:rsid w:val="00172AE9"/>
    <w:rsid w:val="00172CEE"/>
    <w:rsid w:val="00174CBB"/>
    <w:rsid w:val="00175D45"/>
    <w:rsid w:val="001801D3"/>
    <w:rsid w:val="00180A8A"/>
    <w:rsid w:val="00180BB6"/>
    <w:rsid w:val="00181630"/>
    <w:rsid w:val="0018216C"/>
    <w:rsid w:val="00182D1C"/>
    <w:rsid w:val="00184353"/>
    <w:rsid w:val="00184C4A"/>
    <w:rsid w:val="00187245"/>
    <w:rsid w:val="00187446"/>
    <w:rsid w:val="00187BF8"/>
    <w:rsid w:val="001931AB"/>
    <w:rsid w:val="00193749"/>
    <w:rsid w:val="001A186F"/>
    <w:rsid w:val="001A19CB"/>
    <w:rsid w:val="001A234D"/>
    <w:rsid w:val="001A288A"/>
    <w:rsid w:val="001A2A84"/>
    <w:rsid w:val="001A3E7D"/>
    <w:rsid w:val="001A650E"/>
    <w:rsid w:val="001B0BCD"/>
    <w:rsid w:val="001B1023"/>
    <w:rsid w:val="001B28D7"/>
    <w:rsid w:val="001B38C0"/>
    <w:rsid w:val="001B39F9"/>
    <w:rsid w:val="001B4720"/>
    <w:rsid w:val="001B543B"/>
    <w:rsid w:val="001C12A7"/>
    <w:rsid w:val="001C19B4"/>
    <w:rsid w:val="001C3004"/>
    <w:rsid w:val="001C4837"/>
    <w:rsid w:val="001C5B95"/>
    <w:rsid w:val="001C6325"/>
    <w:rsid w:val="001D15BB"/>
    <w:rsid w:val="001D1E24"/>
    <w:rsid w:val="001D2526"/>
    <w:rsid w:val="001D3F10"/>
    <w:rsid w:val="001D6783"/>
    <w:rsid w:val="001D7315"/>
    <w:rsid w:val="001D780D"/>
    <w:rsid w:val="001D7A10"/>
    <w:rsid w:val="001E3BCC"/>
    <w:rsid w:val="001E4D30"/>
    <w:rsid w:val="001E5A92"/>
    <w:rsid w:val="001E622A"/>
    <w:rsid w:val="001F1512"/>
    <w:rsid w:val="001F1FCB"/>
    <w:rsid w:val="001F2B50"/>
    <w:rsid w:val="001F2FDC"/>
    <w:rsid w:val="001F3162"/>
    <w:rsid w:val="001F3655"/>
    <w:rsid w:val="001F44E0"/>
    <w:rsid w:val="001F500D"/>
    <w:rsid w:val="0020098B"/>
    <w:rsid w:val="002022E6"/>
    <w:rsid w:val="0020325F"/>
    <w:rsid w:val="00204F44"/>
    <w:rsid w:val="00205935"/>
    <w:rsid w:val="00206D54"/>
    <w:rsid w:val="00213662"/>
    <w:rsid w:val="00213800"/>
    <w:rsid w:val="00214097"/>
    <w:rsid w:val="002140A9"/>
    <w:rsid w:val="00216C67"/>
    <w:rsid w:val="002175EB"/>
    <w:rsid w:val="00220839"/>
    <w:rsid w:val="00221891"/>
    <w:rsid w:val="0022216D"/>
    <w:rsid w:val="00223A4D"/>
    <w:rsid w:val="00223FAE"/>
    <w:rsid w:val="00225215"/>
    <w:rsid w:val="002258C9"/>
    <w:rsid w:val="00231D39"/>
    <w:rsid w:val="002326B3"/>
    <w:rsid w:val="00233C51"/>
    <w:rsid w:val="00235D02"/>
    <w:rsid w:val="00236FC3"/>
    <w:rsid w:val="002378E0"/>
    <w:rsid w:val="00237B74"/>
    <w:rsid w:val="0024165D"/>
    <w:rsid w:val="00241CC3"/>
    <w:rsid w:val="002435C0"/>
    <w:rsid w:val="002468AA"/>
    <w:rsid w:val="00247C75"/>
    <w:rsid w:val="00252305"/>
    <w:rsid w:val="00253FD7"/>
    <w:rsid w:val="0025409F"/>
    <w:rsid w:val="002608EE"/>
    <w:rsid w:val="00260C40"/>
    <w:rsid w:val="002619F4"/>
    <w:rsid w:val="002625A4"/>
    <w:rsid w:val="002639E1"/>
    <w:rsid w:val="00263B1A"/>
    <w:rsid w:val="00264785"/>
    <w:rsid w:val="00265AC1"/>
    <w:rsid w:val="002661F1"/>
    <w:rsid w:val="00267EA7"/>
    <w:rsid w:val="00271F8B"/>
    <w:rsid w:val="00272554"/>
    <w:rsid w:val="00272972"/>
    <w:rsid w:val="00273963"/>
    <w:rsid w:val="00275A0E"/>
    <w:rsid w:val="002765B5"/>
    <w:rsid w:val="00280036"/>
    <w:rsid w:val="00280887"/>
    <w:rsid w:val="002833CC"/>
    <w:rsid w:val="00283676"/>
    <w:rsid w:val="00284DC8"/>
    <w:rsid w:val="00285235"/>
    <w:rsid w:val="00287186"/>
    <w:rsid w:val="00291812"/>
    <w:rsid w:val="00291DB5"/>
    <w:rsid w:val="00292874"/>
    <w:rsid w:val="00293223"/>
    <w:rsid w:val="002938CA"/>
    <w:rsid w:val="00294CAB"/>
    <w:rsid w:val="00295423"/>
    <w:rsid w:val="002972E4"/>
    <w:rsid w:val="00297407"/>
    <w:rsid w:val="002A1462"/>
    <w:rsid w:val="002A1A49"/>
    <w:rsid w:val="002A1B46"/>
    <w:rsid w:val="002A2798"/>
    <w:rsid w:val="002A280F"/>
    <w:rsid w:val="002A2C38"/>
    <w:rsid w:val="002A4193"/>
    <w:rsid w:val="002A5B11"/>
    <w:rsid w:val="002A6E1E"/>
    <w:rsid w:val="002B06FC"/>
    <w:rsid w:val="002B0E30"/>
    <w:rsid w:val="002B2DEC"/>
    <w:rsid w:val="002B3524"/>
    <w:rsid w:val="002B358F"/>
    <w:rsid w:val="002B3A8F"/>
    <w:rsid w:val="002B4AF3"/>
    <w:rsid w:val="002B5357"/>
    <w:rsid w:val="002B6923"/>
    <w:rsid w:val="002B71DD"/>
    <w:rsid w:val="002C05F8"/>
    <w:rsid w:val="002C1394"/>
    <w:rsid w:val="002C243C"/>
    <w:rsid w:val="002C25B1"/>
    <w:rsid w:val="002C3F69"/>
    <w:rsid w:val="002C484C"/>
    <w:rsid w:val="002C5D60"/>
    <w:rsid w:val="002C6736"/>
    <w:rsid w:val="002D4FED"/>
    <w:rsid w:val="002D6A92"/>
    <w:rsid w:val="002E01E1"/>
    <w:rsid w:val="002E0F25"/>
    <w:rsid w:val="002E376E"/>
    <w:rsid w:val="002E4E1B"/>
    <w:rsid w:val="002E5AFC"/>
    <w:rsid w:val="002E64F6"/>
    <w:rsid w:val="002E7748"/>
    <w:rsid w:val="002E7A2B"/>
    <w:rsid w:val="002F03C7"/>
    <w:rsid w:val="002F153B"/>
    <w:rsid w:val="002F3DCB"/>
    <w:rsid w:val="002F4266"/>
    <w:rsid w:val="002F5289"/>
    <w:rsid w:val="002F7B35"/>
    <w:rsid w:val="003007F6"/>
    <w:rsid w:val="00303BFE"/>
    <w:rsid w:val="00303CA3"/>
    <w:rsid w:val="00304FC2"/>
    <w:rsid w:val="00310A6E"/>
    <w:rsid w:val="00310CBD"/>
    <w:rsid w:val="003146C8"/>
    <w:rsid w:val="00314AAD"/>
    <w:rsid w:val="00317A2E"/>
    <w:rsid w:val="003217CA"/>
    <w:rsid w:val="0032183E"/>
    <w:rsid w:val="00322861"/>
    <w:rsid w:val="00323D2B"/>
    <w:rsid w:val="00324CFE"/>
    <w:rsid w:val="00325939"/>
    <w:rsid w:val="0032627D"/>
    <w:rsid w:val="00326862"/>
    <w:rsid w:val="00327B56"/>
    <w:rsid w:val="00327BB7"/>
    <w:rsid w:val="00327CA5"/>
    <w:rsid w:val="0033016C"/>
    <w:rsid w:val="0033059B"/>
    <w:rsid w:val="003322EB"/>
    <w:rsid w:val="0033313F"/>
    <w:rsid w:val="00334D27"/>
    <w:rsid w:val="00335B6A"/>
    <w:rsid w:val="00336914"/>
    <w:rsid w:val="00336A90"/>
    <w:rsid w:val="00336DED"/>
    <w:rsid w:val="003370EA"/>
    <w:rsid w:val="003414E3"/>
    <w:rsid w:val="0034325D"/>
    <w:rsid w:val="00343D7C"/>
    <w:rsid w:val="00346CD1"/>
    <w:rsid w:val="00347381"/>
    <w:rsid w:val="00350D5C"/>
    <w:rsid w:val="003530F3"/>
    <w:rsid w:val="003559FB"/>
    <w:rsid w:val="00357290"/>
    <w:rsid w:val="00357727"/>
    <w:rsid w:val="00361049"/>
    <w:rsid w:val="00361D52"/>
    <w:rsid w:val="00361DFE"/>
    <w:rsid w:val="00362952"/>
    <w:rsid w:val="00362DDC"/>
    <w:rsid w:val="00363041"/>
    <w:rsid w:val="003635C5"/>
    <w:rsid w:val="0036530B"/>
    <w:rsid w:val="0036799A"/>
    <w:rsid w:val="00367B19"/>
    <w:rsid w:val="0037013E"/>
    <w:rsid w:val="00370C4D"/>
    <w:rsid w:val="00371436"/>
    <w:rsid w:val="0037280A"/>
    <w:rsid w:val="00373E15"/>
    <w:rsid w:val="00374227"/>
    <w:rsid w:val="00374E59"/>
    <w:rsid w:val="003762A0"/>
    <w:rsid w:val="0038076D"/>
    <w:rsid w:val="0038230B"/>
    <w:rsid w:val="003823C2"/>
    <w:rsid w:val="003824BE"/>
    <w:rsid w:val="00385C3E"/>
    <w:rsid w:val="00386B4E"/>
    <w:rsid w:val="00387481"/>
    <w:rsid w:val="00387E20"/>
    <w:rsid w:val="00390757"/>
    <w:rsid w:val="003923A1"/>
    <w:rsid w:val="0039568F"/>
    <w:rsid w:val="003A0A21"/>
    <w:rsid w:val="003A0E0B"/>
    <w:rsid w:val="003A10CE"/>
    <w:rsid w:val="003A1E55"/>
    <w:rsid w:val="003A2F8F"/>
    <w:rsid w:val="003A4CAE"/>
    <w:rsid w:val="003A50FB"/>
    <w:rsid w:val="003A5374"/>
    <w:rsid w:val="003B08FF"/>
    <w:rsid w:val="003B1495"/>
    <w:rsid w:val="003B2221"/>
    <w:rsid w:val="003B34BE"/>
    <w:rsid w:val="003B39DE"/>
    <w:rsid w:val="003B4B1C"/>
    <w:rsid w:val="003B4F75"/>
    <w:rsid w:val="003B549F"/>
    <w:rsid w:val="003B5C37"/>
    <w:rsid w:val="003B6E9F"/>
    <w:rsid w:val="003B7F94"/>
    <w:rsid w:val="003C2189"/>
    <w:rsid w:val="003C2559"/>
    <w:rsid w:val="003C2C87"/>
    <w:rsid w:val="003C378B"/>
    <w:rsid w:val="003C411F"/>
    <w:rsid w:val="003C58D7"/>
    <w:rsid w:val="003D3300"/>
    <w:rsid w:val="003D593B"/>
    <w:rsid w:val="003D6820"/>
    <w:rsid w:val="003E2602"/>
    <w:rsid w:val="003E30A1"/>
    <w:rsid w:val="003E31C0"/>
    <w:rsid w:val="003E34C0"/>
    <w:rsid w:val="003E4B78"/>
    <w:rsid w:val="003E4D23"/>
    <w:rsid w:val="003E4D43"/>
    <w:rsid w:val="003E5DC5"/>
    <w:rsid w:val="003E7D81"/>
    <w:rsid w:val="003F038A"/>
    <w:rsid w:val="003F15A9"/>
    <w:rsid w:val="003F208C"/>
    <w:rsid w:val="003F23C7"/>
    <w:rsid w:val="003F2EA4"/>
    <w:rsid w:val="003F33A6"/>
    <w:rsid w:val="003F5632"/>
    <w:rsid w:val="003F68D3"/>
    <w:rsid w:val="003F7407"/>
    <w:rsid w:val="0040172F"/>
    <w:rsid w:val="00402F80"/>
    <w:rsid w:val="00404F8E"/>
    <w:rsid w:val="004064E9"/>
    <w:rsid w:val="0040667A"/>
    <w:rsid w:val="0040677E"/>
    <w:rsid w:val="00406F9F"/>
    <w:rsid w:val="004073D3"/>
    <w:rsid w:val="004079FC"/>
    <w:rsid w:val="0041075B"/>
    <w:rsid w:val="004111C7"/>
    <w:rsid w:val="00411FD3"/>
    <w:rsid w:val="00412387"/>
    <w:rsid w:val="00413CE0"/>
    <w:rsid w:val="00416781"/>
    <w:rsid w:val="0041796F"/>
    <w:rsid w:val="00421901"/>
    <w:rsid w:val="00422C05"/>
    <w:rsid w:val="00423DA9"/>
    <w:rsid w:val="00424BE1"/>
    <w:rsid w:val="00424FAF"/>
    <w:rsid w:val="00425394"/>
    <w:rsid w:val="00426069"/>
    <w:rsid w:val="0043081D"/>
    <w:rsid w:val="0043092E"/>
    <w:rsid w:val="0043267E"/>
    <w:rsid w:val="00433817"/>
    <w:rsid w:val="00435B2E"/>
    <w:rsid w:val="0043612B"/>
    <w:rsid w:val="00440907"/>
    <w:rsid w:val="00440E1E"/>
    <w:rsid w:val="00447E0A"/>
    <w:rsid w:val="004508AF"/>
    <w:rsid w:val="00450A0D"/>
    <w:rsid w:val="00454CDE"/>
    <w:rsid w:val="00460058"/>
    <w:rsid w:val="0046018A"/>
    <w:rsid w:val="00461711"/>
    <w:rsid w:val="00462801"/>
    <w:rsid w:val="00462B7D"/>
    <w:rsid w:val="004632F5"/>
    <w:rsid w:val="0046366C"/>
    <w:rsid w:val="00464320"/>
    <w:rsid w:val="004659B6"/>
    <w:rsid w:val="00466FBF"/>
    <w:rsid w:val="004724C8"/>
    <w:rsid w:val="00472631"/>
    <w:rsid w:val="00472901"/>
    <w:rsid w:val="00472BED"/>
    <w:rsid w:val="00477A6B"/>
    <w:rsid w:val="00477EFA"/>
    <w:rsid w:val="0048083A"/>
    <w:rsid w:val="00480DDB"/>
    <w:rsid w:val="00481396"/>
    <w:rsid w:val="00483581"/>
    <w:rsid w:val="004841A9"/>
    <w:rsid w:val="00486994"/>
    <w:rsid w:val="00490154"/>
    <w:rsid w:val="00490D1C"/>
    <w:rsid w:val="00493512"/>
    <w:rsid w:val="0049700E"/>
    <w:rsid w:val="004A06C5"/>
    <w:rsid w:val="004A1491"/>
    <w:rsid w:val="004A2208"/>
    <w:rsid w:val="004A2BBC"/>
    <w:rsid w:val="004A4F45"/>
    <w:rsid w:val="004A63ED"/>
    <w:rsid w:val="004A715F"/>
    <w:rsid w:val="004B2BD8"/>
    <w:rsid w:val="004B3153"/>
    <w:rsid w:val="004B4558"/>
    <w:rsid w:val="004B7457"/>
    <w:rsid w:val="004B781A"/>
    <w:rsid w:val="004B7D9E"/>
    <w:rsid w:val="004C00CD"/>
    <w:rsid w:val="004C1676"/>
    <w:rsid w:val="004C4F5D"/>
    <w:rsid w:val="004C5F6D"/>
    <w:rsid w:val="004C60FB"/>
    <w:rsid w:val="004D19B0"/>
    <w:rsid w:val="004D223D"/>
    <w:rsid w:val="004D4334"/>
    <w:rsid w:val="004D4A15"/>
    <w:rsid w:val="004D58E0"/>
    <w:rsid w:val="004D5A4C"/>
    <w:rsid w:val="004D62D2"/>
    <w:rsid w:val="004D7375"/>
    <w:rsid w:val="004E2365"/>
    <w:rsid w:val="004E4007"/>
    <w:rsid w:val="004E5588"/>
    <w:rsid w:val="004F1636"/>
    <w:rsid w:val="004F5BBB"/>
    <w:rsid w:val="004F615B"/>
    <w:rsid w:val="004F649D"/>
    <w:rsid w:val="005007D9"/>
    <w:rsid w:val="005009DF"/>
    <w:rsid w:val="00502FB5"/>
    <w:rsid w:val="00504268"/>
    <w:rsid w:val="00505D3C"/>
    <w:rsid w:val="0050682E"/>
    <w:rsid w:val="00507007"/>
    <w:rsid w:val="005107CC"/>
    <w:rsid w:val="0051275F"/>
    <w:rsid w:val="00512A11"/>
    <w:rsid w:val="00515742"/>
    <w:rsid w:val="00517DCF"/>
    <w:rsid w:val="00517F8F"/>
    <w:rsid w:val="005210A2"/>
    <w:rsid w:val="00521E4B"/>
    <w:rsid w:val="005247BE"/>
    <w:rsid w:val="00525051"/>
    <w:rsid w:val="00525953"/>
    <w:rsid w:val="00526B64"/>
    <w:rsid w:val="00526FC8"/>
    <w:rsid w:val="005276AD"/>
    <w:rsid w:val="005317AC"/>
    <w:rsid w:val="00532542"/>
    <w:rsid w:val="0053772F"/>
    <w:rsid w:val="00541E6F"/>
    <w:rsid w:val="00542E2B"/>
    <w:rsid w:val="00543D01"/>
    <w:rsid w:val="00544AC8"/>
    <w:rsid w:val="00546FA9"/>
    <w:rsid w:val="00550C48"/>
    <w:rsid w:val="005528B7"/>
    <w:rsid w:val="00552B64"/>
    <w:rsid w:val="00552D7A"/>
    <w:rsid w:val="00555F46"/>
    <w:rsid w:val="005570BA"/>
    <w:rsid w:val="005579AC"/>
    <w:rsid w:val="00561381"/>
    <w:rsid w:val="00565B83"/>
    <w:rsid w:val="00565DDD"/>
    <w:rsid w:val="00570089"/>
    <w:rsid w:val="00570CB8"/>
    <w:rsid w:val="00571745"/>
    <w:rsid w:val="0057180E"/>
    <w:rsid w:val="00572377"/>
    <w:rsid w:val="005728A4"/>
    <w:rsid w:val="00573EE6"/>
    <w:rsid w:val="0057627C"/>
    <w:rsid w:val="00576F3B"/>
    <w:rsid w:val="00577150"/>
    <w:rsid w:val="00577EC2"/>
    <w:rsid w:val="00580DD4"/>
    <w:rsid w:val="0058128E"/>
    <w:rsid w:val="00582064"/>
    <w:rsid w:val="0058468E"/>
    <w:rsid w:val="00584F84"/>
    <w:rsid w:val="00591BCD"/>
    <w:rsid w:val="005945F0"/>
    <w:rsid w:val="0059512B"/>
    <w:rsid w:val="00595197"/>
    <w:rsid w:val="005957FA"/>
    <w:rsid w:val="00596D13"/>
    <w:rsid w:val="00597191"/>
    <w:rsid w:val="005A017E"/>
    <w:rsid w:val="005A1B91"/>
    <w:rsid w:val="005A1F79"/>
    <w:rsid w:val="005A2855"/>
    <w:rsid w:val="005A36BE"/>
    <w:rsid w:val="005A4FAD"/>
    <w:rsid w:val="005A5490"/>
    <w:rsid w:val="005A6BD6"/>
    <w:rsid w:val="005A77BD"/>
    <w:rsid w:val="005B1B79"/>
    <w:rsid w:val="005B1F8B"/>
    <w:rsid w:val="005B2389"/>
    <w:rsid w:val="005B2DC8"/>
    <w:rsid w:val="005B386D"/>
    <w:rsid w:val="005B4396"/>
    <w:rsid w:val="005B6D2B"/>
    <w:rsid w:val="005C018C"/>
    <w:rsid w:val="005C2676"/>
    <w:rsid w:val="005C2F70"/>
    <w:rsid w:val="005C6F78"/>
    <w:rsid w:val="005D3025"/>
    <w:rsid w:val="005D3356"/>
    <w:rsid w:val="005D41A7"/>
    <w:rsid w:val="005D63E2"/>
    <w:rsid w:val="005D6953"/>
    <w:rsid w:val="005D7350"/>
    <w:rsid w:val="005E0E34"/>
    <w:rsid w:val="005E1A36"/>
    <w:rsid w:val="005E29AA"/>
    <w:rsid w:val="005E2DC2"/>
    <w:rsid w:val="005E2FF6"/>
    <w:rsid w:val="005E40FA"/>
    <w:rsid w:val="005E5039"/>
    <w:rsid w:val="005E5AE9"/>
    <w:rsid w:val="005E5B57"/>
    <w:rsid w:val="005E6486"/>
    <w:rsid w:val="005F1699"/>
    <w:rsid w:val="005F17E8"/>
    <w:rsid w:val="005F1F50"/>
    <w:rsid w:val="005F26DB"/>
    <w:rsid w:val="005F320D"/>
    <w:rsid w:val="005F405A"/>
    <w:rsid w:val="005F549C"/>
    <w:rsid w:val="005F72A1"/>
    <w:rsid w:val="005F7C2F"/>
    <w:rsid w:val="00600548"/>
    <w:rsid w:val="00600F8C"/>
    <w:rsid w:val="00602692"/>
    <w:rsid w:val="00604A7D"/>
    <w:rsid w:val="00605F1B"/>
    <w:rsid w:val="00611087"/>
    <w:rsid w:val="00612782"/>
    <w:rsid w:val="00614418"/>
    <w:rsid w:val="0061483A"/>
    <w:rsid w:val="00616B0D"/>
    <w:rsid w:val="006179EC"/>
    <w:rsid w:val="006208AA"/>
    <w:rsid w:val="00620E4B"/>
    <w:rsid w:val="00620FD2"/>
    <w:rsid w:val="0062177A"/>
    <w:rsid w:val="00621C41"/>
    <w:rsid w:val="0062344F"/>
    <w:rsid w:val="0062359D"/>
    <w:rsid w:val="00624A37"/>
    <w:rsid w:val="00624AC0"/>
    <w:rsid w:val="0062575E"/>
    <w:rsid w:val="00625E4D"/>
    <w:rsid w:val="0063058F"/>
    <w:rsid w:val="006320A2"/>
    <w:rsid w:val="00632179"/>
    <w:rsid w:val="00632CD7"/>
    <w:rsid w:val="00632FB8"/>
    <w:rsid w:val="00633F5A"/>
    <w:rsid w:val="0063695A"/>
    <w:rsid w:val="00636AFF"/>
    <w:rsid w:val="00636BC8"/>
    <w:rsid w:val="00637D53"/>
    <w:rsid w:val="00641786"/>
    <w:rsid w:val="00644D3D"/>
    <w:rsid w:val="00647F48"/>
    <w:rsid w:val="006514BB"/>
    <w:rsid w:val="00651D81"/>
    <w:rsid w:val="00651EFB"/>
    <w:rsid w:val="00652CF9"/>
    <w:rsid w:val="006561BA"/>
    <w:rsid w:val="00656FAF"/>
    <w:rsid w:val="00657F77"/>
    <w:rsid w:val="006607A7"/>
    <w:rsid w:val="00662A77"/>
    <w:rsid w:val="00662B58"/>
    <w:rsid w:val="00664450"/>
    <w:rsid w:val="00665838"/>
    <w:rsid w:val="00665D86"/>
    <w:rsid w:val="00670D5E"/>
    <w:rsid w:val="00671D60"/>
    <w:rsid w:val="00672544"/>
    <w:rsid w:val="00672FD4"/>
    <w:rsid w:val="00673D37"/>
    <w:rsid w:val="00674454"/>
    <w:rsid w:val="00675B7A"/>
    <w:rsid w:val="0067620C"/>
    <w:rsid w:val="00676563"/>
    <w:rsid w:val="00677980"/>
    <w:rsid w:val="006779A5"/>
    <w:rsid w:val="00677A82"/>
    <w:rsid w:val="00681CE0"/>
    <w:rsid w:val="00681E85"/>
    <w:rsid w:val="0068531E"/>
    <w:rsid w:val="0069184C"/>
    <w:rsid w:val="006932F3"/>
    <w:rsid w:val="00693510"/>
    <w:rsid w:val="00693AE7"/>
    <w:rsid w:val="00693D52"/>
    <w:rsid w:val="00694EC6"/>
    <w:rsid w:val="00697296"/>
    <w:rsid w:val="006A2A78"/>
    <w:rsid w:val="006A32FD"/>
    <w:rsid w:val="006A4AA7"/>
    <w:rsid w:val="006A5236"/>
    <w:rsid w:val="006B05C3"/>
    <w:rsid w:val="006B16A1"/>
    <w:rsid w:val="006B577A"/>
    <w:rsid w:val="006B5DCA"/>
    <w:rsid w:val="006C012B"/>
    <w:rsid w:val="006C0205"/>
    <w:rsid w:val="006C11B0"/>
    <w:rsid w:val="006C2C64"/>
    <w:rsid w:val="006C33AD"/>
    <w:rsid w:val="006C4774"/>
    <w:rsid w:val="006C6117"/>
    <w:rsid w:val="006C70EA"/>
    <w:rsid w:val="006D12E6"/>
    <w:rsid w:val="006D2B6F"/>
    <w:rsid w:val="006D6CA3"/>
    <w:rsid w:val="006D7525"/>
    <w:rsid w:val="006D77B8"/>
    <w:rsid w:val="006E2796"/>
    <w:rsid w:val="006E40D9"/>
    <w:rsid w:val="006E4513"/>
    <w:rsid w:val="006E50F7"/>
    <w:rsid w:val="006E51C7"/>
    <w:rsid w:val="006E60A3"/>
    <w:rsid w:val="006F0EB3"/>
    <w:rsid w:val="006F21C6"/>
    <w:rsid w:val="006F235E"/>
    <w:rsid w:val="006F39B7"/>
    <w:rsid w:val="006F441F"/>
    <w:rsid w:val="006F56B0"/>
    <w:rsid w:val="006F666D"/>
    <w:rsid w:val="006F78FE"/>
    <w:rsid w:val="007017C8"/>
    <w:rsid w:val="00701C9B"/>
    <w:rsid w:val="00701F0A"/>
    <w:rsid w:val="007036C4"/>
    <w:rsid w:val="007066D1"/>
    <w:rsid w:val="0071217A"/>
    <w:rsid w:val="00713B20"/>
    <w:rsid w:val="0071413D"/>
    <w:rsid w:val="0071608F"/>
    <w:rsid w:val="0071791D"/>
    <w:rsid w:val="00722B46"/>
    <w:rsid w:val="00724637"/>
    <w:rsid w:val="0072480A"/>
    <w:rsid w:val="00724B6C"/>
    <w:rsid w:val="00724F83"/>
    <w:rsid w:val="007271D5"/>
    <w:rsid w:val="00733694"/>
    <w:rsid w:val="0073536E"/>
    <w:rsid w:val="00735EAF"/>
    <w:rsid w:val="0073773C"/>
    <w:rsid w:val="007423FE"/>
    <w:rsid w:val="007441F7"/>
    <w:rsid w:val="00745338"/>
    <w:rsid w:val="00746680"/>
    <w:rsid w:val="00746C01"/>
    <w:rsid w:val="00750468"/>
    <w:rsid w:val="00750E90"/>
    <w:rsid w:val="00751101"/>
    <w:rsid w:val="00752B4F"/>
    <w:rsid w:val="00753386"/>
    <w:rsid w:val="00753815"/>
    <w:rsid w:val="00756EC3"/>
    <w:rsid w:val="00761075"/>
    <w:rsid w:val="00761182"/>
    <w:rsid w:val="00763753"/>
    <w:rsid w:val="00763FA5"/>
    <w:rsid w:val="00764D27"/>
    <w:rsid w:val="00765EE1"/>
    <w:rsid w:val="00766D76"/>
    <w:rsid w:val="00767778"/>
    <w:rsid w:val="0077112E"/>
    <w:rsid w:val="00771138"/>
    <w:rsid w:val="007714FF"/>
    <w:rsid w:val="00773999"/>
    <w:rsid w:val="007740B7"/>
    <w:rsid w:val="00774695"/>
    <w:rsid w:val="00774AC9"/>
    <w:rsid w:val="00774D3F"/>
    <w:rsid w:val="00780AB9"/>
    <w:rsid w:val="00781F4E"/>
    <w:rsid w:val="0078261B"/>
    <w:rsid w:val="007828EF"/>
    <w:rsid w:val="00782A99"/>
    <w:rsid w:val="00782EE4"/>
    <w:rsid w:val="00783783"/>
    <w:rsid w:val="007840AC"/>
    <w:rsid w:val="007849F5"/>
    <w:rsid w:val="00784F75"/>
    <w:rsid w:val="0078571E"/>
    <w:rsid w:val="0078606E"/>
    <w:rsid w:val="00787401"/>
    <w:rsid w:val="00791B43"/>
    <w:rsid w:val="00792A98"/>
    <w:rsid w:val="00792AFB"/>
    <w:rsid w:val="00792EDB"/>
    <w:rsid w:val="0079326F"/>
    <w:rsid w:val="007938BA"/>
    <w:rsid w:val="00793D5F"/>
    <w:rsid w:val="007945D2"/>
    <w:rsid w:val="007951D8"/>
    <w:rsid w:val="00795D50"/>
    <w:rsid w:val="00795E96"/>
    <w:rsid w:val="00796863"/>
    <w:rsid w:val="00797E5D"/>
    <w:rsid w:val="007A10DB"/>
    <w:rsid w:val="007A1EEB"/>
    <w:rsid w:val="007A2B15"/>
    <w:rsid w:val="007A2F21"/>
    <w:rsid w:val="007A352C"/>
    <w:rsid w:val="007A3CBE"/>
    <w:rsid w:val="007A4828"/>
    <w:rsid w:val="007A4BDE"/>
    <w:rsid w:val="007A51FB"/>
    <w:rsid w:val="007A5A2F"/>
    <w:rsid w:val="007A6EEB"/>
    <w:rsid w:val="007B013B"/>
    <w:rsid w:val="007B04D7"/>
    <w:rsid w:val="007B1D76"/>
    <w:rsid w:val="007B31CC"/>
    <w:rsid w:val="007B32F8"/>
    <w:rsid w:val="007B3A83"/>
    <w:rsid w:val="007B4E4C"/>
    <w:rsid w:val="007B56AA"/>
    <w:rsid w:val="007B6181"/>
    <w:rsid w:val="007B6407"/>
    <w:rsid w:val="007B640A"/>
    <w:rsid w:val="007B6855"/>
    <w:rsid w:val="007B7862"/>
    <w:rsid w:val="007B799E"/>
    <w:rsid w:val="007B7C3D"/>
    <w:rsid w:val="007C10D8"/>
    <w:rsid w:val="007C21BA"/>
    <w:rsid w:val="007C2A6F"/>
    <w:rsid w:val="007C2B0E"/>
    <w:rsid w:val="007C336A"/>
    <w:rsid w:val="007C5FC5"/>
    <w:rsid w:val="007C64B0"/>
    <w:rsid w:val="007D080D"/>
    <w:rsid w:val="007D4C5F"/>
    <w:rsid w:val="007D53D9"/>
    <w:rsid w:val="007D6081"/>
    <w:rsid w:val="007D6C94"/>
    <w:rsid w:val="007D7A7D"/>
    <w:rsid w:val="007E00F1"/>
    <w:rsid w:val="007E05EA"/>
    <w:rsid w:val="007E0A0B"/>
    <w:rsid w:val="007E10FD"/>
    <w:rsid w:val="007E1A55"/>
    <w:rsid w:val="007E1C2F"/>
    <w:rsid w:val="007E1F5D"/>
    <w:rsid w:val="007E26FF"/>
    <w:rsid w:val="007E2B50"/>
    <w:rsid w:val="007E2B5C"/>
    <w:rsid w:val="007E3033"/>
    <w:rsid w:val="007E4303"/>
    <w:rsid w:val="007E45C1"/>
    <w:rsid w:val="007E46C6"/>
    <w:rsid w:val="007E5019"/>
    <w:rsid w:val="007E5B22"/>
    <w:rsid w:val="007E5FFB"/>
    <w:rsid w:val="007E779D"/>
    <w:rsid w:val="007F16E4"/>
    <w:rsid w:val="007F2869"/>
    <w:rsid w:val="007F463C"/>
    <w:rsid w:val="007F4BE6"/>
    <w:rsid w:val="007F5633"/>
    <w:rsid w:val="007F696F"/>
    <w:rsid w:val="00800A52"/>
    <w:rsid w:val="008024F0"/>
    <w:rsid w:val="008037BC"/>
    <w:rsid w:val="00804C2A"/>
    <w:rsid w:val="00804CF9"/>
    <w:rsid w:val="00810C07"/>
    <w:rsid w:val="00812CA3"/>
    <w:rsid w:val="00812CF0"/>
    <w:rsid w:val="00813889"/>
    <w:rsid w:val="00813917"/>
    <w:rsid w:val="0081618D"/>
    <w:rsid w:val="00816E14"/>
    <w:rsid w:val="00816E9F"/>
    <w:rsid w:val="0081718A"/>
    <w:rsid w:val="00817531"/>
    <w:rsid w:val="00820710"/>
    <w:rsid w:val="008219A4"/>
    <w:rsid w:val="008221C1"/>
    <w:rsid w:val="008238DE"/>
    <w:rsid w:val="00825D80"/>
    <w:rsid w:val="0082741F"/>
    <w:rsid w:val="00832267"/>
    <w:rsid w:val="008322A0"/>
    <w:rsid w:val="00833DEA"/>
    <w:rsid w:val="0083600D"/>
    <w:rsid w:val="00836A74"/>
    <w:rsid w:val="00836A76"/>
    <w:rsid w:val="00837E0B"/>
    <w:rsid w:val="00843FC3"/>
    <w:rsid w:val="00844393"/>
    <w:rsid w:val="00845D15"/>
    <w:rsid w:val="0084692D"/>
    <w:rsid w:val="00846D00"/>
    <w:rsid w:val="008479E6"/>
    <w:rsid w:val="0085534D"/>
    <w:rsid w:val="008553BC"/>
    <w:rsid w:val="00855EE9"/>
    <w:rsid w:val="008567E9"/>
    <w:rsid w:val="00856C68"/>
    <w:rsid w:val="00857D3B"/>
    <w:rsid w:val="00861313"/>
    <w:rsid w:val="00861C1E"/>
    <w:rsid w:val="00862002"/>
    <w:rsid w:val="008623FA"/>
    <w:rsid w:val="00863900"/>
    <w:rsid w:val="0087470F"/>
    <w:rsid w:val="00875339"/>
    <w:rsid w:val="008757AA"/>
    <w:rsid w:val="0087591B"/>
    <w:rsid w:val="00876EEB"/>
    <w:rsid w:val="00877E6A"/>
    <w:rsid w:val="00881C60"/>
    <w:rsid w:val="00885169"/>
    <w:rsid w:val="00885879"/>
    <w:rsid w:val="0088798A"/>
    <w:rsid w:val="00887B4E"/>
    <w:rsid w:val="00890E1D"/>
    <w:rsid w:val="0089158D"/>
    <w:rsid w:val="0089282D"/>
    <w:rsid w:val="0089289F"/>
    <w:rsid w:val="00892975"/>
    <w:rsid w:val="00892AFA"/>
    <w:rsid w:val="008938D7"/>
    <w:rsid w:val="00893A24"/>
    <w:rsid w:val="008A0118"/>
    <w:rsid w:val="008A1A5D"/>
    <w:rsid w:val="008A3D43"/>
    <w:rsid w:val="008A3F79"/>
    <w:rsid w:val="008A4A6C"/>
    <w:rsid w:val="008A674F"/>
    <w:rsid w:val="008B0681"/>
    <w:rsid w:val="008B1C2A"/>
    <w:rsid w:val="008B204C"/>
    <w:rsid w:val="008B22F2"/>
    <w:rsid w:val="008B60B2"/>
    <w:rsid w:val="008B74F2"/>
    <w:rsid w:val="008B7B55"/>
    <w:rsid w:val="008C02A6"/>
    <w:rsid w:val="008C039D"/>
    <w:rsid w:val="008C184D"/>
    <w:rsid w:val="008C1DD2"/>
    <w:rsid w:val="008C2206"/>
    <w:rsid w:val="008C4816"/>
    <w:rsid w:val="008C63FF"/>
    <w:rsid w:val="008C7943"/>
    <w:rsid w:val="008D56A0"/>
    <w:rsid w:val="008D5BF6"/>
    <w:rsid w:val="008D5ED3"/>
    <w:rsid w:val="008D6475"/>
    <w:rsid w:val="008D6DD4"/>
    <w:rsid w:val="008D7AEF"/>
    <w:rsid w:val="008D7B23"/>
    <w:rsid w:val="008E19C7"/>
    <w:rsid w:val="008E1D4A"/>
    <w:rsid w:val="008E4D3F"/>
    <w:rsid w:val="008E5B8C"/>
    <w:rsid w:val="008E6BFE"/>
    <w:rsid w:val="008F0733"/>
    <w:rsid w:val="008F159F"/>
    <w:rsid w:val="008F3927"/>
    <w:rsid w:val="008F4CB7"/>
    <w:rsid w:val="008F5B38"/>
    <w:rsid w:val="008F5F8D"/>
    <w:rsid w:val="008F74F9"/>
    <w:rsid w:val="008F7E49"/>
    <w:rsid w:val="0090035E"/>
    <w:rsid w:val="00905462"/>
    <w:rsid w:val="009056E5"/>
    <w:rsid w:val="00905AD1"/>
    <w:rsid w:val="00905CAF"/>
    <w:rsid w:val="00907236"/>
    <w:rsid w:val="00907B8A"/>
    <w:rsid w:val="009108D2"/>
    <w:rsid w:val="00910A2C"/>
    <w:rsid w:val="00910D9F"/>
    <w:rsid w:val="00914F28"/>
    <w:rsid w:val="009156F0"/>
    <w:rsid w:val="00917C30"/>
    <w:rsid w:val="009205B2"/>
    <w:rsid w:val="009209A5"/>
    <w:rsid w:val="009229FF"/>
    <w:rsid w:val="009240DA"/>
    <w:rsid w:val="009248F7"/>
    <w:rsid w:val="0093041F"/>
    <w:rsid w:val="00932EED"/>
    <w:rsid w:val="0093320D"/>
    <w:rsid w:val="00933642"/>
    <w:rsid w:val="00935B6C"/>
    <w:rsid w:val="00940476"/>
    <w:rsid w:val="00941CD4"/>
    <w:rsid w:val="00942482"/>
    <w:rsid w:val="00942FCC"/>
    <w:rsid w:val="0094323E"/>
    <w:rsid w:val="0094454D"/>
    <w:rsid w:val="00945B01"/>
    <w:rsid w:val="00951249"/>
    <w:rsid w:val="0095143E"/>
    <w:rsid w:val="00952514"/>
    <w:rsid w:val="00952DE9"/>
    <w:rsid w:val="009530D8"/>
    <w:rsid w:val="00953C6D"/>
    <w:rsid w:val="00955651"/>
    <w:rsid w:val="009561AE"/>
    <w:rsid w:val="00957190"/>
    <w:rsid w:val="009574AE"/>
    <w:rsid w:val="00957850"/>
    <w:rsid w:val="009614A9"/>
    <w:rsid w:val="00961D2A"/>
    <w:rsid w:val="00963D9F"/>
    <w:rsid w:val="00963EF7"/>
    <w:rsid w:val="00964760"/>
    <w:rsid w:val="00964BE9"/>
    <w:rsid w:val="00965606"/>
    <w:rsid w:val="00965CF2"/>
    <w:rsid w:val="00966D3F"/>
    <w:rsid w:val="009673C8"/>
    <w:rsid w:val="00971DED"/>
    <w:rsid w:val="00971FBF"/>
    <w:rsid w:val="009748C3"/>
    <w:rsid w:val="00975105"/>
    <w:rsid w:val="00977279"/>
    <w:rsid w:val="00977C91"/>
    <w:rsid w:val="0098045E"/>
    <w:rsid w:val="009807F6"/>
    <w:rsid w:val="00980AF0"/>
    <w:rsid w:val="009819A4"/>
    <w:rsid w:val="00982139"/>
    <w:rsid w:val="00984A63"/>
    <w:rsid w:val="00990B11"/>
    <w:rsid w:val="00991CE0"/>
    <w:rsid w:val="009921FB"/>
    <w:rsid w:val="00994DE8"/>
    <w:rsid w:val="0099645A"/>
    <w:rsid w:val="009972D8"/>
    <w:rsid w:val="009A00DA"/>
    <w:rsid w:val="009A1C45"/>
    <w:rsid w:val="009A2E37"/>
    <w:rsid w:val="009A660D"/>
    <w:rsid w:val="009A7C2C"/>
    <w:rsid w:val="009A7CC9"/>
    <w:rsid w:val="009A7E25"/>
    <w:rsid w:val="009B2237"/>
    <w:rsid w:val="009B22CE"/>
    <w:rsid w:val="009B2315"/>
    <w:rsid w:val="009B401E"/>
    <w:rsid w:val="009B51F3"/>
    <w:rsid w:val="009B5B35"/>
    <w:rsid w:val="009B6079"/>
    <w:rsid w:val="009B6301"/>
    <w:rsid w:val="009C2F90"/>
    <w:rsid w:val="009C3488"/>
    <w:rsid w:val="009C4024"/>
    <w:rsid w:val="009C6717"/>
    <w:rsid w:val="009C712C"/>
    <w:rsid w:val="009D0D19"/>
    <w:rsid w:val="009D30E9"/>
    <w:rsid w:val="009D346A"/>
    <w:rsid w:val="009D3754"/>
    <w:rsid w:val="009D4014"/>
    <w:rsid w:val="009D472A"/>
    <w:rsid w:val="009D5D0D"/>
    <w:rsid w:val="009D6EF1"/>
    <w:rsid w:val="009E102B"/>
    <w:rsid w:val="009E2007"/>
    <w:rsid w:val="009E5E14"/>
    <w:rsid w:val="009E79C1"/>
    <w:rsid w:val="009E7D0D"/>
    <w:rsid w:val="009F3E69"/>
    <w:rsid w:val="009F51CF"/>
    <w:rsid w:val="009F5435"/>
    <w:rsid w:val="009F6678"/>
    <w:rsid w:val="00A002AD"/>
    <w:rsid w:val="00A009AA"/>
    <w:rsid w:val="00A0107D"/>
    <w:rsid w:val="00A018C8"/>
    <w:rsid w:val="00A02C33"/>
    <w:rsid w:val="00A031D6"/>
    <w:rsid w:val="00A036E4"/>
    <w:rsid w:val="00A10215"/>
    <w:rsid w:val="00A1069A"/>
    <w:rsid w:val="00A116A6"/>
    <w:rsid w:val="00A11B2A"/>
    <w:rsid w:val="00A11D67"/>
    <w:rsid w:val="00A12287"/>
    <w:rsid w:val="00A123F5"/>
    <w:rsid w:val="00A133B4"/>
    <w:rsid w:val="00A1394C"/>
    <w:rsid w:val="00A15E7E"/>
    <w:rsid w:val="00A24A91"/>
    <w:rsid w:val="00A24E26"/>
    <w:rsid w:val="00A25564"/>
    <w:rsid w:val="00A308D3"/>
    <w:rsid w:val="00A3155C"/>
    <w:rsid w:val="00A31795"/>
    <w:rsid w:val="00A3295B"/>
    <w:rsid w:val="00A34590"/>
    <w:rsid w:val="00A348BE"/>
    <w:rsid w:val="00A3584B"/>
    <w:rsid w:val="00A37518"/>
    <w:rsid w:val="00A37E83"/>
    <w:rsid w:val="00A41F9F"/>
    <w:rsid w:val="00A43853"/>
    <w:rsid w:val="00A47976"/>
    <w:rsid w:val="00A47B1E"/>
    <w:rsid w:val="00A50765"/>
    <w:rsid w:val="00A513F8"/>
    <w:rsid w:val="00A5329B"/>
    <w:rsid w:val="00A54496"/>
    <w:rsid w:val="00A54A0D"/>
    <w:rsid w:val="00A554F5"/>
    <w:rsid w:val="00A57640"/>
    <w:rsid w:val="00A60022"/>
    <w:rsid w:val="00A66DED"/>
    <w:rsid w:val="00A704D4"/>
    <w:rsid w:val="00A71866"/>
    <w:rsid w:val="00A71979"/>
    <w:rsid w:val="00A71E79"/>
    <w:rsid w:val="00A72325"/>
    <w:rsid w:val="00A72B9F"/>
    <w:rsid w:val="00A72FAC"/>
    <w:rsid w:val="00A74027"/>
    <w:rsid w:val="00A76887"/>
    <w:rsid w:val="00A80497"/>
    <w:rsid w:val="00A81176"/>
    <w:rsid w:val="00A81323"/>
    <w:rsid w:val="00A82E48"/>
    <w:rsid w:val="00A85E0B"/>
    <w:rsid w:val="00A8767A"/>
    <w:rsid w:val="00A9187E"/>
    <w:rsid w:val="00A9224B"/>
    <w:rsid w:val="00A93705"/>
    <w:rsid w:val="00A95020"/>
    <w:rsid w:val="00A964BC"/>
    <w:rsid w:val="00A96E6B"/>
    <w:rsid w:val="00A971B4"/>
    <w:rsid w:val="00A97D3A"/>
    <w:rsid w:val="00AA10B8"/>
    <w:rsid w:val="00AA12FF"/>
    <w:rsid w:val="00AA275C"/>
    <w:rsid w:val="00AA2D01"/>
    <w:rsid w:val="00AA6A1C"/>
    <w:rsid w:val="00AB1422"/>
    <w:rsid w:val="00AB176B"/>
    <w:rsid w:val="00AB3991"/>
    <w:rsid w:val="00AB48D3"/>
    <w:rsid w:val="00AB4BBD"/>
    <w:rsid w:val="00AB72EA"/>
    <w:rsid w:val="00AC0AA6"/>
    <w:rsid w:val="00AC0CD6"/>
    <w:rsid w:val="00AC1F64"/>
    <w:rsid w:val="00AC31B2"/>
    <w:rsid w:val="00AC3209"/>
    <w:rsid w:val="00AC42C0"/>
    <w:rsid w:val="00AC4497"/>
    <w:rsid w:val="00AD0F63"/>
    <w:rsid w:val="00AD2F2D"/>
    <w:rsid w:val="00AD3B87"/>
    <w:rsid w:val="00AD518E"/>
    <w:rsid w:val="00AD6D0B"/>
    <w:rsid w:val="00AE0EA1"/>
    <w:rsid w:val="00AE28C2"/>
    <w:rsid w:val="00AE3F30"/>
    <w:rsid w:val="00AE4699"/>
    <w:rsid w:val="00AE4AC4"/>
    <w:rsid w:val="00AE51C3"/>
    <w:rsid w:val="00AE5410"/>
    <w:rsid w:val="00AE58C1"/>
    <w:rsid w:val="00AF1E5A"/>
    <w:rsid w:val="00AF78C0"/>
    <w:rsid w:val="00B0086A"/>
    <w:rsid w:val="00B05F9E"/>
    <w:rsid w:val="00B06CEB"/>
    <w:rsid w:val="00B07353"/>
    <w:rsid w:val="00B07976"/>
    <w:rsid w:val="00B07F01"/>
    <w:rsid w:val="00B1210D"/>
    <w:rsid w:val="00B12D70"/>
    <w:rsid w:val="00B131E1"/>
    <w:rsid w:val="00B14BBE"/>
    <w:rsid w:val="00B200E9"/>
    <w:rsid w:val="00B205FB"/>
    <w:rsid w:val="00B22354"/>
    <w:rsid w:val="00B225D5"/>
    <w:rsid w:val="00B22C84"/>
    <w:rsid w:val="00B2319B"/>
    <w:rsid w:val="00B23730"/>
    <w:rsid w:val="00B24471"/>
    <w:rsid w:val="00B27A16"/>
    <w:rsid w:val="00B31410"/>
    <w:rsid w:val="00B31F97"/>
    <w:rsid w:val="00B325BB"/>
    <w:rsid w:val="00B32E8A"/>
    <w:rsid w:val="00B3486D"/>
    <w:rsid w:val="00B351C6"/>
    <w:rsid w:val="00B3551D"/>
    <w:rsid w:val="00B36B74"/>
    <w:rsid w:val="00B41970"/>
    <w:rsid w:val="00B42FE9"/>
    <w:rsid w:val="00B47866"/>
    <w:rsid w:val="00B51209"/>
    <w:rsid w:val="00B51921"/>
    <w:rsid w:val="00B52F34"/>
    <w:rsid w:val="00B531A5"/>
    <w:rsid w:val="00B53B2C"/>
    <w:rsid w:val="00B5413B"/>
    <w:rsid w:val="00B54845"/>
    <w:rsid w:val="00B559CD"/>
    <w:rsid w:val="00B55AF7"/>
    <w:rsid w:val="00B56E02"/>
    <w:rsid w:val="00B57818"/>
    <w:rsid w:val="00B57C3D"/>
    <w:rsid w:val="00B57DC3"/>
    <w:rsid w:val="00B62120"/>
    <w:rsid w:val="00B628A5"/>
    <w:rsid w:val="00B6297A"/>
    <w:rsid w:val="00B642D7"/>
    <w:rsid w:val="00B646FE"/>
    <w:rsid w:val="00B65C0E"/>
    <w:rsid w:val="00B666DA"/>
    <w:rsid w:val="00B66BC8"/>
    <w:rsid w:val="00B66F3C"/>
    <w:rsid w:val="00B676FD"/>
    <w:rsid w:val="00B72EBB"/>
    <w:rsid w:val="00B765F1"/>
    <w:rsid w:val="00B76EAB"/>
    <w:rsid w:val="00B777AF"/>
    <w:rsid w:val="00B8005D"/>
    <w:rsid w:val="00B80942"/>
    <w:rsid w:val="00B8207F"/>
    <w:rsid w:val="00B833EA"/>
    <w:rsid w:val="00B836CB"/>
    <w:rsid w:val="00B84BBA"/>
    <w:rsid w:val="00B85B06"/>
    <w:rsid w:val="00B85E74"/>
    <w:rsid w:val="00B864D9"/>
    <w:rsid w:val="00B875C6"/>
    <w:rsid w:val="00B92343"/>
    <w:rsid w:val="00BA315F"/>
    <w:rsid w:val="00BA3A97"/>
    <w:rsid w:val="00BA4384"/>
    <w:rsid w:val="00BA51A5"/>
    <w:rsid w:val="00BA57CB"/>
    <w:rsid w:val="00BA6485"/>
    <w:rsid w:val="00BA788F"/>
    <w:rsid w:val="00BB3062"/>
    <w:rsid w:val="00BB3CC4"/>
    <w:rsid w:val="00BB58DC"/>
    <w:rsid w:val="00BB6113"/>
    <w:rsid w:val="00BB6EA0"/>
    <w:rsid w:val="00BB767E"/>
    <w:rsid w:val="00BB78BC"/>
    <w:rsid w:val="00BC0D15"/>
    <w:rsid w:val="00BC1545"/>
    <w:rsid w:val="00BC2899"/>
    <w:rsid w:val="00BC2FF4"/>
    <w:rsid w:val="00BC3521"/>
    <w:rsid w:val="00BC7ED0"/>
    <w:rsid w:val="00BD1670"/>
    <w:rsid w:val="00BD3366"/>
    <w:rsid w:val="00BD401B"/>
    <w:rsid w:val="00BD4F01"/>
    <w:rsid w:val="00BD5D06"/>
    <w:rsid w:val="00BD682E"/>
    <w:rsid w:val="00BD6985"/>
    <w:rsid w:val="00BE14FA"/>
    <w:rsid w:val="00BE2D9D"/>
    <w:rsid w:val="00BE3391"/>
    <w:rsid w:val="00BE4D2B"/>
    <w:rsid w:val="00BE68B6"/>
    <w:rsid w:val="00BF02A3"/>
    <w:rsid w:val="00BF13A6"/>
    <w:rsid w:val="00BF29B0"/>
    <w:rsid w:val="00BF337D"/>
    <w:rsid w:val="00BF57C9"/>
    <w:rsid w:val="00BF6088"/>
    <w:rsid w:val="00BF6265"/>
    <w:rsid w:val="00BF653C"/>
    <w:rsid w:val="00C07AB9"/>
    <w:rsid w:val="00C10351"/>
    <w:rsid w:val="00C12684"/>
    <w:rsid w:val="00C13568"/>
    <w:rsid w:val="00C173E5"/>
    <w:rsid w:val="00C17F33"/>
    <w:rsid w:val="00C21F99"/>
    <w:rsid w:val="00C21FFD"/>
    <w:rsid w:val="00C22078"/>
    <w:rsid w:val="00C22C1C"/>
    <w:rsid w:val="00C2499C"/>
    <w:rsid w:val="00C25E70"/>
    <w:rsid w:val="00C26376"/>
    <w:rsid w:val="00C30036"/>
    <w:rsid w:val="00C30477"/>
    <w:rsid w:val="00C34517"/>
    <w:rsid w:val="00C34D80"/>
    <w:rsid w:val="00C35EAD"/>
    <w:rsid w:val="00C37B54"/>
    <w:rsid w:val="00C4023A"/>
    <w:rsid w:val="00C42016"/>
    <w:rsid w:val="00C42198"/>
    <w:rsid w:val="00C42729"/>
    <w:rsid w:val="00C43BAA"/>
    <w:rsid w:val="00C441C2"/>
    <w:rsid w:val="00C44E0A"/>
    <w:rsid w:val="00C45CAB"/>
    <w:rsid w:val="00C46025"/>
    <w:rsid w:val="00C47042"/>
    <w:rsid w:val="00C50E40"/>
    <w:rsid w:val="00C52236"/>
    <w:rsid w:val="00C5297F"/>
    <w:rsid w:val="00C5362E"/>
    <w:rsid w:val="00C57810"/>
    <w:rsid w:val="00C57AD2"/>
    <w:rsid w:val="00C61750"/>
    <w:rsid w:val="00C6320A"/>
    <w:rsid w:val="00C656D4"/>
    <w:rsid w:val="00C6607C"/>
    <w:rsid w:val="00C67441"/>
    <w:rsid w:val="00C6783B"/>
    <w:rsid w:val="00C721DA"/>
    <w:rsid w:val="00C7317C"/>
    <w:rsid w:val="00C743B8"/>
    <w:rsid w:val="00C75C54"/>
    <w:rsid w:val="00C7657F"/>
    <w:rsid w:val="00C77353"/>
    <w:rsid w:val="00C83639"/>
    <w:rsid w:val="00C84556"/>
    <w:rsid w:val="00C85B49"/>
    <w:rsid w:val="00C85E12"/>
    <w:rsid w:val="00C87A36"/>
    <w:rsid w:val="00C92532"/>
    <w:rsid w:val="00C93E43"/>
    <w:rsid w:val="00C94D74"/>
    <w:rsid w:val="00C94D8D"/>
    <w:rsid w:val="00C957E6"/>
    <w:rsid w:val="00C97F33"/>
    <w:rsid w:val="00CA0156"/>
    <w:rsid w:val="00CA2A15"/>
    <w:rsid w:val="00CA4354"/>
    <w:rsid w:val="00CA518D"/>
    <w:rsid w:val="00CA58BD"/>
    <w:rsid w:val="00CA6F32"/>
    <w:rsid w:val="00CA72AF"/>
    <w:rsid w:val="00CB0F55"/>
    <w:rsid w:val="00CB0FE3"/>
    <w:rsid w:val="00CB26B1"/>
    <w:rsid w:val="00CB2CD6"/>
    <w:rsid w:val="00CB2F23"/>
    <w:rsid w:val="00CB5584"/>
    <w:rsid w:val="00CB601E"/>
    <w:rsid w:val="00CB67B4"/>
    <w:rsid w:val="00CB75E6"/>
    <w:rsid w:val="00CC3D52"/>
    <w:rsid w:val="00CC413D"/>
    <w:rsid w:val="00CC5A9B"/>
    <w:rsid w:val="00CC6E52"/>
    <w:rsid w:val="00CC721D"/>
    <w:rsid w:val="00CD01F4"/>
    <w:rsid w:val="00CD28DB"/>
    <w:rsid w:val="00CD2DF1"/>
    <w:rsid w:val="00CD30B6"/>
    <w:rsid w:val="00CD3AC9"/>
    <w:rsid w:val="00CD3EC4"/>
    <w:rsid w:val="00CD4EC0"/>
    <w:rsid w:val="00CD7B5F"/>
    <w:rsid w:val="00CE310F"/>
    <w:rsid w:val="00CE37C3"/>
    <w:rsid w:val="00CE69F5"/>
    <w:rsid w:val="00CE70C0"/>
    <w:rsid w:val="00CE7DAB"/>
    <w:rsid w:val="00CF07F2"/>
    <w:rsid w:val="00CF1113"/>
    <w:rsid w:val="00CF1D89"/>
    <w:rsid w:val="00CF32D1"/>
    <w:rsid w:val="00CF38F4"/>
    <w:rsid w:val="00CF3FA3"/>
    <w:rsid w:val="00CF464E"/>
    <w:rsid w:val="00D0061A"/>
    <w:rsid w:val="00D00EAD"/>
    <w:rsid w:val="00D011C4"/>
    <w:rsid w:val="00D027F1"/>
    <w:rsid w:val="00D03D8D"/>
    <w:rsid w:val="00D07DB7"/>
    <w:rsid w:val="00D11FF4"/>
    <w:rsid w:val="00D138F3"/>
    <w:rsid w:val="00D1665B"/>
    <w:rsid w:val="00D16C87"/>
    <w:rsid w:val="00D177AD"/>
    <w:rsid w:val="00D20341"/>
    <w:rsid w:val="00D20FEF"/>
    <w:rsid w:val="00D2168E"/>
    <w:rsid w:val="00D21EC4"/>
    <w:rsid w:val="00D22B30"/>
    <w:rsid w:val="00D23196"/>
    <w:rsid w:val="00D2420E"/>
    <w:rsid w:val="00D25B79"/>
    <w:rsid w:val="00D25FEC"/>
    <w:rsid w:val="00D27556"/>
    <w:rsid w:val="00D27860"/>
    <w:rsid w:val="00D305BE"/>
    <w:rsid w:val="00D33DAD"/>
    <w:rsid w:val="00D34938"/>
    <w:rsid w:val="00D35383"/>
    <w:rsid w:val="00D35719"/>
    <w:rsid w:val="00D359DB"/>
    <w:rsid w:val="00D35FB5"/>
    <w:rsid w:val="00D37C4A"/>
    <w:rsid w:val="00D37C8B"/>
    <w:rsid w:val="00D40CE8"/>
    <w:rsid w:val="00D42CDD"/>
    <w:rsid w:val="00D4345E"/>
    <w:rsid w:val="00D45ED6"/>
    <w:rsid w:val="00D51CBD"/>
    <w:rsid w:val="00D52466"/>
    <w:rsid w:val="00D535EA"/>
    <w:rsid w:val="00D53EA3"/>
    <w:rsid w:val="00D53F1F"/>
    <w:rsid w:val="00D5627E"/>
    <w:rsid w:val="00D568C9"/>
    <w:rsid w:val="00D572C3"/>
    <w:rsid w:val="00D60E08"/>
    <w:rsid w:val="00D617E9"/>
    <w:rsid w:val="00D61E3A"/>
    <w:rsid w:val="00D66AA4"/>
    <w:rsid w:val="00D66F53"/>
    <w:rsid w:val="00D714A1"/>
    <w:rsid w:val="00D71987"/>
    <w:rsid w:val="00D71EE9"/>
    <w:rsid w:val="00D72722"/>
    <w:rsid w:val="00D73662"/>
    <w:rsid w:val="00D73BAE"/>
    <w:rsid w:val="00D806F9"/>
    <w:rsid w:val="00D8128D"/>
    <w:rsid w:val="00D82E18"/>
    <w:rsid w:val="00D82E1E"/>
    <w:rsid w:val="00D83A3A"/>
    <w:rsid w:val="00D83EE8"/>
    <w:rsid w:val="00D843C7"/>
    <w:rsid w:val="00D91638"/>
    <w:rsid w:val="00D92DEF"/>
    <w:rsid w:val="00D94C9E"/>
    <w:rsid w:val="00D9580A"/>
    <w:rsid w:val="00D9677C"/>
    <w:rsid w:val="00D97946"/>
    <w:rsid w:val="00DA2EE8"/>
    <w:rsid w:val="00DA37BF"/>
    <w:rsid w:val="00DA3E7C"/>
    <w:rsid w:val="00DA4EDB"/>
    <w:rsid w:val="00DB0007"/>
    <w:rsid w:val="00DB0526"/>
    <w:rsid w:val="00DB134D"/>
    <w:rsid w:val="00DB2B67"/>
    <w:rsid w:val="00DB3A67"/>
    <w:rsid w:val="00DB79CC"/>
    <w:rsid w:val="00DC54F9"/>
    <w:rsid w:val="00DC73E8"/>
    <w:rsid w:val="00DD2203"/>
    <w:rsid w:val="00DD2447"/>
    <w:rsid w:val="00DD2DF3"/>
    <w:rsid w:val="00DD51B0"/>
    <w:rsid w:val="00DD7F5C"/>
    <w:rsid w:val="00DE0A1D"/>
    <w:rsid w:val="00DE12D5"/>
    <w:rsid w:val="00DE198D"/>
    <w:rsid w:val="00DE1C66"/>
    <w:rsid w:val="00DE337D"/>
    <w:rsid w:val="00DE46DF"/>
    <w:rsid w:val="00DE670D"/>
    <w:rsid w:val="00DF25EA"/>
    <w:rsid w:val="00DF28A0"/>
    <w:rsid w:val="00DF300E"/>
    <w:rsid w:val="00DF47E8"/>
    <w:rsid w:val="00DF5FFA"/>
    <w:rsid w:val="00E003D9"/>
    <w:rsid w:val="00E004BC"/>
    <w:rsid w:val="00E02390"/>
    <w:rsid w:val="00E035AE"/>
    <w:rsid w:val="00E05C42"/>
    <w:rsid w:val="00E071C5"/>
    <w:rsid w:val="00E10A6D"/>
    <w:rsid w:val="00E111B6"/>
    <w:rsid w:val="00E11635"/>
    <w:rsid w:val="00E128DD"/>
    <w:rsid w:val="00E12C3D"/>
    <w:rsid w:val="00E1355A"/>
    <w:rsid w:val="00E13F31"/>
    <w:rsid w:val="00E14F1D"/>
    <w:rsid w:val="00E14FB2"/>
    <w:rsid w:val="00E15436"/>
    <w:rsid w:val="00E15955"/>
    <w:rsid w:val="00E21DEF"/>
    <w:rsid w:val="00E23F23"/>
    <w:rsid w:val="00E25213"/>
    <w:rsid w:val="00E259AC"/>
    <w:rsid w:val="00E26BC2"/>
    <w:rsid w:val="00E26D35"/>
    <w:rsid w:val="00E27AC9"/>
    <w:rsid w:val="00E27DCD"/>
    <w:rsid w:val="00E303EE"/>
    <w:rsid w:val="00E3147B"/>
    <w:rsid w:val="00E31698"/>
    <w:rsid w:val="00E32356"/>
    <w:rsid w:val="00E32DBE"/>
    <w:rsid w:val="00E33781"/>
    <w:rsid w:val="00E339A4"/>
    <w:rsid w:val="00E33D1F"/>
    <w:rsid w:val="00E343F4"/>
    <w:rsid w:val="00E34E32"/>
    <w:rsid w:val="00E36667"/>
    <w:rsid w:val="00E36CC6"/>
    <w:rsid w:val="00E40D4B"/>
    <w:rsid w:val="00E413C3"/>
    <w:rsid w:val="00E4481A"/>
    <w:rsid w:val="00E45DDA"/>
    <w:rsid w:val="00E45E24"/>
    <w:rsid w:val="00E4782E"/>
    <w:rsid w:val="00E50623"/>
    <w:rsid w:val="00E52735"/>
    <w:rsid w:val="00E54251"/>
    <w:rsid w:val="00E54FB4"/>
    <w:rsid w:val="00E55A37"/>
    <w:rsid w:val="00E56B9A"/>
    <w:rsid w:val="00E60957"/>
    <w:rsid w:val="00E60BBD"/>
    <w:rsid w:val="00E61A96"/>
    <w:rsid w:val="00E624E5"/>
    <w:rsid w:val="00E62DD1"/>
    <w:rsid w:val="00E6388F"/>
    <w:rsid w:val="00E65B1C"/>
    <w:rsid w:val="00E65D1C"/>
    <w:rsid w:val="00E65DB0"/>
    <w:rsid w:val="00E67DB6"/>
    <w:rsid w:val="00E7011E"/>
    <w:rsid w:val="00E70F81"/>
    <w:rsid w:val="00E73DED"/>
    <w:rsid w:val="00E73F44"/>
    <w:rsid w:val="00E74C64"/>
    <w:rsid w:val="00E77FF1"/>
    <w:rsid w:val="00E80370"/>
    <w:rsid w:val="00E81F22"/>
    <w:rsid w:val="00E8208D"/>
    <w:rsid w:val="00E8325B"/>
    <w:rsid w:val="00E83648"/>
    <w:rsid w:val="00E8396C"/>
    <w:rsid w:val="00E83D38"/>
    <w:rsid w:val="00E83ED7"/>
    <w:rsid w:val="00E86C2B"/>
    <w:rsid w:val="00E91B12"/>
    <w:rsid w:val="00E921A1"/>
    <w:rsid w:val="00E9257C"/>
    <w:rsid w:val="00E9379D"/>
    <w:rsid w:val="00E96562"/>
    <w:rsid w:val="00E96D02"/>
    <w:rsid w:val="00E979BF"/>
    <w:rsid w:val="00EA3CC3"/>
    <w:rsid w:val="00EA4267"/>
    <w:rsid w:val="00EA4366"/>
    <w:rsid w:val="00EA5563"/>
    <w:rsid w:val="00EA59D2"/>
    <w:rsid w:val="00EA5FD1"/>
    <w:rsid w:val="00EA6AF7"/>
    <w:rsid w:val="00EA7335"/>
    <w:rsid w:val="00EA7C1B"/>
    <w:rsid w:val="00EA7D2B"/>
    <w:rsid w:val="00EA7E11"/>
    <w:rsid w:val="00EB023E"/>
    <w:rsid w:val="00EB1AA0"/>
    <w:rsid w:val="00EB1F1E"/>
    <w:rsid w:val="00EB2CE2"/>
    <w:rsid w:val="00EB33CC"/>
    <w:rsid w:val="00EB3F34"/>
    <w:rsid w:val="00EB4516"/>
    <w:rsid w:val="00EB7731"/>
    <w:rsid w:val="00EC1D44"/>
    <w:rsid w:val="00EC375D"/>
    <w:rsid w:val="00EC3E57"/>
    <w:rsid w:val="00EC4691"/>
    <w:rsid w:val="00ED0BA1"/>
    <w:rsid w:val="00ED30D8"/>
    <w:rsid w:val="00ED56D6"/>
    <w:rsid w:val="00ED6C9A"/>
    <w:rsid w:val="00ED6FA2"/>
    <w:rsid w:val="00EE1E49"/>
    <w:rsid w:val="00EE200A"/>
    <w:rsid w:val="00EE372C"/>
    <w:rsid w:val="00EE3CBA"/>
    <w:rsid w:val="00EE3E44"/>
    <w:rsid w:val="00EE5447"/>
    <w:rsid w:val="00EE6D6A"/>
    <w:rsid w:val="00EE76D1"/>
    <w:rsid w:val="00EE7B49"/>
    <w:rsid w:val="00EF0204"/>
    <w:rsid w:val="00EF0BF0"/>
    <w:rsid w:val="00EF0F94"/>
    <w:rsid w:val="00EF10CD"/>
    <w:rsid w:val="00EF15FB"/>
    <w:rsid w:val="00EF25F6"/>
    <w:rsid w:val="00EF42A9"/>
    <w:rsid w:val="00EF4E6C"/>
    <w:rsid w:val="00EF57A8"/>
    <w:rsid w:val="00EF616F"/>
    <w:rsid w:val="00EF65C2"/>
    <w:rsid w:val="00EF66AD"/>
    <w:rsid w:val="00F03035"/>
    <w:rsid w:val="00F036E1"/>
    <w:rsid w:val="00F04042"/>
    <w:rsid w:val="00F07641"/>
    <w:rsid w:val="00F10874"/>
    <w:rsid w:val="00F10A35"/>
    <w:rsid w:val="00F11776"/>
    <w:rsid w:val="00F11CBC"/>
    <w:rsid w:val="00F133A9"/>
    <w:rsid w:val="00F15642"/>
    <w:rsid w:val="00F17D16"/>
    <w:rsid w:val="00F212A6"/>
    <w:rsid w:val="00F23A0E"/>
    <w:rsid w:val="00F23DB9"/>
    <w:rsid w:val="00F31D74"/>
    <w:rsid w:val="00F3246F"/>
    <w:rsid w:val="00F3284F"/>
    <w:rsid w:val="00F32C2C"/>
    <w:rsid w:val="00F33CA4"/>
    <w:rsid w:val="00F3412D"/>
    <w:rsid w:val="00F35198"/>
    <w:rsid w:val="00F359AF"/>
    <w:rsid w:val="00F36C31"/>
    <w:rsid w:val="00F41F69"/>
    <w:rsid w:val="00F42508"/>
    <w:rsid w:val="00F425AD"/>
    <w:rsid w:val="00F43970"/>
    <w:rsid w:val="00F44824"/>
    <w:rsid w:val="00F44A5B"/>
    <w:rsid w:val="00F5180B"/>
    <w:rsid w:val="00F528F9"/>
    <w:rsid w:val="00F52F7B"/>
    <w:rsid w:val="00F54CCE"/>
    <w:rsid w:val="00F60B21"/>
    <w:rsid w:val="00F613F3"/>
    <w:rsid w:val="00F62CCF"/>
    <w:rsid w:val="00F62D34"/>
    <w:rsid w:val="00F649F1"/>
    <w:rsid w:val="00F65627"/>
    <w:rsid w:val="00F66306"/>
    <w:rsid w:val="00F70D2B"/>
    <w:rsid w:val="00F71E45"/>
    <w:rsid w:val="00F72579"/>
    <w:rsid w:val="00F731AE"/>
    <w:rsid w:val="00F7374C"/>
    <w:rsid w:val="00F7420D"/>
    <w:rsid w:val="00F74F08"/>
    <w:rsid w:val="00F75582"/>
    <w:rsid w:val="00F75E8A"/>
    <w:rsid w:val="00F76031"/>
    <w:rsid w:val="00F76502"/>
    <w:rsid w:val="00F76D06"/>
    <w:rsid w:val="00F76D90"/>
    <w:rsid w:val="00F80718"/>
    <w:rsid w:val="00F8143E"/>
    <w:rsid w:val="00F820B8"/>
    <w:rsid w:val="00F8325F"/>
    <w:rsid w:val="00F84696"/>
    <w:rsid w:val="00F853F0"/>
    <w:rsid w:val="00F85E4A"/>
    <w:rsid w:val="00F8747A"/>
    <w:rsid w:val="00F90257"/>
    <w:rsid w:val="00F97629"/>
    <w:rsid w:val="00FA235F"/>
    <w:rsid w:val="00FA4CF8"/>
    <w:rsid w:val="00FA707E"/>
    <w:rsid w:val="00FB17BC"/>
    <w:rsid w:val="00FB3DDC"/>
    <w:rsid w:val="00FB4A8B"/>
    <w:rsid w:val="00FB53E1"/>
    <w:rsid w:val="00FB69D1"/>
    <w:rsid w:val="00FB76EF"/>
    <w:rsid w:val="00FC1046"/>
    <w:rsid w:val="00FC3C47"/>
    <w:rsid w:val="00FC6DF2"/>
    <w:rsid w:val="00FD21D6"/>
    <w:rsid w:val="00FD22E5"/>
    <w:rsid w:val="00FD2A6D"/>
    <w:rsid w:val="00FD2BE8"/>
    <w:rsid w:val="00FD410D"/>
    <w:rsid w:val="00FD49D1"/>
    <w:rsid w:val="00FD52DC"/>
    <w:rsid w:val="00FD64D1"/>
    <w:rsid w:val="00FE0C7E"/>
    <w:rsid w:val="00FE13B8"/>
    <w:rsid w:val="00FE173A"/>
    <w:rsid w:val="00FE2D7F"/>
    <w:rsid w:val="00FE4194"/>
    <w:rsid w:val="00FE4B79"/>
    <w:rsid w:val="00FE4F71"/>
    <w:rsid w:val="00FE51FE"/>
    <w:rsid w:val="00FF154A"/>
    <w:rsid w:val="00FF1A1D"/>
    <w:rsid w:val="00FF1A29"/>
    <w:rsid w:val="00FF4432"/>
    <w:rsid w:val="00FF5D63"/>
    <w:rsid w:val="00FF71BB"/>
    <w:rsid w:val="00FF7836"/>
    <w:rsid w:val="00FF7FB8"/>
    <w:rsid w:val="014A4BF4"/>
    <w:rsid w:val="017A330D"/>
    <w:rsid w:val="022556AD"/>
    <w:rsid w:val="025C1F93"/>
    <w:rsid w:val="03522419"/>
    <w:rsid w:val="03892540"/>
    <w:rsid w:val="03A674FA"/>
    <w:rsid w:val="03FE4D07"/>
    <w:rsid w:val="04275653"/>
    <w:rsid w:val="048D65BC"/>
    <w:rsid w:val="054753B6"/>
    <w:rsid w:val="05CC285B"/>
    <w:rsid w:val="061B2F96"/>
    <w:rsid w:val="064F5CC5"/>
    <w:rsid w:val="065C4EFE"/>
    <w:rsid w:val="067E2EB5"/>
    <w:rsid w:val="068943A3"/>
    <w:rsid w:val="06BA630B"/>
    <w:rsid w:val="06D118A6"/>
    <w:rsid w:val="06EA62FD"/>
    <w:rsid w:val="076A534B"/>
    <w:rsid w:val="07C2183F"/>
    <w:rsid w:val="07DA364E"/>
    <w:rsid w:val="089922AB"/>
    <w:rsid w:val="089D66E0"/>
    <w:rsid w:val="08D765DE"/>
    <w:rsid w:val="093A65B1"/>
    <w:rsid w:val="0A5E2C7E"/>
    <w:rsid w:val="0A6F1B02"/>
    <w:rsid w:val="0C0F0EA7"/>
    <w:rsid w:val="0C362BB5"/>
    <w:rsid w:val="0C5C1390"/>
    <w:rsid w:val="0D9249C5"/>
    <w:rsid w:val="0E9F5FA8"/>
    <w:rsid w:val="0ECB7EDB"/>
    <w:rsid w:val="0EE505E5"/>
    <w:rsid w:val="0EF95D4E"/>
    <w:rsid w:val="0F1D30ED"/>
    <w:rsid w:val="0F3E087B"/>
    <w:rsid w:val="0F7673F0"/>
    <w:rsid w:val="0FC61989"/>
    <w:rsid w:val="10091E0C"/>
    <w:rsid w:val="10B464C1"/>
    <w:rsid w:val="11224F0F"/>
    <w:rsid w:val="113B0990"/>
    <w:rsid w:val="11625F1D"/>
    <w:rsid w:val="11632393"/>
    <w:rsid w:val="11C833BC"/>
    <w:rsid w:val="12B51D54"/>
    <w:rsid w:val="132D32C4"/>
    <w:rsid w:val="13AC22E7"/>
    <w:rsid w:val="140E7C96"/>
    <w:rsid w:val="14197409"/>
    <w:rsid w:val="14270E79"/>
    <w:rsid w:val="147D712D"/>
    <w:rsid w:val="14EF5D19"/>
    <w:rsid w:val="159643E7"/>
    <w:rsid w:val="15F555B1"/>
    <w:rsid w:val="16143C3C"/>
    <w:rsid w:val="16D43419"/>
    <w:rsid w:val="186474C4"/>
    <w:rsid w:val="18904801"/>
    <w:rsid w:val="189B11CC"/>
    <w:rsid w:val="189B3AC2"/>
    <w:rsid w:val="19C72DC1"/>
    <w:rsid w:val="1A41503C"/>
    <w:rsid w:val="1A43009A"/>
    <w:rsid w:val="1AC40D05"/>
    <w:rsid w:val="1ADA70F7"/>
    <w:rsid w:val="1B4F3923"/>
    <w:rsid w:val="1BBF7E22"/>
    <w:rsid w:val="1D210A3A"/>
    <w:rsid w:val="1D4D7A81"/>
    <w:rsid w:val="1E05210A"/>
    <w:rsid w:val="1E845852"/>
    <w:rsid w:val="1F152820"/>
    <w:rsid w:val="1F253597"/>
    <w:rsid w:val="1F5144D6"/>
    <w:rsid w:val="1FA23B2A"/>
    <w:rsid w:val="1FFB37C4"/>
    <w:rsid w:val="20642787"/>
    <w:rsid w:val="20F71E01"/>
    <w:rsid w:val="216740BA"/>
    <w:rsid w:val="21815F4B"/>
    <w:rsid w:val="21B207FA"/>
    <w:rsid w:val="21B61F52"/>
    <w:rsid w:val="21F726B1"/>
    <w:rsid w:val="22064D60"/>
    <w:rsid w:val="22327245"/>
    <w:rsid w:val="224240C3"/>
    <w:rsid w:val="22714212"/>
    <w:rsid w:val="229D6DB5"/>
    <w:rsid w:val="229E0014"/>
    <w:rsid w:val="22B6440B"/>
    <w:rsid w:val="23C40371"/>
    <w:rsid w:val="23D85AC8"/>
    <w:rsid w:val="24042E63"/>
    <w:rsid w:val="248F0487"/>
    <w:rsid w:val="25413F29"/>
    <w:rsid w:val="258B4FC9"/>
    <w:rsid w:val="25A77F4A"/>
    <w:rsid w:val="2621539B"/>
    <w:rsid w:val="26505FC4"/>
    <w:rsid w:val="266F2D11"/>
    <w:rsid w:val="270C3F45"/>
    <w:rsid w:val="272A3538"/>
    <w:rsid w:val="276460F3"/>
    <w:rsid w:val="276509B1"/>
    <w:rsid w:val="278D03BF"/>
    <w:rsid w:val="28173165"/>
    <w:rsid w:val="28A36429"/>
    <w:rsid w:val="2961371B"/>
    <w:rsid w:val="298734E1"/>
    <w:rsid w:val="2A1D3313"/>
    <w:rsid w:val="2ADE440E"/>
    <w:rsid w:val="2AF76522"/>
    <w:rsid w:val="2B3C1135"/>
    <w:rsid w:val="2BAE7C93"/>
    <w:rsid w:val="2C943EDF"/>
    <w:rsid w:val="2CA67F3B"/>
    <w:rsid w:val="2D1E0AF2"/>
    <w:rsid w:val="2D686211"/>
    <w:rsid w:val="2E921048"/>
    <w:rsid w:val="2EC1468C"/>
    <w:rsid w:val="2EC81296"/>
    <w:rsid w:val="2EDF26F1"/>
    <w:rsid w:val="2EF22236"/>
    <w:rsid w:val="2F5C6B5A"/>
    <w:rsid w:val="2F7912C8"/>
    <w:rsid w:val="300A35B0"/>
    <w:rsid w:val="3048102D"/>
    <w:rsid w:val="304A524D"/>
    <w:rsid w:val="306773B1"/>
    <w:rsid w:val="30C57693"/>
    <w:rsid w:val="31395CB1"/>
    <w:rsid w:val="315F2C16"/>
    <w:rsid w:val="3164321B"/>
    <w:rsid w:val="31FB4882"/>
    <w:rsid w:val="326438BC"/>
    <w:rsid w:val="32F435DC"/>
    <w:rsid w:val="33A361F5"/>
    <w:rsid w:val="33AE0ED8"/>
    <w:rsid w:val="3442156A"/>
    <w:rsid w:val="356B6491"/>
    <w:rsid w:val="35977924"/>
    <w:rsid w:val="35A61EB8"/>
    <w:rsid w:val="35E51D08"/>
    <w:rsid w:val="36035381"/>
    <w:rsid w:val="366F318F"/>
    <w:rsid w:val="371F49FB"/>
    <w:rsid w:val="379C11A0"/>
    <w:rsid w:val="37A23E2F"/>
    <w:rsid w:val="38057C75"/>
    <w:rsid w:val="3940537B"/>
    <w:rsid w:val="396B3B7E"/>
    <w:rsid w:val="39922603"/>
    <w:rsid w:val="3ACF5EA1"/>
    <w:rsid w:val="3B602C1D"/>
    <w:rsid w:val="3B6A2783"/>
    <w:rsid w:val="3BAF0F1E"/>
    <w:rsid w:val="3BDD7DCA"/>
    <w:rsid w:val="3C123F18"/>
    <w:rsid w:val="3C495460"/>
    <w:rsid w:val="3C7C5835"/>
    <w:rsid w:val="3DBA6615"/>
    <w:rsid w:val="3DE23256"/>
    <w:rsid w:val="3F092439"/>
    <w:rsid w:val="404E573A"/>
    <w:rsid w:val="406805AA"/>
    <w:rsid w:val="41037F7F"/>
    <w:rsid w:val="43875B7F"/>
    <w:rsid w:val="43D80F0D"/>
    <w:rsid w:val="4436624E"/>
    <w:rsid w:val="444529B0"/>
    <w:rsid w:val="45C538A4"/>
    <w:rsid w:val="45D832BB"/>
    <w:rsid w:val="46C028FC"/>
    <w:rsid w:val="479A7CF0"/>
    <w:rsid w:val="47AA04C8"/>
    <w:rsid w:val="47C43A82"/>
    <w:rsid w:val="48587156"/>
    <w:rsid w:val="487217FD"/>
    <w:rsid w:val="48F86243"/>
    <w:rsid w:val="48FD1AAC"/>
    <w:rsid w:val="491740DF"/>
    <w:rsid w:val="492E6F7B"/>
    <w:rsid w:val="49435341"/>
    <w:rsid w:val="49936694"/>
    <w:rsid w:val="4A0155CC"/>
    <w:rsid w:val="4A496B89"/>
    <w:rsid w:val="4A735A25"/>
    <w:rsid w:val="4A88509D"/>
    <w:rsid w:val="4AF40C8C"/>
    <w:rsid w:val="4B005387"/>
    <w:rsid w:val="4BA353E1"/>
    <w:rsid w:val="4C4355DD"/>
    <w:rsid w:val="4C6D6F48"/>
    <w:rsid w:val="4C9D11F4"/>
    <w:rsid w:val="4CDB30E2"/>
    <w:rsid w:val="4D241CFD"/>
    <w:rsid w:val="4D6A7E57"/>
    <w:rsid w:val="4DB03590"/>
    <w:rsid w:val="4E2222FD"/>
    <w:rsid w:val="4E960E86"/>
    <w:rsid w:val="4EBD5F65"/>
    <w:rsid w:val="4EF621E1"/>
    <w:rsid w:val="50A868B7"/>
    <w:rsid w:val="50D574E2"/>
    <w:rsid w:val="5106297C"/>
    <w:rsid w:val="510A2FB8"/>
    <w:rsid w:val="51291C37"/>
    <w:rsid w:val="5150612E"/>
    <w:rsid w:val="523227C6"/>
    <w:rsid w:val="53AF7E46"/>
    <w:rsid w:val="542C518A"/>
    <w:rsid w:val="54753AF6"/>
    <w:rsid w:val="54EC1DFC"/>
    <w:rsid w:val="55A20145"/>
    <w:rsid w:val="56262642"/>
    <w:rsid w:val="56533B8E"/>
    <w:rsid w:val="56D848CE"/>
    <w:rsid w:val="57445842"/>
    <w:rsid w:val="579655A5"/>
    <w:rsid w:val="581A64EA"/>
    <w:rsid w:val="58276B45"/>
    <w:rsid w:val="58315DAD"/>
    <w:rsid w:val="585C2F78"/>
    <w:rsid w:val="586E7F1B"/>
    <w:rsid w:val="58CD149A"/>
    <w:rsid w:val="58ED4523"/>
    <w:rsid w:val="59665797"/>
    <w:rsid w:val="5A037476"/>
    <w:rsid w:val="5A114B53"/>
    <w:rsid w:val="5A5F6122"/>
    <w:rsid w:val="5AA219DE"/>
    <w:rsid w:val="5AC32B55"/>
    <w:rsid w:val="5BAD110F"/>
    <w:rsid w:val="5C0E3D80"/>
    <w:rsid w:val="5C304B4D"/>
    <w:rsid w:val="5C3F12F2"/>
    <w:rsid w:val="5DB276BD"/>
    <w:rsid w:val="5E6A6113"/>
    <w:rsid w:val="5EE353BB"/>
    <w:rsid w:val="6016281F"/>
    <w:rsid w:val="60A43BCB"/>
    <w:rsid w:val="60EA6CE8"/>
    <w:rsid w:val="62C93AD1"/>
    <w:rsid w:val="62DB0C9D"/>
    <w:rsid w:val="62DE4DBC"/>
    <w:rsid w:val="62EA49F7"/>
    <w:rsid w:val="63027F93"/>
    <w:rsid w:val="630B2570"/>
    <w:rsid w:val="63434487"/>
    <w:rsid w:val="63675217"/>
    <w:rsid w:val="636F36FE"/>
    <w:rsid w:val="639D0937"/>
    <w:rsid w:val="6418674C"/>
    <w:rsid w:val="65136CEF"/>
    <w:rsid w:val="651761F5"/>
    <w:rsid w:val="651D5558"/>
    <w:rsid w:val="65F0554E"/>
    <w:rsid w:val="66046268"/>
    <w:rsid w:val="66304E17"/>
    <w:rsid w:val="66901402"/>
    <w:rsid w:val="66921FA5"/>
    <w:rsid w:val="66CA7019"/>
    <w:rsid w:val="66F347C2"/>
    <w:rsid w:val="678371C8"/>
    <w:rsid w:val="67BD78FF"/>
    <w:rsid w:val="684F12BE"/>
    <w:rsid w:val="685132CA"/>
    <w:rsid w:val="692F61D9"/>
    <w:rsid w:val="69403299"/>
    <w:rsid w:val="697E2721"/>
    <w:rsid w:val="6A260A0B"/>
    <w:rsid w:val="6AC56D3B"/>
    <w:rsid w:val="6AF82946"/>
    <w:rsid w:val="6C0C363E"/>
    <w:rsid w:val="6C3E2CCD"/>
    <w:rsid w:val="6C950AE3"/>
    <w:rsid w:val="6D604233"/>
    <w:rsid w:val="6D7C337B"/>
    <w:rsid w:val="6DBC2B52"/>
    <w:rsid w:val="6E0C7F17"/>
    <w:rsid w:val="6E677844"/>
    <w:rsid w:val="6EC53885"/>
    <w:rsid w:val="6ECD27A0"/>
    <w:rsid w:val="6F097485"/>
    <w:rsid w:val="6F2968A7"/>
    <w:rsid w:val="70DF2E13"/>
    <w:rsid w:val="71AA1A72"/>
    <w:rsid w:val="71C0702D"/>
    <w:rsid w:val="71D260B4"/>
    <w:rsid w:val="71E722EB"/>
    <w:rsid w:val="72C15778"/>
    <w:rsid w:val="72FF192C"/>
    <w:rsid w:val="73104006"/>
    <w:rsid w:val="73487C44"/>
    <w:rsid w:val="734A55EF"/>
    <w:rsid w:val="73545094"/>
    <w:rsid w:val="73E223A7"/>
    <w:rsid w:val="74086EB5"/>
    <w:rsid w:val="756E14B8"/>
    <w:rsid w:val="75A90F84"/>
    <w:rsid w:val="76F93F7B"/>
    <w:rsid w:val="772A140E"/>
    <w:rsid w:val="77875EC6"/>
    <w:rsid w:val="782642CC"/>
    <w:rsid w:val="785B21C7"/>
    <w:rsid w:val="78D15FE5"/>
    <w:rsid w:val="78F16CC3"/>
    <w:rsid w:val="79DB7D0F"/>
    <w:rsid w:val="79EB757B"/>
    <w:rsid w:val="79F4762D"/>
    <w:rsid w:val="7A2B3238"/>
    <w:rsid w:val="7A684727"/>
    <w:rsid w:val="7AA8721A"/>
    <w:rsid w:val="7AC34054"/>
    <w:rsid w:val="7AF6294A"/>
    <w:rsid w:val="7B1D7C08"/>
    <w:rsid w:val="7B492B00"/>
    <w:rsid w:val="7BBE2911"/>
    <w:rsid w:val="7BD865C1"/>
    <w:rsid w:val="7BF74FFF"/>
    <w:rsid w:val="7C573B71"/>
    <w:rsid w:val="7D2F2D01"/>
    <w:rsid w:val="7D38181B"/>
    <w:rsid w:val="7D517DAE"/>
    <w:rsid w:val="7D715FE9"/>
    <w:rsid w:val="7D8B6380"/>
    <w:rsid w:val="7DB062A1"/>
    <w:rsid w:val="7DB54FCA"/>
    <w:rsid w:val="7DC128ED"/>
    <w:rsid w:val="7E154BC6"/>
    <w:rsid w:val="7E6E42D6"/>
    <w:rsid w:val="7E7C6DD3"/>
    <w:rsid w:val="7EC02D84"/>
    <w:rsid w:val="7EF40C80"/>
    <w:rsid w:val="7FF7639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nhideWhenUsed="0" w:uiPriority="99" w:semiHidden="0" w:name="annotation text"/>
    <w:lsdException w:qFormat="1" w:uiPriority="0"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qFormat="1" w:uiPriority="99" w:semiHidden="0" w:name="Date"/>
    <w:lsdException w:qFormat="1" w:uiPriority="99" w:semiHidden="0" w:name="Body Text First Indent"/>
    <w:lsdException w:qFormat="1" w:uiPriority="0" w:semiHidden="0" w:name="Body Text First Indent 2"/>
    <w:lsdException w:uiPriority="99" w:name="Note Heading"/>
    <w:lsdException w:qFormat="1" w:uiPriority="99" w:semiHidden="0" w:name="Body Text 2"/>
    <w:lsdException w:uiPriority="99" w:name="Body Text 3"/>
    <w:lsdException w:uiPriority="99" w:name="Body Text Indent 2"/>
    <w:lsdException w:qFormat="1" w:unhideWhenUsed="0" w:uiPriority="0" w:semiHidden="0"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unhideWhenUsed="0" w:uiPriority="20" w:semiHidden="0" w:name="Emphasis"/>
    <w:lsdException w:qFormat="1" w:unhideWhenUsed="0" w:uiPriority="0" w:semiHidden="0" w:name="Document Map"/>
    <w:lsdException w:qFormat="1"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qFormat="1" w:unhideWhenUsed="0" w:uiPriority="0" w:semiHidden="0" w:name="Table Theme"/>
    <w:lsdException w:qFormat="1" w:unhideWhenUsed="0" w:uiPriority="99" w:semiHidden="0" w:name="Placeholder Text"/>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4"/>
      <w:szCs w:val="22"/>
      <w:lang w:val="en-US" w:eastAsia="zh-CN" w:bidi="ar-SA"/>
    </w:rPr>
  </w:style>
  <w:style w:type="paragraph" w:styleId="4">
    <w:name w:val="heading 1"/>
    <w:basedOn w:val="1"/>
    <w:next w:val="1"/>
    <w:link w:val="53"/>
    <w:autoRedefine/>
    <w:qFormat/>
    <w:uiPriority w:val="9"/>
    <w:pPr>
      <w:keepNext/>
      <w:keepLines/>
      <w:spacing w:before="50" w:beforeLines="50" w:after="50" w:afterLines="50" w:line="360" w:lineRule="auto"/>
      <w:jc w:val="center"/>
      <w:outlineLvl w:val="0"/>
    </w:pPr>
    <w:rPr>
      <w:b/>
      <w:bCs/>
      <w:kern w:val="44"/>
      <w:sz w:val="32"/>
      <w:szCs w:val="44"/>
    </w:rPr>
  </w:style>
  <w:style w:type="paragraph" w:styleId="5">
    <w:name w:val="heading 2"/>
    <w:basedOn w:val="1"/>
    <w:next w:val="1"/>
    <w:link w:val="54"/>
    <w:autoRedefine/>
    <w:unhideWhenUsed/>
    <w:qFormat/>
    <w:uiPriority w:val="9"/>
    <w:pPr>
      <w:keepNext/>
      <w:keepLines/>
      <w:spacing w:line="360" w:lineRule="auto"/>
      <w:outlineLvl w:val="1"/>
    </w:pPr>
    <w:rPr>
      <w:rFonts w:asciiTheme="majorHAnsi" w:hAnsiTheme="majorHAnsi" w:eastAsiaTheme="majorEastAsia" w:cstheme="majorBidi"/>
      <w:b/>
      <w:bCs/>
      <w:sz w:val="30"/>
      <w:szCs w:val="32"/>
    </w:rPr>
  </w:style>
  <w:style w:type="paragraph" w:styleId="6">
    <w:name w:val="heading 3"/>
    <w:basedOn w:val="1"/>
    <w:next w:val="1"/>
    <w:link w:val="55"/>
    <w:autoRedefine/>
    <w:unhideWhenUsed/>
    <w:qFormat/>
    <w:uiPriority w:val="9"/>
    <w:pPr>
      <w:keepNext/>
      <w:keepLines/>
      <w:spacing w:line="360" w:lineRule="auto"/>
      <w:outlineLvl w:val="2"/>
    </w:pPr>
    <w:rPr>
      <w:b/>
      <w:bCs/>
      <w:sz w:val="28"/>
      <w:szCs w:val="32"/>
    </w:rPr>
  </w:style>
  <w:style w:type="paragraph" w:styleId="7">
    <w:name w:val="heading 4"/>
    <w:basedOn w:val="1"/>
    <w:next w:val="1"/>
    <w:link w:val="63"/>
    <w:autoRedefine/>
    <w:unhideWhenUsed/>
    <w:qFormat/>
    <w:uiPriority w:val="9"/>
    <w:pPr>
      <w:keepNext/>
      <w:keepLines/>
      <w:spacing w:line="360" w:lineRule="auto"/>
      <w:ind w:firstLine="200" w:firstLineChars="200"/>
      <w:outlineLvl w:val="3"/>
    </w:pPr>
    <w:rPr>
      <w:rFonts w:asciiTheme="majorHAnsi" w:hAnsiTheme="majorHAnsi" w:eastAsiaTheme="majorEastAsia" w:cstheme="majorBidi"/>
      <w:b/>
      <w:bCs/>
      <w:szCs w:val="28"/>
    </w:rPr>
  </w:style>
  <w:style w:type="paragraph" w:styleId="8">
    <w:name w:val="heading 5"/>
    <w:basedOn w:val="1"/>
    <w:next w:val="1"/>
    <w:link w:val="66"/>
    <w:autoRedefine/>
    <w:unhideWhenUsed/>
    <w:qFormat/>
    <w:uiPriority w:val="9"/>
    <w:pPr>
      <w:keepLines/>
      <w:spacing w:line="360" w:lineRule="auto"/>
      <w:jc w:val="center"/>
      <w:outlineLvl w:val="4"/>
    </w:pPr>
    <w:rPr>
      <w:b/>
      <w:bCs/>
      <w:szCs w:val="28"/>
    </w:rPr>
  </w:style>
  <w:style w:type="paragraph" w:styleId="9">
    <w:name w:val="heading 6"/>
    <w:basedOn w:val="1"/>
    <w:next w:val="1"/>
    <w:link w:val="67"/>
    <w:autoRedefine/>
    <w:unhideWhenUsed/>
    <w:qFormat/>
    <w:uiPriority w:val="9"/>
    <w:pPr>
      <w:keepNext/>
      <w:keepLines/>
      <w:spacing w:before="240" w:after="64" w:line="320" w:lineRule="auto"/>
      <w:outlineLvl w:val="5"/>
    </w:pPr>
    <w:rPr>
      <w:rFonts w:asciiTheme="majorHAnsi" w:hAnsiTheme="majorHAnsi" w:eastAsiaTheme="majorEastAsia" w:cstheme="majorBidi"/>
      <w:b/>
      <w:bCs/>
      <w:szCs w:val="24"/>
    </w:rPr>
  </w:style>
  <w:style w:type="paragraph" w:styleId="10">
    <w:name w:val="heading 7"/>
    <w:basedOn w:val="1"/>
    <w:next w:val="1"/>
    <w:link w:val="91"/>
    <w:autoRedefine/>
    <w:unhideWhenUsed/>
    <w:qFormat/>
    <w:uiPriority w:val="9"/>
    <w:pPr>
      <w:keepNext/>
      <w:keepLines/>
      <w:spacing w:before="240" w:after="64" w:line="320" w:lineRule="auto"/>
      <w:outlineLvl w:val="6"/>
    </w:pPr>
    <w:rPr>
      <w:b/>
      <w:bCs/>
      <w:szCs w:val="24"/>
    </w:rPr>
  </w:style>
  <w:style w:type="character" w:default="1" w:styleId="40">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58"/>
    <w:qFormat/>
    <w:uiPriority w:val="0"/>
    <w:rPr>
      <w:rFonts w:ascii="宋体" w:hAnsi="Times New Roman" w:eastAsia="宋体" w:cs="Times New Roman"/>
      <w:sz w:val="18"/>
      <w:szCs w:val="20"/>
    </w:rPr>
  </w:style>
  <w:style w:type="paragraph" w:customStyle="1" w:styleId="3">
    <w:name w:val="xl27"/>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宋体" w:hAnsi="宋体"/>
      <w:kern w:val="0"/>
    </w:rPr>
  </w:style>
  <w:style w:type="paragraph" w:styleId="11">
    <w:name w:val="toc 7"/>
    <w:basedOn w:val="1"/>
    <w:next w:val="1"/>
    <w:autoRedefine/>
    <w:unhideWhenUsed/>
    <w:qFormat/>
    <w:uiPriority w:val="39"/>
    <w:pPr>
      <w:ind w:left="2520" w:leftChars="1200"/>
    </w:pPr>
    <w:rPr>
      <w:rFonts w:ascii="Calibri" w:hAnsi="Calibri" w:eastAsia="宋体" w:cs="Arial"/>
      <w:sz w:val="21"/>
    </w:rPr>
  </w:style>
  <w:style w:type="paragraph" w:styleId="12">
    <w:name w:val="Normal Indent"/>
    <w:basedOn w:val="1"/>
    <w:next w:val="13"/>
    <w:link w:val="77"/>
    <w:qFormat/>
    <w:uiPriority w:val="0"/>
    <w:pPr>
      <w:adjustRightInd w:val="0"/>
      <w:snapToGrid w:val="0"/>
      <w:spacing w:after="0" w:line="360" w:lineRule="auto"/>
      <w:ind w:firstLine="0" w:firstLineChars="0"/>
      <w:jc w:val="center"/>
    </w:pPr>
    <w:rPr>
      <w:rFonts w:ascii="Times New Roman" w:hAnsi="Times New Roman" w:eastAsia="黑体" w:cs="Times New Roman"/>
      <w:szCs w:val="21"/>
    </w:rPr>
  </w:style>
  <w:style w:type="paragraph" w:styleId="13">
    <w:name w:val="Body Text First Indent 2"/>
    <w:basedOn w:val="14"/>
    <w:next w:val="15"/>
    <w:link w:val="97"/>
    <w:unhideWhenUsed/>
    <w:qFormat/>
    <w:uiPriority w:val="0"/>
    <w:pPr>
      <w:ind w:firstLine="420" w:firstLineChars="200"/>
    </w:pPr>
    <w:rPr>
      <w:szCs w:val="24"/>
    </w:rPr>
  </w:style>
  <w:style w:type="paragraph" w:styleId="14">
    <w:name w:val="Body Text Indent"/>
    <w:basedOn w:val="1"/>
    <w:next w:val="2"/>
    <w:link w:val="94"/>
    <w:unhideWhenUsed/>
    <w:qFormat/>
    <w:uiPriority w:val="99"/>
    <w:pPr>
      <w:spacing w:after="120"/>
      <w:ind w:left="420" w:leftChars="200"/>
    </w:pPr>
    <w:rPr>
      <w:rFonts w:ascii="Calibri" w:hAnsi="Calibri" w:eastAsia="宋体" w:cs="Arial"/>
    </w:rPr>
  </w:style>
  <w:style w:type="paragraph" w:styleId="15">
    <w:name w:val="Body Text First Indent"/>
    <w:basedOn w:val="2"/>
    <w:next w:val="1"/>
    <w:link w:val="65"/>
    <w:unhideWhenUsed/>
    <w:qFormat/>
    <w:uiPriority w:val="99"/>
    <w:pPr>
      <w:spacing w:after="120"/>
      <w:ind w:firstLine="420" w:firstLineChars="100"/>
    </w:pPr>
    <w:rPr>
      <w:rFonts w:asciiTheme="minorHAnsi" w:hAnsiTheme="minorHAnsi" w:eastAsiaTheme="minorEastAsia" w:cstheme="minorBidi"/>
      <w:sz w:val="24"/>
      <w:szCs w:val="22"/>
    </w:rPr>
  </w:style>
  <w:style w:type="paragraph" w:styleId="16">
    <w:name w:val="caption"/>
    <w:basedOn w:val="1"/>
    <w:next w:val="1"/>
    <w:qFormat/>
    <w:uiPriority w:val="0"/>
    <w:pPr>
      <w:adjustRightInd w:val="0"/>
      <w:snapToGrid w:val="0"/>
      <w:spacing w:line="360" w:lineRule="auto"/>
      <w:jc w:val="center"/>
    </w:pPr>
    <w:rPr>
      <w:rFonts w:ascii="Times New Roman" w:hAnsi="Times New Roman" w:eastAsia="黑体" w:cs="Times New Roman"/>
    </w:rPr>
  </w:style>
  <w:style w:type="paragraph" w:styleId="17">
    <w:name w:val="Document Map"/>
    <w:basedOn w:val="1"/>
    <w:link w:val="137"/>
    <w:qFormat/>
    <w:uiPriority w:val="0"/>
    <w:pPr>
      <w:shd w:val="clear" w:color="auto" w:fill="000080"/>
      <w:spacing w:line="360" w:lineRule="auto"/>
      <w:ind w:firstLine="200" w:firstLineChars="200"/>
    </w:pPr>
    <w:rPr>
      <w:rFonts w:ascii="Times New Roman" w:hAnsi="Times New Roman" w:eastAsia="宋体" w:cs="Times New Roman"/>
      <w:szCs w:val="24"/>
    </w:rPr>
  </w:style>
  <w:style w:type="paragraph" w:styleId="18">
    <w:name w:val="annotation text"/>
    <w:basedOn w:val="1"/>
    <w:link w:val="83"/>
    <w:qFormat/>
    <w:uiPriority w:val="99"/>
    <w:pPr>
      <w:jc w:val="left"/>
    </w:pPr>
    <w:rPr>
      <w:rFonts w:ascii="Times New Roman" w:hAnsi="Times New Roman" w:eastAsia="宋体" w:cs="Times New Roman"/>
      <w:sz w:val="21"/>
      <w:szCs w:val="24"/>
    </w:rPr>
  </w:style>
  <w:style w:type="paragraph" w:styleId="19">
    <w:name w:val="toc 5"/>
    <w:basedOn w:val="1"/>
    <w:next w:val="1"/>
    <w:unhideWhenUsed/>
    <w:qFormat/>
    <w:uiPriority w:val="39"/>
    <w:pPr>
      <w:ind w:left="1680" w:leftChars="800"/>
    </w:pPr>
    <w:rPr>
      <w:rFonts w:ascii="Calibri" w:hAnsi="Calibri" w:eastAsia="宋体" w:cs="Arial"/>
      <w:sz w:val="21"/>
    </w:rPr>
  </w:style>
  <w:style w:type="paragraph" w:styleId="20">
    <w:name w:val="toc 3"/>
    <w:basedOn w:val="1"/>
    <w:next w:val="1"/>
    <w:unhideWhenUsed/>
    <w:qFormat/>
    <w:uiPriority w:val="39"/>
    <w:pPr>
      <w:ind w:left="840" w:leftChars="400"/>
    </w:pPr>
    <w:rPr>
      <w:rFonts w:ascii="Calibri" w:hAnsi="Calibri" w:eastAsia="宋体" w:cs="Arial"/>
    </w:rPr>
  </w:style>
  <w:style w:type="paragraph" w:styleId="21">
    <w:name w:val="Plain Text"/>
    <w:basedOn w:val="1"/>
    <w:link w:val="64"/>
    <w:unhideWhenUsed/>
    <w:qFormat/>
    <w:uiPriority w:val="0"/>
    <w:rPr>
      <w:rFonts w:ascii="宋体" w:hAnsi="Courier New" w:eastAsia="宋体" w:cs="Courier New"/>
      <w:sz w:val="21"/>
      <w:szCs w:val="21"/>
    </w:rPr>
  </w:style>
  <w:style w:type="paragraph" w:styleId="22">
    <w:name w:val="toc 8"/>
    <w:basedOn w:val="1"/>
    <w:next w:val="1"/>
    <w:unhideWhenUsed/>
    <w:qFormat/>
    <w:uiPriority w:val="39"/>
    <w:pPr>
      <w:ind w:left="2940" w:leftChars="1400"/>
    </w:pPr>
    <w:rPr>
      <w:rFonts w:ascii="Calibri" w:hAnsi="Calibri" w:eastAsia="宋体" w:cs="Arial"/>
      <w:sz w:val="21"/>
    </w:rPr>
  </w:style>
  <w:style w:type="paragraph" w:styleId="23">
    <w:name w:val="Date"/>
    <w:basedOn w:val="1"/>
    <w:next w:val="1"/>
    <w:link w:val="95"/>
    <w:unhideWhenUsed/>
    <w:qFormat/>
    <w:uiPriority w:val="99"/>
    <w:pPr>
      <w:ind w:left="100" w:leftChars="2500"/>
    </w:pPr>
    <w:rPr>
      <w:rFonts w:ascii="Calibri" w:hAnsi="Calibri" w:eastAsia="宋体" w:cs="Arial"/>
    </w:rPr>
  </w:style>
  <w:style w:type="paragraph" w:styleId="24">
    <w:name w:val="Balloon Text"/>
    <w:basedOn w:val="1"/>
    <w:link w:val="52"/>
    <w:unhideWhenUsed/>
    <w:qFormat/>
    <w:uiPriority w:val="99"/>
    <w:rPr>
      <w:sz w:val="18"/>
      <w:szCs w:val="18"/>
    </w:rPr>
  </w:style>
  <w:style w:type="paragraph" w:styleId="25">
    <w:name w:val="footer"/>
    <w:basedOn w:val="1"/>
    <w:link w:val="47"/>
    <w:unhideWhenUsed/>
    <w:qFormat/>
    <w:uiPriority w:val="99"/>
    <w:pPr>
      <w:tabs>
        <w:tab w:val="center" w:pos="4153"/>
        <w:tab w:val="right" w:pos="8306"/>
      </w:tabs>
      <w:snapToGrid w:val="0"/>
      <w:jc w:val="left"/>
    </w:pPr>
    <w:rPr>
      <w:sz w:val="18"/>
      <w:szCs w:val="18"/>
    </w:rPr>
  </w:style>
  <w:style w:type="paragraph" w:styleId="26">
    <w:name w:val="header"/>
    <w:basedOn w:val="1"/>
    <w:link w:val="46"/>
    <w:unhideWhenUsed/>
    <w:qFormat/>
    <w:uiPriority w:val="0"/>
    <w:pPr>
      <w:pBdr>
        <w:bottom w:val="single" w:color="auto" w:sz="6" w:space="1"/>
      </w:pBdr>
      <w:tabs>
        <w:tab w:val="center" w:pos="4153"/>
        <w:tab w:val="right" w:pos="8306"/>
      </w:tabs>
      <w:snapToGrid w:val="0"/>
      <w:jc w:val="center"/>
    </w:pPr>
    <w:rPr>
      <w:sz w:val="18"/>
      <w:szCs w:val="18"/>
    </w:rPr>
  </w:style>
  <w:style w:type="paragraph" w:styleId="27">
    <w:name w:val="toc 1"/>
    <w:basedOn w:val="1"/>
    <w:next w:val="1"/>
    <w:unhideWhenUsed/>
    <w:qFormat/>
    <w:uiPriority w:val="39"/>
    <w:rPr>
      <w:rFonts w:ascii="Calibri" w:hAnsi="Calibri" w:eastAsia="宋体" w:cs="Arial"/>
    </w:rPr>
  </w:style>
  <w:style w:type="paragraph" w:styleId="28">
    <w:name w:val="toc 4"/>
    <w:basedOn w:val="1"/>
    <w:next w:val="1"/>
    <w:unhideWhenUsed/>
    <w:qFormat/>
    <w:uiPriority w:val="39"/>
    <w:pPr>
      <w:ind w:left="1260" w:leftChars="600"/>
    </w:pPr>
    <w:rPr>
      <w:rFonts w:ascii="Calibri" w:hAnsi="Calibri" w:eastAsia="宋体" w:cs="Arial"/>
      <w:sz w:val="21"/>
    </w:rPr>
  </w:style>
  <w:style w:type="paragraph" w:styleId="29">
    <w:name w:val="List"/>
    <w:basedOn w:val="1"/>
    <w:qFormat/>
    <w:uiPriority w:val="0"/>
    <w:pPr>
      <w:spacing w:line="320" w:lineRule="exact"/>
      <w:jc w:val="center"/>
    </w:pPr>
    <w:rPr>
      <w:rFonts w:ascii="Calibri" w:hAnsi="Calibri"/>
      <w:sz w:val="20"/>
      <w:szCs w:val="24"/>
    </w:rPr>
  </w:style>
  <w:style w:type="paragraph" w:styleId="30">
    <w:name w:val="toc 6"/>
    <w:basedOn w:val="1"/>
    <w:next w:val="1"/>
    <w:unhideWhenUsed/>
    <w:qFormat/>
    <w:uiPriority w:val="39"/>
    <w:pPr>
      <w:ind w:left="2100" w:leftChars="1000"/>
    </w:pPr>
    <w:rPr>
      <w:rFonts w:ascii="Calibri" w:hAnsi="Calibri" w:eastAsia="宋体" w:cs="Arial"/>
      <w:sz w:val="21"/>
    </w:rPr>
  </w:style>
  <w:style w:type="paragraph" w:styleId="31">
    <w:name w:val="Body Text Indent 3"/>
    <w:basedOn w:val="1"/>
    <w:qFormat/>
    <w:uiPriority w:val="0"/>
    <w:pPr>
      <w:ind w:firstLine="570"/>
    </w:pPr>
    <w:rPr>
      <w:szCs w:val="20"/>
    </w:rPr>
  </w:style>
  <w:style w:type="paragraph" w:styleId="32">
    <w:name w:val="toc 2"/>
    <w:basedOn w:val="1"/>
    <w:next w:val="1"/>
    <w:unhideWhenUsed/>
    <w:qFormat/>
    <w:uiPriority w:val="39"/>
    <w:pPr>
      <w:ind w:left="420" w:leftChars="200"/>
    </w:pPr>
    <w:rPr>
      <w:rFonts w:ascii="Calibri" w:hAnsi="Calibri" w:eastAsia="宋体" w:cs="Arial"/>
    </w:rPr>
  </w:style>
  <w:style w:type="paragraph" w:styleId="33">
    <w:name w:val="toc 9"/>
    <w:basedOn w:val="1"/>
    <w:next w:val="1"/>
    <w:unhideWhenUsed/>
    <w:qFormat/>
    <w:uiPriority w:val="39"/>
    <w:pPr>
      <w:ind w:left="3360" w:leftChars="1600"/>
    </w:pPr>
    <w:rPr>
      <w:rFonts w:ascii="Calibri" w:hAnsi="Calibri" w:eastAsia="宋体" w:cs="Arial"/>
      <w:sz w:val="21"/>
    </w:rPr>
  </w:style>
  <w:style w:type="paragraph" w:styleId="34">
    <w:name w:val="Body Text 2"/>
    <w:basedOn w:val="1"/>
    <w:link w:val="96"/>
    <w:unhideWhenUsed/>
    <w:qFormat/>
    <w:uiPriority w:val="99"/>
    <w:pPr>
      <w:spacing w:after="120" w:line="480" w:lineRule="auto"/>
    </w:pPr>
    <w:rPr>
      <w:rFonts w:ascii="Calibri" w:hAnsi="Calibri" w:eastAsia="宋体" w:cs="Arial"/>
    </w:rPr>
  </w:style>
  <w:style w:type="paragraph" w:styleId="35">
    <w:name w:val="Normal (Web)"/>
    <w:basedOn w:val="1"/>
    <w:link w:val="88"/>
    <w:qFormat/>
    <w:uiPriority w:val="99"/>
    <w:pPr>
      <w:widowControl/>
      <w:spacing w:before="100" w:beforeAutospacing="1" w:after="100" w:afterAutospacing="1"/>
      <w:jc w:val="left"/>
    </w:pPr>
    <w:rPr>
      <w:rFonts w:ascii="Cambria Math" w:hAnsi="Cambria Math" w:eastAsia="宋体" w:cs="Courier New"/>
      <w:kern w:val="0"/>
      <w:szCs w:val="24"/>
    </w:rPr>
  </w:style>
  <w:style w:type="paragraph" w:styleId="36">
    <w:name w:val="annotation subject"/>
    <w:basedOn w:val="18"/>
    <w:next w:val="18"/>
    <w:link w:val="84"/>
    <w:qFormat/>
    <w:uiPriority w:val="99"/>
    <w:rPr>
      <w:b/>
      <w:bCs/>
    </w:rPr>
  </w:style>
  <w:style w:type="table" w:styleId="38">
    <w:name w:val="Table Grid"/>
    <w:basedOn w:val="3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9">
    <w:name w:val="Table Theme"/>
    <w:basedOn w:val="37"/>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basedOn w:val="40"/>
    <w:qFormat/>
    <w:uiPriority w:val="22"/>
    <w:rPr>
      <w:b/>
    </w:rPr>
  </w:style>
  <w:style w:type="character" w:styleId="42">
    <w:name w:val="page number"/>
    <w:basedOn w:val="40"/>
    <w:qFormat/>
    <w:uiPriority w:val="0"/>
  </w:style>
  <w:style w:type="character" w:styleId="43">
    <w:name w:val="Hyperlink"/>
    <w:unhideWhenUsed/>
    <w:qFormat/>
    <w:uiPriority w:val="99"/>
    <w:rPr>
      <w:color w:val="0000FF"/>
      <w:u w:val="single"/>
    </w:rPr>
  </w:style>
  <w:style w:type="character" w:styleId="44">
    <w:name w:val="annotation reference"/>
    <w:qFormat/>
    <w:uiPriority w:val="99"/>
    <w:rPr>
      <w:sz w:val="21"/>
      <w:szCs w:val="21"/>
    </w:rPr>
  </w:style>
  <w:style w:type="paragraph" w:customStyle="1" w:styleId="45">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46">
    <w:name w:val="页眉 字符"/>
    <w:basedOn w:val="40"/>
    <w:link w:val="26"/>
    <w:qFormat/>
    <w:uiPriority w:val="0"/>
    <w:rPr>
      <w:sz w:val="18"/>
      <w:szCs w:val="18"/>
    </w:rPr>
  </w:style>
  <w:style w:type="character" w:customStyle="1" w:styleId="47">
    <w:name w:val="页脚 字符"/>
    <w:basedOn w:val="40"/>
    <w:link w:val="25"/>
    <w:qFormat/>
    <w:uiPriority w:val="99"/>
    <w:rPr>
      <w:sz w:val="18"/>
      <w:szCs w:val="18"/>
    </w:rPr>
  </w:style>
  <w:style w:type="paragraph" w:styleId="48">
    <w:name w:val="No Spacing"/>
    <w:link w:val="49"/>
    <w:qFormat/>
    <w:uiPriority w:val="99"/>
    <w:pPr>
      <w:widowControl w:val="0"/>
      <w:jc w:val="center"/>
    </w:pPr>
    <w:rPr>
      <w:rFonts w:ascii="Times New Roman" w:hAnsi="Times New Roman" w:eastAsia="宋体" w:cs="Times New Roman"/>
      <w:kern w:val="2"/>
      <w:sz w:val="21"/>
      <w:szCs w:val="22"/>
      <w:lang w:val="en-US" w:eastAsia="zh-CN" w:bidi="ar-SA"/>
    </w:rPr>
  </w:style>
  <w:style w:type="character" w:customStyle="1" w:styleId="49">
    <w:name w:val="无间隔 字符"/>
    <w:link w:val="48"/>
    <w:qFormat/>
    <w:uiPriority w:val="99"/>
    <w:rPr>
      <w:rFonts w:ascii="Times New Roman" w:hAnsi="Times New Roman" w:eastAsia="宋体" w:cs="Times New Roman"/>
    </w:rPr>
  </w:style>
  <w:style w:type="paragraph" w:customStyle="1" w:styleId="50">
    <w:name w:val="_Style 3"/>
    <w:qFormat/>
    <w:uiPriority w:val="1"/>
    <w:pPr>
      <w:widowControl w:val="0"/>
      <w:jc w:val="center"/>
    </w:pPr>
    <w:rPr>
      <w:rFonts w:ascii="Calibri" w:hAnsi="Calibri" w:eastAsia="仿宋" w:cs="Times New Roman"/>
      <w:kern w:val="2"/>
      <w:sz w:val="21"/>
      <w:szCs w:val="22"/>
      <w:lang w:val="en-US" w:eastAsia="zh-CN" w:bidi="ar-SA"/>
    </w:rPr>
  </w:style>
  <w:style w:type="paragraph" w:customStyle="1" w:styleId="51">
    <w:name w:val="正文魏"/>
    <w:basedOn w:val="1"/>
    <w:qFormat/>
    <w:uiPriority w:val="0"/>
    <w:pPr>
      <w:spacing w:line="360" w:lineRule="auto"/>
      <w:ind w:firstLine="200" w:firstLineChars="200"/>
    </w:pPr>
    <w:rPr>
      <w:rFonts w:ascii="等线" w:hAnsi="等线" w:eastAsia="宋体" w:cs="Times New Roman"/>
      <w:szCs w:val="24"/>
    </w:rPr>
  </w:style>
  <w:style w:type="character" w:customStyle="1" w:styleId="52">
    <w:name w:val="批注框文本 字符"/>
    <w:basedOn w:val="40"/>
    <w:link w:val="24"/>
    <w:qFormat/>
    <w:uiPriority w:val="99"/>
    <w:rPr>
      <w:sz w:val="18"/>
      <w:szCs w:val="18"/>
    </w:rPr>
  </w:style>
  <w:style w:type="character" w:customStyle="1" w:styleId="53">
    <w:name w:val="标题 1 字符"/>
    <w:basedOn w:val="40"/>
    <w:link w:val="4"/>
    <w:qFormat/>
    <w:uiPriority w:val="9"/>
    <w:rPr>
      <w:b/>
      <w:bCs/>
      <w:kern w:val="44"/>
      <w:sz w:val="32"/>
      <w:szCs w:val="44"/>
    </w:rPr>
  </w:style>
  <w:style w:type="character" w:customStyle="1" w:styleId="54">
    <w:name w:val="标题 2 字符"/>
    <w:basedOn w:val="40"/>
    <w:link w:val="5"/>
    <w:qFormat/>
    <w:uiPriority w:val="9"/>
    <w:rPr>
      <w:rFonts w:asciiTheme="majorHAnsi" w:hAnsiTheme="majorHAnsi" w:eastAsiaTheme="majorEastAsia" w:cstheme="majorBidi"/>
      <w:b/>
      <w:bCs/>
      <w:sz w:val="30"/>
      <w:szCs w:val="32"/>
    </w:rPr>
  </w:style>
  <w:style w:type="character" w:customStyle="1" w:styleId="55">
    <w:name w:val="标题 3 字符"/>
    <w:basedOn w:val="40"/>
    <w:link w:val="6"/>
    <w:qFormat/>
    <w:uiPriority w:val="9"/>
    <w:rPr>
      <w:b/>
      <w:bCs/>
      <w:sz w:val="28"/>
      <w:szCs w:val="32"/>
    </w:rPr>
  </w:style>
  <w:style w:type="paragraph" w:customStyle="1" w:styleId="56">
    <w:name w:val="图表名"/>
    <w:basedOn w:val="1"/>
    <w:next w:val="1"/>
    <w:qFormat/>
    <w:uiPriority w:val="0"/>
    <w:pPr>
      <w:spacing w:before="50" w:beforeLines="50" w:after="50" w:afterLines="50" w:line="360" w:lineRule="auto"/>
      <w:jc w:val="center"/>
    </w:pPr>
    <w:rPr>
      <w:b/>
      <w:szCs w:val="28"/>
    </w:rPr>
  </w:style>
  <w:style w:type="paragraph" w:customStyle="1" w:styleId="57">
    <w:name w:val="p0"/>
    <w:basedOn w:val="1"/>
    <w:qFormat/>
    <w:uiPriority w:val="0"/>
    <w:pPr>
      <w:widowControl/>
      <w:snapToGrid w:val="0"/>
    </w:pPr>
    <w:rPr>
      <w:rFonts w:ascii="等线" w:hAnsi="等线" w:eastAsia="宋体" w:cs="Courier New"/>
      <w:kern w:val="0"/>
      <w:sz w:val="28"/>
      <w:szCs w:val="28"/>
    </w:rPr>
  </w:style>
  <w:style w:type="character" w:customStyle="1" w:styleId="58">
    <w:name w:val="正文文本 字符"/>
    <w:basedOn w:val="40"/>
    <w:link w:val="2"/>
    <w:qFormat/>
    <w:uiPriority w:val="0"/>
    <w:rPr>
      <w:rFonts w:ascii="宋体" w:hAnsi="Times New Roman" w:eastAsia="宋体" w:cs="Times New Roman"/>
      <w:sz w:val="18"/>
      <w:szCs w:val="20"/>
    </w:rPr>
  </w:style>
  <w:style w:type="character" w:customStyle="1" w:styleId="59">
    <w:name w:val="font31"/>
    <w:basedOn w:val="40"/>
    <w:qFormat/>
    <w:uiPriority w:val="0"/>
    <w:rPr>
      <w:rFonts w:ascii="Times New Roman" w:hAnsi="Times New Roman" w:cs="Times New Roman"/>
      <w:color w:val="000000"/>
      <w:sz w:val="20"/>
      <w:szCs w:val="20"/>
      <w:u w:val="none"/>
      <w:lang w:bidi="ar-SA"/>
    </w:rPr>
  </w:style>
  <w:style w:type="character" w:customStyle="1" w:styleId="60">
    <w:name w:val="font11"/>
    <w:basedOn w:val="40"/>
    <w:qFormat/>
    <w:uiPriority w:val="0"/>
    <w:rPr>
      <w:rFonts w:ascii="宋体" w:eastAsia="宋体" w:cs="宋体"/>
      <w:color w:val="000000"/>
      <w:sz w:val="20"/>
      <w:szCs w:val="20"/>
      <w:u w:val="none"/>
      <w:lang w:bidi="ar-SA"/>
    </w:rPr>
  </w:style>
  <w:style w:type="character" w:customStyle="1" w:styleId="61">
    <w:name w:val="font41"/>
    <w:basedOn w:val="40"/>
    <w:qFormat/>
    <w:uiPriority w:val="0"/>
    <w:rPr>
      <w:rFonts w:ascii="宋体" w:eastAsia="宋体" w:cs="宋体"/>
      <w:color w:val="000000"/>
      <w:sz w:val="20"/>
      <w:szCs w:val="20"/>
      <w:u w:val="none"/>
      <w:lang w:bidi="ar-SA"/>
    </w:rPr>
  </w:style>
  <w:style w:type="character" w:styleId="62">
    <w:name w:val="Placeholder Text"/>
    <w:basedOn w:val="40"/>
    <w:qFormat/>
    <w:uiPriority w:val="99"/>
    <w:rPr>
      <w:color w:val="808080"/>
    </w:rPr>
  </w:style>
  <w:style w:type="character" w:customStyle="1" w:styleId="63">
    <w:name w:val="标题 4 字符"/>
    <w:basedOn w:val="40"/>
    <w:link w:val="7"/>
    <w:qFormat/>
    <w:uiPriority w:val="9"/>
    <w:rPr>
      <w:rFonts w:asciiTheme="majorHAnsi" w:hAnsiTheme="majorHAnsi" w:eastAsiaTheme="majorEastAsia" w:cstheme="majorBidi"/>
      <w:b/>
      <w:bCs/>
      <w:sz w:val="24"/>
      <w:szCs w:val="28"/>
    </w:rPr>
  </w:style>
  <w:style w:type="character" w:customStyle="1" w:styleId="64">
    <w:name w:val="纯文本 字符"/>
    <w:basedOn w:val="40"/>
    <w:link w:val="21"/>
    <w:qFormat/>
    <w:uiPriority w:val="0"/>
    <w:rPr>
      <w:rFonts w:ascii="宋体" w:hAnsi="Courier New" w:eastAsia="宋体" w:cs="Courier New"/>
      <w:szCs w:val="21"/>
    </w:rPr>
  </w:style>
  <w:style w:type="character" w:customStyle="1" w:styleId="65">
    <w:name w:val="正文首行缩进 字符"/>
    <w:basedOn w:val="58"/>
    <w:link w:val="15"/>
    <w:qFormat/>
    <w:uiPriority w:val="99"/>
    <w:rPr>
      <w:rFonts w:ascii="宋体" w:hAnsi="Times New Roman" w:eastAsia="宋体" w:cs="Times New Roman"/>
      <w:sz w:val="24"/>
      <w:szCs w:val="20"/>
    </w:rPr>
  </w:style>
  <w:style w:type="character" w:customStyle="1" w:styleId="66">
    <w:name w:val="标题 5 字符"/>
    <w:basedOn w:val="40"/>
    <w:link w:val="8"/>
    <w:qFormat/>
    <w:uiPriority w:val="9"/>
    <w:rPr>
      <w:b/>
      <w:bCs/>
      <w:sz w:val="24"/>
      <w:szCs w:val="28"/>
    </w:rPr>
  </w:style>
  <w:style w:type="character" w:customStyle="1" w:styleId="67">
    <w:name w:val="标题 6 字符"/>
    <w:basedOn w:val="40"/>
    <w:link w:val="9"/>
    <w:qFormat/>
    <w:uiPriority w:val="9"/>
    <w:rPr>
      <w:rFonts w:asciiTheme="majorHAnsi" w:hAnsiTheme="majorHAnsi" w:eastAsiaTheme="majorEastAsia" w:cstheme="majorBidi"/>
      <w:b/>
      <w:bCs/>
      <w:sz w:val="24"/>
      <w:szCs w:val="24"/>
    </w:rPr>
  </w:style>
  <w:style w:type="paragraph" w:customStyle="1" w:styleId="68">
    <w:name w:val="表"/>
    <w:basedOn w:val="1"/>
    <w:link w:val="69"/>
    <w:qFormat/>
    <w:uiPriority w:val="1"/>
    <w:pPr>
      <w:jc w:val="center"/>
    </w:pPr>
    <w:rPr>
      <w:rFonts w:ascii="Times New Roman" w:hAnsi="Times New Roman" w:eastAsia="Times New Roman" w:cs="Times New Roman"/>
      <w:sz w:val="21"/>
    </w:rPr>
  </w:style>
  <w:style w:type="character" w:customStyle="1" w:styleId="69">
    <w:name w:val="表 Char"/>
    <w:link w:val="68"/>
    <w:qFormat/>
    <w:uiPriority w:val="1"/>
    <w:rPr>
      <w:rFonts w:ascii="Times New Roman" w:hAnsi="Times New Roman" w:eastAsia="Times New Roman" w:cs="Times New Roman"/>
    </w:rPr>
  </w:style>
  <w:style w:type="paragraph" w:customStyle="1" w:styleId="70">
    <w:name w:val="标题2"/>
    <w:basedOn w:val="1"/>
    <w:next w:val="1"/>
    <w:qFormat/>
    <w:uiPriority w:val="0"/>
    <w:pPr>
      <w:spacing w:line="360" w:lineRule="auto"/>
      <w:jc w:val="left"/>
      <w:outlineLvl w:val="1"/>
    </w:pPr>
    <w:rPr>
      <w:rFonts w:ascii="Times New Roman" w:hAnsi="Times New Roman" w:eastAsia="宋体" w:cs="Times New Roman"/>
      <w:b/>
      <w:snapToGrid w:val="0"/>
      <w:sz w:val="30"/>
      <w:szCs w:val="24"/>
    </w:rPr>
  </w:style>
  <w:style w:type="paragraph" w:customStyle="1" w:styleId="71">
    <w:name w:val="标题3"/>
    <w:basedOn w:val="1"/>
    <w:next w:val="1"/>
    <w:qFormat/>
    <w:uiPriority w:val="0"/>
    <w:pPr>
      <w:spacing w:line="360" w:lineRule="auto"/>
      <w:outlineLvl w:val="2"/>
    </w:pPr>
    <w:rPr>
      <w:rFonts w:ascii="Times New Roman" w:hAnsi="Times New Roman" w:eastAsia="宋体" w:cs="Times New Roman"/>
      <w:b/>
      <w:szCs w:val="24"/>
    </w:rPr>
  </w:style>
  <w:style w:type="paragraph" w:customStyle="1" w:styleId="72">
    <w:name w:val="标题4"/>
    <w:basedOn w:val="1"/>
    <w:next w:val="1"/>
    <w:qFormat/>
    <w:uiPriority w:val="0"/>
    <w:pPr>
      <w:spacing w:line="360" w:lineRule="auto"/>
      <w:jc w:val="left"/>
    </w:pPr>
    <w:rPr>
      <w:rFonts w:ascii="Times New Roman" w:hAnsi="Times New Roman" w:eastAsia="宋体" w:cs="Times New Roman"/>
      <w:b/>
      <w:szCs w:val="24"/>
    </w:rPr>
  </w:style>
  <w:style w:type="paragraph" w:customStyle="1" w:styleId="73">
    <w:name w:val="标题5"/>
    <w:basedOn w:val="1"/>
    <w:next w:val="1"/>
    <w:qFormat/>
    <w:uiPriority w:val="0"/>
    <w:pPr>
      <w:spacing w:line="360" w:lineRule="auto"/>
      <w:jc w:val="center"/>
    </w:pPr>
    <w:rPr>
      <w:rFonts w:ascii="Times New Roman" w:hAnsi="Times New Roman" w:eastAsia="宋体" w:cs="Times New Roman"/>
      <w:b/>
      <w:sz w:val="21"/>
      <w:szCs w:val="24"/>
    </w:rPr>
  </w:style>
  <w:style w:type="paragraph" w:customStyle="1" w:styleId="74">
    <w:name w:val="正文1"/>
    <w:basedOn w:val="1"/>
    <w:next w:val="1"/>
    <w:qFormat/>
    <w:uiPriority w:val="0"/>
    <w:pPr>
      <w:adjustRightInd w:val="0"/>
      <w:snapToGrid w:val="0"/>
      <w:spacing w:line="500" w:lineRule="atLeast"/>
      <w:ind w:firstLine="567"/>
    </w:pPr>
    <w:rPr>
      <w:rFonts w:ascii="Times New Roman" w:hAnsi="Times New Roman" w:eastAsia="宋体" w:cs="Times New Roman"/>
      <w:sz w:val="28"/>
      <w:szCs w:val="20"/>
    </w:rPr>
  </w:style>
  <w:style w:type="paragraph" w:customStyle="1" w:styleId="75">
    <w:name w:val="zwb-正文"/>
    <w:basedOn w:val="1"/>
    <w:qFormat/>
    <w:uiPriority w:val="0"/>
    <w:pPr>
      <w:spacing w:line="360" w:lineRule="auto"/>
      <w:ind w:firstLine="480" w:firstLineChars="200"/>
    </w:pPr>
    <w:rPr>
      <w:rFonts w:ascii="Times New Roman" w:hAnsi="Times New Roman" w:eastAsia="宋体" w:cs="Times New Roman"/>
      <w:szCs w:val="24"/>
    </w:rPr>
  </w:style>
  <w:style w:type="paragraph" w:customStyle="1" w:styleId="76">
    <w:name w:val="正文2"/>
    <w:basedOn w:val="1"/>
    <w:qFormat/>
    <w:uiPriority w:val="0"/>
    <w:pPr>
      <w:spacing w:line="500" w:lineRule="exact"/>
      <w:ind w:firstLine="480" w:firstLineChars="200"/>
    </w:pPr>
    <w:rPr>
      <w:rFonts w:ascii="Times New Roman" w:hAnsi="Times New Roman" w:eastAsia="宋体" w:cs="Times New Roman"/>
      <w:szCs w:val="20"/>
    </w:rPr>
  </w:style>
  <w:style w:type="character" w:customStyle="1" w:styleId="77">
    <w:name w:val="正文缩进 字符"/>
    <w:link w:val="12"/>
    <w:qFormat/>
    <w:uiPriority w:val="0"/>
    <w:rPr>
      <w:rFonts w:ascii="Times New Roman" w:hAnsi="Times New Roman" w:eastAsia="黑体" w:cs="Times New Roman"/>
      <w:sz w:val="24"/>
      <w:szCs w:val="21"/>
    </w:rPr>
  </w:style>
  <w:style w:type="character" w:customStyle="1" w:styleId="78">
    <w:name w:val="表格 Char"/>
    <w:link w:val="79"/>
    <w:qFormat/>
    <w:locked/>
    <w:uiPriority w:val="0"/>
  </w:style>
  <w:style w:type="paragraph" w:customStyle="1" w:styleId="79">
    <w:name w:val="表格"/>
    <w:basedOn w:val="29"/>
    <w:next w:val="1"/>
    <w:link w:val="78"/>
    <w:qFormat/>
    <w:uiPriority w:val="0"/>
    <w:pPr>
      <w:adjustRightInd w:val="0"/>
      <w:snapToGrid w:val="0"/>
      <w:spacing w:before="10" w:beforeLines="10" w:after="10" w:afterLines="10" w:line="200" w:lineRule="exact"/>
      <w:jc w:val="center"/>
    </w:pPr>
    <w:rPr>
      <w:sz w:val="21"/>
    </w:rPr>
  </w:style>
  <w:style w:type="character" w:customStyle="1" w:styleId="80">
    <w:name w:val="表格文字 Char"/>
    <w:link w:val="81"/>
    <w:qFormat/>
    <w:uiPriority w:val="0"/>
  </w:style>
  <w:style w:type="paragraph" w:customStyle="1" w:styleId="81">
    <w:name w:val="表格文字"/>
    <w:basedOn w:val="1"/>
    <w:link w:val="80"/>
    <w:qFormat/>
    <w:uiPriority w:val="0"/>
    <w:pPr>
      <w:adjustRightInd w:val="0"/>
      <w:snapToGrid w:val="0"/>
      <w:jc w:val="center"/>
      <w:textAlignment w:val="center"/>
    </w:pPr>
    <w:rPr>
      <w:sz w:val="21"/>
    </w:rPr>
  </w:style>
  <w:style w:type="paragraph" w:customStyle="1" w:styleId="82">
    <w:name w:val="李表格"/>
    <w:basedOn w:val="1"/>
    <w:qFormat/>
    <w:uiPriority w:val="0"/>
    <w:pPr>
      <w:jc w:val="center"/>
    </w:pPr>
    <w:rPr>
      <w:rFonts w:ascii="Times New Roman" w:hAnsi="Times New Roman" w:eastAsia="宋体" w:cs="Times New Roman"/>
      <w:sz w:val="21"/>
      <w:szCs w:val="24"/>
    </w:rPr>
  </w:style>
  <w:style w:type="character" w:customStyle="1" w:styleId="83">
    <w:name w:val="批注文字 字符"/>
    <w:basedOn w:val="40"/>
    <w:link w:val="18"/>
    <w:qFormat/>
    <w:uiPriority w:val="99"/>
    <w:rPr>
      <w:rFonts w:ascii="Times New Roman" w:hAnsi="Times New Roman" w:eastAsia="宋体" w:cs="Times New Roman"/>
      <w:szCs w:val="24"/>
    </w:rPr>
  </w:style>
  <w:style w:type="character" w:customStyle="1" w:styleId="84">
    <w:name w:val="批注主题 字符"/>
    <w:basedOn w:val="83"/>
    <w:link w:val="36"/>
    <w:qFormat/>
    <w:uiPriority w:val="99"/>
    <w:rPr>
      <w:rFonts w:ascii="Times New Roman" w:hAnsi="Times New Roman" w:eastAsia="宋体" w:cs="Times New Roman"/>
      <w:b/>
      <w:bCs/>
      <w:szCs w:val="24"/>
    </w:rPr>
  </w:style>
  <w:style w:type="paragraph" w:customStyle="1" w:styleId="85">
    <w:name w:val="lh-表格文字-报告书"/>
    <w:link w:val="86"/>
    <w:qFormat/>
    <w:uiPriority w:val="0"/>
    <w:pPr>
      <w:adjustRightInd w:val="0"/>
      <w:snapToGrid w:val="0"/>
      <w:jc w:val="center"/>
    </w:pPr>
    <w:rPr>
      <w:rFonts w:ascii="Times New Roman" w:hAnsi="Times New Roman" w:eastAsia="宋体" w:cs="Times New Roman"/>
      <w:snapToGrid w:val="0"/>
      <w:sz w:val="21"/>
      <w:szCs w:val="24"/>
      <w:lang w:val="en-US" w:eastAsia="zh-CN" w:bidi="ar-SA"/>
    </w:rPr>
  </w:style>
  <w:style w:type="character" w:customStyle="1" w:styleId="86">
    <w:name w:val="lh-表格文字-报告书 Char"/>
    <w:link w:val="85"/>
    <w:qFormat/>
    <w:uiPriority w:val="0"/>
    <w:rPr>
      <w:rFonts w:ascii="Times New Roman" w:hAnsi="Times New Roman" w:eastAsia="宋体" w:cs="Times New Roman"/>
      <w:snapToGrid w:val="0"/>
      <w:kern w:val="0"/>
      <w:szCs w:val="24"/>
    </w:rPr>
  </w:style>
  <w:style w:type="character" w:customStyle="1" w:styleId="87">
    <w:name w:val="页脚 字符1"/>
    <w:qFormat/>
    <w:locked/>
    <w:uiPriority w:val="99"/>
    <w:rPr>
      <w:sz w:val="18"/>
    </w:rPr>
  </w:style>
  <w:style w:type="character" w:customStyle="1" w:styleId="88">
    <w:name w:val="普通(网站) 字符"/>
    <w:link w:val="35"/>
    <w:qFormat/>
    <w:locked/>
    <w:uiPriority w:val="0"/>
    <w:rPr>
      <w:rFonts w:ascii="Cambria Math" w:hAnsi="Cambria Math" w:eastAsia="宋体" w:cs="Courier New"/>
      <w:kern w:val="0"/>
      <w:sz w:val="24"/>
      <w:szCs w:val="24"/>
    </w:rPr>
  </w:style>
  <w:style w:type="paragraph" w:customStyle="1" w:styleId="89">
    <w:name w:val="表文字"/>
    <w:basedOn w:val="1"/>
    <w:link w:val="90"/>
    <w:qFormat/>
    <w:uiPriority w:val="0"/>
    <w:pPr>
      <w:adjustRightInd w:val="0"/>
      <w:snapToGrid w:val="0"/>
      <w:spacing w:line="360" w:lineRule="auto"/>
      <w:jc w:val="center"/>
    </w:pPr>
    <w:rPr>
      <w:rFonts w:ascii="Times New Roman" w:hAnsi="Times New Roman" w:eastAsia="宋体" w:cs="Times New Roman"/>
      <w:kern w:val="10"/>
      <w:szCs w:val="20"/>
    </w:rPr>
  </w:style>
  <w:style w:type="character" w:customStyle="1" w:styleId="90">
    <w:name w:val="表文字 Char"/>
    <w:link w:val="89"/>
    <w:qFormat/>
    <w:uiPriority w:val="0"/>
    <w:rPr>
      <w:rFonts w:ascii="Times New Roman" w:hAnsi="Times New Roman" w:eastAsia="宋体" w:cs="Times New Roman"/>
      <w:kern w:val="10"/>
      <w:sz w:val="24"/>
      <w:szCs w:val="20"/>
    </w:rPr>
  </w:style>
  <w:style w:type="character" w:customStyle="1" w:styleId="91">
    <w:name w:val="标题 7 字符"/>
    <w:basedOn w:val="40"/>
    <w:link w:val="10"/>
    <w:semiHidden/>
    <w:qFormat/>
    <w:uiPriority w:val="9"/>
    <w:rPr>
      <w:b/>
      <w:bCs/>
      <w:sz w:val="24"/>
      <w:szCs w:val="24"/>
    </w:rPr>
  </w:style>
  <w:style w:type="paragraph" w:customStyle="1" w:styleId="92">
    <w:name w:val="7表格文字"/>
    <w:basedOn w:val="1"/>
    <w:link w:val="93"/>
    <w:qFormat/>
    <w:uiPriority w:val="0"/>
    <w:pPr>
      <w:jc w:val="center"/>
    </w:pPr>
    <w:rPr>
      <w:rFonts w:ascii="Times New Roman" w:hAnsi="Times New Roman" w:eastAsia="宋体" w:cs="Times New Roman"/>
      <w:sz w:val="21"/>
      <w:szCs w:val="24"/>
    </w:rPr>
  </w:style>
  <w:style w:type="character" w:customStyle="1" w:styleId="93">
    <w:name w:val="7表格文字 Char"/>
    <w:link w:val="92"/>
    <w:qFormat/>
    <w:uiPriority w:val="0"/>
    <w:rPr>
      <w:rFonts w:ascii="Times New Roman" w:hAnsi="Times New Roman" w:eastAsia="宋体" w:cs="Times New Roman"/>
      <w:szCs w:val="24"/>
    </w:rPr>
  </w:style>
  <w:style w:type="character" w:customStyle="1" w:styleId="94">
    <w:name w:val="正文文本缩进 字符"/>
    <w:basedOn w:val="40"/>
    <w:link w:val="14"/>
    <w:qFormat/>
    <w:uiPriority w:val="99"/>
    <w:rPr>
      <w:rFonts w:ascii="Calibri" w:hAnsi="Calibri" w:eastAsia="宋体" w:cs="Arial"/>
      <w:sz w:val="24"/>
    </w:rPr>
  </w:style>
  <w:style w:type="character" w:customStyle="1" w:styleId="95">
    <w:name w:val="日期 字符"/>
    <w:basedOn w:val="40"/>
    <w:link w:val="23"/>
    <w:qFormat/>
    <w:uiPriority w:val="99"/>
    <w:rPr>
      <w:rFonts w:ascii="Calibri" w:hAnsi="Calibri" w:eastAsia="宋体" w:cs="Arial"/>
      <w:sz w:val="24"/>
    </w:rPr>
  </w:style>
  <w:style w:type="character" w:customStyle="1" w:styleId="96">
    <w:name w:val="正文文本 2 字符"/>
    <w:basedOn w:val="40"/>
    <w:link w:val="34"/>
    <w:qFormat/>
    <w:uiPriority w:val="99"/>
    <w:rPr>
      <w:rFonts w:ascii="Calibri" w:hAnsi="Calibri" w:eastAsia="宋体" w:cs="Arial"/>
      <w:sz w:val="24"/>
    </w:rPr>
  </w:style>
  <w:style w:type="character" w:customStyle="1" w:styleId="97">
    <w:name w:val="正文首行缩进 2 字符"/>
    <w:basedOn w:val="94"/>
    <w:link w:val="13"/>
    <w:qFormat/>
    <w:uiPriority w:val="0"/>
    <w:rPr>
      <w:rFonts w:ascii="Calibri" w:hAnsi="Calibri" w:eastAsia="宋体" w:cs="Arial"/>
      <w:sz w:val="24"/>
      <w:szCs w:val="24"/>
    </w:rPr>
  </w:style>
  <w:style w:type="character" w:customStyle="1" w:styleId="98">
    <w:name w:val="apple-converted-space"/>
    <w:qFormat/>
    <w:uiPriority w:val="0"/>
  </w:style>
  <w:style w:type="paragraph" w:styleId="99">
    <w:name w:val="Intense Quote"/>
    <w:basedOn w:val="1"/>
    <w:next w:val="1"/>
    <w:link w:val="100"/>
    <w:qFormat/>
    <w:uiPriority w:val="0"/>
    <w:pPr>
      <w:jc w:val="center"/>
    </w:pPr>
    <w:rPr>
      <w:rFonts w:ascii="Times New Roman" w:hAnsi="Times New Roman" w:eastAsia="宋体" w:cs="Times New Roman"/>
      <w:bCs/>
      <w:iCs/>
      <w:kern w:val="0"/>
      <w:sz w:val="21"/>
      <w:lang w:eastAsia="en-US"/>
    </w:rPr>
  </w:style>
  <w:style w:type="character" w:customStyle="1" w:styleId="100">
    <w:name w:val="明显引用 字符"/>
    <w:basedOn w:val="40"/>
    <w:link w:val="99"/>
    <w:qFormat/>
    <w:uiPriority w:val="0"/>
    <w:rPr>
      <w:rFonts w:ascii="Times New Roman" w:hAnsi="Times New Roman" w:eastAsia="宋体" w:cs="Times New Roman"/>
      <w:bCs/>
      <w:iCs/>
      <w:kern w:val="0"/>
      <w:lang w:eastAsia="en-US"/>
    </w:rPr>
  </w:style>
  <w:style w:type="paragraph" w:customStyle="1" w:styleId="101">
    <w:name w:val="正 文"/>
    <w:basedOn w:val="1"/>
    <w:qFormat/>
    <w:uiPriority w:val="0"/>
    <w:pPr>
      <w:spacing w:line="360" w:lineRule="auto"/>
      <w:ind w:firstLine="562" w:firstLineChars="200"/>
    </w:pPr>
    <w:rPr>
      <w:rFonts w:ascii="Arial" w:hAnsi="Arial" w:eastAsia="Times New Roman" w:cs="Times New Roman"/>
      <w:szCs w:val="24"/>
    </w:rPr>
  </w:style>
  <w:style w:type="character" w:customStyle="1" w:styleId="102">
    <w:name w:val="纯文本 Char"/>
    <w:semiHidden/>
    <w:qFormat/>
    <w:uiPriority w:val="99"/>
    <w:rPr>
      <w:rFonts w:ascii="宋体" w:hAnsi="Courier New" w:cs="Courier New"/>
      <w:kern w:val="2"/>
      <w:sz w:val="21"/>
      <w:szCs w:val="21"/>
    </w:rPr>
  </w:style>
  <w:style w:type="paragraph" w:customStyle="1" w:styleId="103">
    <w:name w:val="段落1"/>
    <w:basedOn w:val="1"/>
    <w:qFormat/>
    <w:uiPriority w:val="0"/>
    <w:pPr>
      <w:adjustRightInd w:val="0"/>
      <w:snapToGrid w:val="0"/>
      <w:spacing w:line="450" w:lineRule="exact"/>
      <w:ind w:firstLine="560" w:firstLineChars="200"/>
    </w:pPr>
    <w:rPr>
      <w:rFonts w:ascii="Times New Roman" w:hAnsi="Times New Roman" w:eastAsia="仿宋_GB2312" w:cs="Times New Roman"/>
      <w:szCs w:val="24"/>
    </w:rPr>
  </w:style>
  <w:style w:type="paragraph" w:customStyle="1" w:styleId="104">
    <w:name w:val="XZW"/>
    <w:basedOn w:val="1"/>
    <w:qFormat/>
    <w:uiPriority w:val="0"/>
    <w:pPr>
      <w:adjustRightInd w:val="0"/>
      <w:snapToGrid w:val="0"/>
      <w:spacing w:line="360" w:lineRule="auto"/>
      <w:ind w:firstLine="200" w:firstLineChars="200"/>
    </w:pPr>
    <w:rPr>
      <w:rFonts w:ascii="Times New Roman" w:hAnsi="Times New Roman" w:eastAsia="仿宋_GB2312" w:cs="Times New Roman"/>
      <w:kern w:val="0"/>
      <w:sz w:val="28"/>
      <w:szCs w:val="24"/>
    </w:rPr>
  </w:style>
  <w:style w:type="character" w:customStyle="1" w:styleId="105">
    <w:name w:val="表格内容 Char"/>
    <w:link w:val="106"/>
    <w:qFormat/>
    <w:uiPriority w:val="0"/>
    <w:rPr>
      <w:rFonts w:ascii="Arial" w:hAnsi="Arial" w:eastAsia="仿宋_GB2312"/>
      <w:sz w:val="24"/>
    </w:rPr>
  </w:style>
  <w:style w:type="paragraph" w:customStyle="1" w:styleId="106">
    <w:name w:val="表格内容"/>
    <w:basedOn w:val="1"/>
    <w:link w:val="105"/>
    <w:qFormat/>
    <w:uiPriority w:val="0"/>
    <w:pPr>
      <w:overflowPunct w:val="0"/>
      <w:adjustRightInd w:val="0"/>
      <w:spacing w:before="40" w:after="60" w:line="200" w:lineRule="atLeast"/>
      <w:textAlignment w:val="baseline"/>
    </w:pPr>
    <w:rPr>
      <w:rFonts w:ascii="Arial" w:hAnsi="Arial" w:eastAsia="仿宋_GB2312"/>
    </w:rPr>
  </w:style>
  <w:style w:type="character" w:customStyle="1" w:styleId="107">
    <w:name w:val="正文文本 Char1"/>
    <w:semiHidden/>
    <w:qFormat/>
    <w:uiPriority w:val="0"/>
    <w:rPr>
      <w:rFonts w:ascii="Calibri" w:hAnsi="Calibri" w:cs="Arial"/>
      <w:kern w:val="2"/>
      <w:sz w:val="24"/>
      <w:szCs w:val="22"/>
    </w:rPr>
  </w:style>
  <w:style w:type="paragraph" w:customStyle="1" w:styleId="108">
    <w:name w:val="列出段落1"/>
    <w:basedOn w:val="1"/>
    <w:qFormat/>
    <w:uiPriority w:val="0"/>
    <w:pPr>
      <w:adjustRightInd w:val="0"/>
      <w:snapToGrid w:val="0"/>
      <w:spacing w:line="360" w:lineRule="auto"/>
      <w:ind w:firstLine="420" w:firstLineChars="200"/>
    </w:pPr>
    <w:rPr>
      <w:rFonts w:ascii="Times New Roman" w:hAnsi="Times New Roman" w:eastAsia="宋体" w:cs="Times New Roman"/>
    </w:rPr>
  </w:style>
  <w:style w:type="paragraph" w:customStyle="1" w:styleId="109">
    <w:name w:val="0-表内/图"/>
    <w:basedOn w:val="1"/>
    <w:link w:val="110"/>
    <w:qFormat/>
    <w:uiPriority w:val="0"/>
    <w:pPr>
      <w:adjustRightInd w:val="0"/>
      <w:snapToGrid w:val="0"/>
      <w:jc w:val="center"/>
    </w:pPr>
    <w:rPr>
      <w:rFonts w:ascii="Times New Roman" w:hAnsi="Times New Roman" w:eastAsia="宋体" w:cs="Times New Roman"/>
      <w:sz w:val="21"/>
      <w:szCs w:val="24"/>
    </w:rPr>
  </w:style>
  <w:style w:type="character" w:customStyle="1" w:styleId="110">
    <w:name w:val="0-表内/图 字符"/>
    <w:link w:val="109"/>
    <w:qFormat/>
    <w:uiPriority w:val="0"/>
    <w:rPr>
      <w:rFonts w:ascii="Times New Roman" w:hAnsi="Times New Roman" w:eastAsia="宋体" w:cs="Times New Roman"/>
      <w:szCs w:val="24"/>
    </w:rPr>
  </w:style>
  <w:style w:type="paragraph" w:customStyle="1" w:styleId="111">
    <w:name w:val="0-表/图名"/>
    <w:basedOn w:val="109"/>
    <w:link w:val="112"/>
    <w:qFormat/>
    <w:uiPriority w:val="0"/>
    <w:rPr>
      <w:rFonts w:eastAsia="黑体"/>
      <w:sz w:val="24"/>
    </w:rPr>
  </w:style>
  <w:style w:type="character" w:customStyle="1" w:styleId="112">
    <w:name w:val="0-表/图名 字符"/>
    <w:link w:val="111"/>
    <w:qFormat/>
    <w:uiPriority w:val="0"/>
    <w:rPr>
      <w:rFonts w:ascii="Times New Roman" w:hAnsi="Times New Roman" w:eastAsia="黑体" w:cs="Times New Roman"/>
      <w:sz w:val="24"/>
      <w:szCs w:val="24"/>
    </w:rPr>
  </w:style>
  <w:style w:type="paragraph" w:customStyle="1" w:styleId="113">
    <w:name w:val="标准表内文字"/>
    <w:basedOn w:val="1"/>
    <w:qFormat/>
    <w:uiPriority w:val="0"/>
    <w:pPr>
      <w:adjustRightInd w:val="0"/>
      <w:snapToGrid w:val="0"/>
      <w:jc w:val="center"/>
    </w:pPr>
    <w:rPr>
      <w:rFonts w:ascii="Times New Roman" w:hAnsi="Times New Roman" w:eastAsia="宋体" w:cs="Times New Roman"/>
      <w:bCs/>
      <w:color w:val="000000"/>
      <w:kern w:val="18"/>
      <w:sz w:val="21"/>
      <w:szCs w:val="20"/>
    </w:rPr>
  </w:style>
  <w:style w:type="paragraph" w:customStyle="1" w:styleId="114">
    <w:name w:val="【表格】"/>
    <w:next w:val="15"/>
    <w:qFormat/>
    <w:uiPriority w:val="0"/>
    <w:pPr>
      <w:adjustRightInd w:val="0"/>
      <w:snapToGrid w:val="0"/>
      <w:jc w:val="center"/>
    </w:pPr>
    <w:rPr>
      <w:rFonts w:ascii="Times New Roman" w:hAnsi="Times New Roman" w:eastAsia="宋体" w:cs="Times New Roman"/>
      <w:kern w:val="2"/>
      <w:sz w:val="21"/>
      <w:szCs w:val="24"/>
      <w:lang w:val="en-US" w:eastAsia="zh-CN" w:bidi="ar-SA"/>
    </w:rPr>
  </w:style>
  <w:style w:type="paragraph" w:customStyle="1" w:styleId="115">
    <w:name w:val="报告正文"/>
    <w:basedOn w:val="1"/>
    <w:qFormat/>
    <w:uiPriority w:val="0"/>
    <w:pPr>
      <w:adjustRightInd w:val="0"/>
      <w:snapToGrid w:val="0"/>
      <w:ind w:firstLine="200" w:firstLineChars="200"/>
    </w:pPr>
    <w:rPr>
      <w:rFonts w:ascii="宋体" w:hAnsi="宋体" w:eastAsia="宋体" w:cs="Arial"/>
      <w:szCs w:val="20"/>
    </w:rPr>
  </w:style>
  <w:style w:type="paragraph" w:customStyle="1" w:styleId="116">
    <w:name w:val="引言二级条标题"/>
    <w:basedOn w:val="117"/>
    <w:next w:val="1"/>
    <w:qFormat/>
    <w:uiPriority w:val="0"/>
    <w:pPr>
      <w:numPr>
        <w:ilvl w:val="1"/>
        <w:numId w:val="1"/>
      </w:numPr>
      <w:tabs>
        <w:tab w:val="left" w:pos="360"/>
        <w:tab w:val="left" w:pos="720"/>
        <w:tab w:val="left" w:pos="1021"/>
      </w:tabs>
    </w:pPr>
    <w:rPr>
      <w:sz w:val="21"/>
    </w:rPr>
  </w:style>
  <w:style w:type="paragraph" w:customStyle="1" w:styleId="117">
    <w:name w:val="引言一级条标题"/>
    <w:basedOn w:val="1"/>
    <w:next w:val="118"/>
    <w:qFormat/>
    <w:uiPriority w:val="0"/>
    <w:pPr>
      <w:numPr>
        <w:ilvl w:val="0"/>
        <w:numId w:val="2"/>
      </w:numPr>
      <w:tabs>
        <w:tab w:val="left" w:pos="1021"/>
      </w:tabs>
    </w:pPr>
    <w:rPr>
      <w:rFonts w:ascii="Calibri" w:hAnsi="Calibri" w:eastAsia="黑体" w:cs="Arial"/>
      <w:b/>
    </w:rPr>
  </w:style>
  <w:style w:type="paragraph" w:customStyle="1" w:styleId="118">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119">
    <w:name w:val="font21"/>
    <w:qFormat/>
    <w:uiPriority w:val="0"/>
    <w:rPr>
      <w:rFonts w:hint="eastAsia" w:ascii="宋体" w:hAnsi="宋体" w:eastAsia="宋体" w:cs="宋体"/>
      <w:color w:val="000000"/>
      <w:sz w:val="21"/>
      <w:szCs w:val="21"/>
      <w:u w:val="none"/>
    </w:rPr>
  </w:style>
  <w:style w:type="character" w:customStyle="1" w:styleId="120">
    <w:name w:val="M表中字体 Char"/>
    <w:link w:val="121"/>
    <w:qFormat/>
    <w:locked/>
    <w:uiPriority w:val="0"/>
    <w:rPr>
      <w:rFonts w:ascii="Calibri" w:hAnsi="Calibri" w:cs="Calibri"/>
      <w:szCs w:val="21"/>
    </w:rPr>
  </w:style>
  <w:style w:type="paragraph" w:customStyle="1" w:styleId="121">
    <w:name w:val="M表中字体"/>
    <w:link w:val="120"/>
    <w:qFormat/>
    <w:uiPriority w:val="0"/>
    <w:pPr>
      <w:adjustRightInd w:val="0"/>
      <w:snapToGrid w:val="0"/>
      <w:jc w:val="center"/>
    </w:pPr>
    <w:rPr>
      <w:rFonts w:ascii="Calibri" w:hAnsi="Calibri" w:cs="Calibri" w:eastAsiaTheme="minorEastAsia"/>
      <w:kern w:val="2"/>
      <w:sz w:val="21"/>
      <w:szCs w:val="21"/>
      <w:lang w:val="en-US" w:eastAsia="zh-CN" w:bidi="ar-SA"/>
    </w:rPr>
  </w:style>
  <w:style w:type="paragraph" w:styleId="122">
    <w:name w:val="List Paragraph"/>
    <w:basedOn w:val="1"/>
    <w:qFormat/>
    <w:uiPriority w:val="99"/>
    <w:pPr>
      <w:ind w:firstLine="420" w:firstLineChars="200"/>
    </w:pPr>
    <w:rPr>
      <w:rFonts w:ascii="Calibri" w:hAnsi="Calibri" w:eastAsia="宋体" w:cs="Arial"/>
    </w:rPr>
  </w:style>
  <w:style w:type="character" w:customStyle="1" w:styleId="123">
    <w:name w:val="正文1 Char"/>
    <w:link w:val="124"/>
    <w:qFormat/>
    <w:uiPriority w:val="0"/>
    <w:rPr>
      <w:rFonts w:ascii="Times New Roman" w:hAnsi="Times New Roman" w:eastAsia="宋体"/>
      <w:sz w:val="24"/>
    </w:rPr>
  </w:style>
  <w:style w:type="paragraph" w:customStyle="1" w:styleId="124">
    <w:name w:val="正文1xw"/>
    <w:basedOn w:val="1"/>
    <w:next w:val="1"/>
    <w:link w:val="123"/>
    <w:qFormat/>
    <w:uiPriority w:val="0"/>
    <w:pPr>
      <w:spacing w:line="360" w:lineRule="auto"/>
      <w:ind w:firstLine="723" w:firstLineChars="200"/>
    </w:pPr>
    <w:rPr>
      <w:rFonts w:ascii="Times New Roman" w:hAnsi="Times New Roman" w:eastAsia="宋体"/>
    </w:rPr>
  </w:style>
  <w:style w:type="character" w:customStyle="1" w:styleId="125">
    <w:name w:val="表标题 Char"/>
    <w:link w:val="126"/>
    <w:qFormat/>
    <w:uiPriority w:val="0"/>
    <w:rPr>
      <w:rFonts w:ascii="Times New Roman" w:hAnsi="Times New Roman" w:eastAsia="宋体"/>
      <w:b/>
    </w:rPr>
  </w:style>
  <w:style w:type="paragraph" w:customStyle="1" w:styleId="126">
    <w:name w:val="表标题xw"/>
    <w:basedOn w:val="1"/>
    <w:link w:val="125"/>
    <w:qFormat/>
    <w:uiPriority w:val="0"/>
    <w:pPr>
      <w:jc w:val="center"/>
    </w:pPr>
    <w:rPr>
      <w:rFonts w:ascii="Times New Roman" w:hAnsi="Times New Roman" w:eastAsia="宋体"/>
      <w:b/>
      <w:sz w:val="21"/>
    </w:rPr>
  </w:style>
  <w:style w:type="paragraph" w:customStyle="1" w:styleId="127">
    <w:name w:val="表字体xw"/>
    <w:basedOn w:val="1"/>
    <w:next w:val="1"/>
    <w:qFormat/>
    <w:uiPriority w:val="0"/>
    <w:pPr>
      <w:jc w:val="center"/>
    </w:pPr>
    <w:rPr>
      <w:rFonts w:ascii="Times New Roman" w:hAnsi="Times New Roman" w:eastAsia="宋体" w:cs="Times New Roman"/>
      <w:sz w:val="21"/>
      <w:szCs w:val="21"/>
    </w:rPr>
  </w:style>
  <w:style w:type="character" w:customStyle="1" w:styleId="128">
    <w:name w:val="页眉 字符2"/>
    <w:qFormat/>
    <w:uiPriority w:val="99"/>
    <w:rPr>
      <w:rFonts w:ascii="Times New Roman" w:hAnsi="Times New Roman" w:eastAsia="宋体" w:cs="Times New Roman"/>
      <w:sz w:val="18"/>
      <w:szCs w:val="18"/>
    </w:rPr>
  </w:style>
  <w:style w:type="paragraph" w:customStyle="1" w:styleId="129">
    <w:name w:val="【表格文字】"/>
    <w:next w:val="1"/>
    <w:qFormat/>
    <w:uiPriority w:val="0"/>
    <w:pPr>
      <w:jc w:val="center"/>
    </w:pPr>
    <w:rPr>
      <w:rFonts w:ascii="Times New Roman" w:hAnsi="Times New Roman" w:eastAsia="宋体" w:cs="宋体"/>
      <w:sz w:val="21"/>
      <w:lang w:val="en-US" w:eastAsia="zh-CN" w:bidi="ar-SA"/>
    </w:rPr>
  </w:style>
  <w:style w:type="paragraph" w:customStyle="1" w:styleId="130">
    <w:name w:val="Default"/>
    <w:basedOn w:val="131"/>
    <w:next w:val="132"/>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31">
    <w:name w:val="纯文本1"/>
    <w:basedOn w:val="1"/>
    <w:next w:val="1"/>
    <w:semiHidden/>
    <w:qFormat/>
    <w:uiPriority w:val="0"/>
    <w:pPr>
      <w:adjustRightInd w:val="0"/>
      <w:ind w:firstLine="200"/>
      <w:textAlignment w:val="baseline"/>
    </w:pPr>
    <w:rPr>
      <w:rFonts w:ascii="宋体" w:hAnsi="Courier New"/>
      <w:szCs w:val="20"/>
    </w:rPr>
  </w:style>
  <w:style w:type="paragraph" w:customStyle="1" w:styleId="132">
    <w:name w:val="样式35"/>
    <w:basedOn w:val="133"/>
    <w:next w:val="134"/>
    <w:qFormat/>
    <w:uiPriority w:val="0"/>
    <w:pPr>
      <w:tabs>
        <w:tab w:val="left" w:pos="180"/>
      </w:tabs>
      <w:autoSpaceDE w:val="0"/>
      <w:autoSpaceDN w:val="0"/>
      <w:spacing w:line="312" w:lineRule="auto"/>
      <w:ind w:firstLine="567" w:firstLineChars="200"/>
    </w:pPr>
    <w:rPr>
      <w:rFonts w:hAnsi="宋体" w:cs="宋体"/>
      <w:sz w:val="28"/>
      <w:szCs w:val="22"/>
      <w:lang w:val="zh-CN" w:bidi="zh-CN"/>
    </w:rPr>
  </w:style>
  <w:style w:type="paragraph" w:customStyle="1" w:styleId="133">
    <w:name w:val="样式8"/>
    <w:basedOn w:val="31"/>
    <w:qFormat/>
    <w:uiPriority w:val="0"/>
    <w:pPr>
      <w:tabs>
        <w:tab w:val="left" w:pos="180"/>
      </w:tabs>
      <w:spacing w:line="600" w:lineRule="exact"/>
      <w:ind w:firstLine="0" w:firstLineChars="0"/>
      <w:jc w:val="center"/>
    </w:pPr>
    <w:rPr>
      <w:rFonts w:ascii="宋体"/>
      <w:b/>
    </w:rPr>
  </w:style>
  <w:style w:type="paragraph" w:customStyle="1" w:styleId="134">
    <w:name w:val="font6"/>
    <w:next w:val="32"/>
    <w:qFormat/>
    <w:uiPriority w:val="0"/>
    <w:pPr>
      <w:autoSpaceDE w:val="0"/>
      <w:autoSpaceDN w:val="0"/>
      <w:spacing w:before="100" w:beforeAutospacing="1" w:after="100" w:afterAutospacing="1"/>
    </w:pPr>
    <w:rPr>
      <w:rFonts w:hint="eastAsia" w:ascii="宋体" w:hAnsi="宋体" w:eastAsia="宋体" w:cs="宋体"/>
      <w:sz w:val="28"/>
      <w:szCs w:val="28"/>
      <w:lang w:val="zh-CN" w:eastAsia="zh-CN" w:bidi="zh-CN"/>
    </w:rPr>
  </w:style>
  <w:style w:type="character" w:customStyle="1" w:styleId="135">
    <w:name w:val="7表格文字 字符"/>
    <w:qFormat/>
    <w:uiPriority w:val="0"/>
    <w:rPr>
      <w:rFonts w:ascii="Times New Roman" w:hAnsi="Times New Roman" w:eastAsia="宋体" w:cs="Times New Roman"/>
      <w:szCs w:val="21"/>
    </w:rPr>
  </w:style>
  <w:style w:type="paragraph" w:customStyle="1" w:styleId="136">
    <w:name w:val="段落"/>
    <w:basedOn w:val="1"/>
    <w:autoRedefine/>
    <w:qFormat/>
    <w:uiPriority w:val="0"/>
    <w:pPr>
      <w:adjustRightInd w:val="0"/>
      <w:snapToGrid w:val="0"/>
      <w:jc w:val="center"/>
    </w:pPr>
    <w:rPr>
      <w:rFonts w:ascii="Times New Roman" w:hAnsi="Times New Roman" w:eastAsia="宋体" w:cs="Times New Roman"/>
      <w:szCs w:val="20"/>
    </w:rPr>
  </w:style>
  <w:style w:type="character" w:customStyle="1" w:styleId="137">
    <w:name w:val="文档结构图 字符"/>
    <w:basedOn w:val="40"/>
    <w:link w:val="17"/>
    <w:qFormat/>
    <w:uiPriority w:val="0"/>
    <w:rPr>
      <w:rFonts w:ascii="Times New Roman" w:hAnsi="Times New Roman" w:eastAsia="宋体" w:cs="Times New Roman"/>
      <w:sz w:val="24"/>
      <w:szCs w:val="24"/>
      <w:shd w:val="clear" w:color="auto" w:fill="000080"/>
    </w:rPr>
  </w:style>
  <w:style w:type="character" w:customStyle="1" w:styleId="138">
    <w:name w:val="mord"/>
    <w:basedOn w:val="40"/>
    <w:qFormat/>
    <w:uiPriority w:val="0"/>
  </w:style>
  <w:style w:type="character" w:customStyle="1" w:styleId="139">
    <w:name w:val="mbin"/>
    <w:basedOn w:val="40"/>
    <w:qFormat/>
    <w:uiPriority w:val="0"/>
  </w:style>
  <w:style w:type="character" w:customStyle="1" w:styleId="140">
    <w:name w:val="vlist-s"/>
    <w:basedOn w:val="40"/>
    <w:qFormat/>
    <w:uiPriority w:val="0"/>
  </w:style>
  <w:style w:type="character" w:customStyle="1" w:styleId="141">
    <w:name w:val="mpunct"/>
    <w:basedOn w:val="40"/>
    <w:qFormat/>
    <w:uiPriority w:val="0"/>
  </w:style>
  <w:style w:type="character" w:customStyle="1" w:styleId="142">
    <w:name w:val="mrel"/>
    <w:basedOn w:val="40"/>
    <w:qFormat/>
    <w:uiPriority w:val="0"/>
  </w:style>
  <w:style w:type="character" w:customStyle="1" w:styleId="143">
    <w:name w:val="mopen"/>
    <w:basedOn w:val="40"/>
    <w:qFormat/>
    <w:uiPriority w:val="0"/>
  </w:style>
  <w:style w:type="character" w:customStyle="1" w:styleId="144">
    <w:name w:val="mclose"/>
    <w:basedOn w:val="40"/>
    <w:qFormat/>
    <w:uiPriority w:val="0"/>
  </w:style>
  <w:style w:type="character" w:customStyle="1" w:styleId="145">
    <w:name w:val="font51"/>
    <w:basedOn w:val="40"/>
    <w:qFormat/>
    <w:uiPriority w:val="0"/>
    <w:rPr>
      <w:rFonts w:hint="eastAsia" w:ascii="宋体" w:hAnsi="宋体" w:eastAsia="宋体" w:cs="宋体"/>
      <w:color w:val="000000"/>
      <w:sz w:val="22"/>
      <w:szCs w:val="22"/>
      <w:u w:val="none"/>
    </w:rPr>
  </w:style>
  <w:style w:type="character" w:customStyle="1" w:styleId="146">
    <w:name w:val="font01"/>
    <w:basedOn w:val="40"/>
    <w:qFormat/>
    <w:uiPriority w:val="0"/>
    <w:rPr>
      <w:rFonts w:hint="eastAsia" w:ascii="宋体" w:hAnsi="宋体" w:eastAsia="宋体" w:cs="宋体"/>
      <w:color w:val="000000"/>
      <w:sz w:val="22"/>
      <w:szCs w:val="22"/>
      <w:u w:val="none"/>
    </w:rPr>
  </w:style>
  <w:style w:type="character" w:customStyle="1" w:styleId="147">
    <w:name w:val="font71"/>
    <w:basedOn w:val="40"/>
    <w:qFormat/>
    <w:uiPriority w:val="0"/>
    <w:rPr>
      <w:rFonts w:hint="default" w:ascii="Times New Roman" w:hAnsi="Times New Roman" w:cs="Times New Roman"/>
      <w:color w:val="000000"/>
      <w:sz w:val="22"/>
      <w:szCs w:val="22"/>
      <w:u w:val="none"/>
      <w:vertAlign w:val="superscript"/>
    </w:rPr>
  </w:style>
  <w:style w:type="paragraph" w:customStyle="1" w:styleId="148">
    <w:name w:val="表格-易恒1"/>
    <w:basedOn w:val="1"/>
    <w:qFormat/>
    <w:uiPriority w:val="0"/>
    <w:pPr>
      <w:jc w:val="center"/>
    </w:pPr>
    <w:rPr>
      <w:rFonts w:ascii="Times New Roman" w:hAnsi="Times New Roman" w:eastAsia="宋体"/>
      <w:szCs w:val="32"/>
    </w:rPr>
  </w:style>
  <w:style w:type="paragraph" w:customStyle="1" w:styleId="149">
    <w:name w:val="1正文"/>
    <w:qFormat/>
    <w:uiPriority w:val="0"/>
    <w:pPr>
      <w:snapToGrid w:val="0"/>
      <w:spacing w:line="360" w:lineRule="auto"/>
      <w:ind w:firstLine="200" w:firstLineChars="200"/>
      <w:jc w:val="both"/>
    </w:pPr>
    <w:rPr>
      <w:rFonts w:ascii="Calibri" w:hAnsi="Calibri" w:eastAsia="宋体" w:cs="Times New Roman"/>
      <w:kern w:val="2"/>
      <w:sz w:val="24"/>
      <w:szCs w:val="24"/>
      <w:lang w:val="en-US" w:eastAsia="zh-CN" w:bidi="ar-SA"/>
    </w:rPr>
  </w:style>
  <w:style w:type="paragraph" w:customStyle="1" w:styleId="150">
    <w:name w:val="环评正文文字"/>
    <w:basedOn w:val="1"/>
    <w:qFormat/>
    <w:uiPriority w:val="0"/>
    <w:pPr>
      <w:spacing w:line="360" w:lineRule="auto"/>
      <w:ind w:firstLine="480" w:firstLineChars="200"/>
    </w:pPr>
    <w:rPr>
      <w:kern w:val="0"/>
      <w:sz w:val="24"/>
      <w:szCs w:val="20"/>
    </w:rPr>
  </w:style>
  <w:style w:type="character" w:customStyle="1" w:styleId="151">
    <w:name w:val="font212"/>
    <w:basedOn w:val="40"/>
    <w:qFormat/>
    <w:uiPriority w:val="0"/>
    <w:rPr>
      <w:rFonts w:hint="eastAsia" w:ascii="黑体" w:hAnsi="宋体" w:eastAsia="黑体" w:cs="黑体"/>
      <w:b/>
      <w:bCs/>
      <w:color w:val="000000"/>
      <w:sz w:val="18"/>
      <w:szCs w:val="18"/>
      <w:u w:val="none"/>
    </w:rPr>
  </w:style>
  <w:style w:type="character" w:customStyle="1" w:styleId="152">
    <w:name w:val="font221"/>
    <w:basedOn w:val="40"/>
    <w:qFormat/>
    <w:uiPriority w:val="0"/>
    <w:rPr>
      <w:rFonts w:hint="eastAsia" w:ascii="黑体" w:hAnsi="宋体" w:eastAsia="黑体" w:cs="黑体"/>
      <w:b/>
      <w:bCs/>
      <w:color w:val="000000"/>
      <w:sz w:val="18"/>
      <w:szCs w:val="18"/>
      <w:u w:val="none"/>
      <w:vertAlign w:val="superscript"/>
    </w:rPr>
  </w:style>
  <w:style w:type="character" w:customStyle="1" w:styleId="153">
    <w:name w:val="font231"/>
    <w:basedOn w:val="40"/>
    <w:qFormat/>
    <w:uiPriority w:val="0"/>
    <w:rPr>
      <w:rFonts w:hint="eastAsia" w:ascii="黑体" w:hAnsi="宋体" w:eastAsia="黑体" w:cs="黑体"/>
      <w:b/>
      <w:bCs/>
      <w:color w:val="000000"/>
      <w:sz w:val="18"/>
      <w:szCs w:val="18"/>
      <w:u w:val="none"/>
    </w:rPr>
  </w:style>
  <w:style w:type="character" w:customStyle="1" w:styleId="154">
    <w:name w:val="font181"/>
    <w:basedOn w:val="40"/>
    <w:qFormat/>
    <w:uiPriority w:val="0"/>
    <w:rPr>
      <w:rFonts w:hint="default" w:ascii="Times New Roman" w:hAnsi="Times New Roman" w:cs="Times New Roman"/>
      <w:color w:val="000000"/>
      <w:sz w:val="18"/>
      <w:szCs w:val="18"/>
      <w:u w:val="none"/>
    </w:rPr>
  </w:style>
  <w:style w:type="character" w:customStyle="1" w:styleId="155">
    <w:name w:val="font241"/>
    <w:basedOn w:val="40"/>
    <w:qFormat/>
    <w:uiPriority w:val="0"/>
    <w:rPr>
      <w:rFonts w:hint="eastAsia" w:ascii="宋体" w:hAnsi="宋体" w:eastAsia="宋体" w:cs="宋体"/>
      <w:color w:val="000000"/>
      <w:sz w:val="18"/>
      <w:szCs w:val="18"/>
      <w:u w:val="none"/>
    </w:rPr>
  </w:style>
  <w:style w:type="character" w:customStyle="1" w:styleId="156">
    <w:name w:val="font81"/>
    <w:basedOn w:val="40"/>
    <w:qFormat/>
    <w:uiPriority w:val="0"/>
    <w:rPr>
      <w:rFonts w:ascii="黑体" w:hAnsi="宋体" w:eastAsia="黑体" w:cs="黑体"/>
      <w:color w:val="000000"/>
      <w:sz w:val="18"/>
      <w:szCs w:val="18"/>
      <w:u w:val="none"/>
    </w:rPr>
  </w:style>
  <w:style w:type="character" w:customStyle="1" w:styleId="157">
    <w:name w:val="font91"/>
    <w:basedOn w:val="40"/>
    <w:qFormat/>
    <w:uiPriority w:val="0"/>
    <w:rPr>
      <w:rFonts w:hint="eastAsia" w:ascii="黑体" w:hAnsi="宋体" w:eastAsia="黑体" w:cs="黑体"/>
      <w:color w:val="000000"/>
      <w:sz w:val="18"/>
      <w:szCs w:val="18"/>
      <w:u w:val="none"/>
    </w:rPr>
  </w:style>
  <w:style w:type="character" w:customStyle="1" w:styleId="158">
    <w:name w:val="font101"/>
    <w:basedOn w:val="40"/>
    <w:qFormat/>
    <w:uiPriority w:val="0"/>
    <w:rPr>
      <w:rFonts w:hint="default" w:ascii="Times New Roman" w:hAnsi="Times New Roman" w:cs="Times New Roman"/>
      <w:color w:val="000000"/>
      <w:sz w:val="18"/>
      <w:szCs w:val="18"/>
      <w:u w:val="none"/>
      <w:vertAlign w:val="superscript"/>
    </w:rPr>
  </w:style>
  <w:style w:type="character" w:customStyle="1" w:styleId="159">
    <w:name w:val="font61"/>
    <w:basedOn w:val="40"/>
    <w:qFormat/>
    <w:uiPriority w:val="0"/>
    <w:rPr>
      <w:rFonts w:hint="default" w:ascii="Times New Roman" w:hAnsi="Times New Roman" w:cs="Times New Roman"/>
      <w:color w:val="000000"/>
      <w:sz w:val="18"/>
      <w:szCs w:val="18"/>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7.png"/><Relationship Id="rId98" Type="http://schemas.openxmlformats.org/officeDocument/2006/relationships/image" Target="media/image66.png"/><Relationship Id="rId97" Type="http://schemas.openxmlformats.org/officeDocument/2006/relationships/image" Target="media/image65.png"/><Relationship Id="rId96" Type="http://schemas.openxmlformats.org/officeDocument/2006/relationships/image" Target="media/image64.png"/><Relationship Id="rId95" Type="http://schemas.openxmlformats.org/officeDocument/2006/relationships/image" Target="media/image63.png"/><Relationship Id="rId94" Type="http://schemas.openxmlformats.org/officeDocument/2006/relationships/image" Target="media/image62.png"/><Relationship Id="rId93" Type="http://schemas.openxmlformats.org/officeDocument/2006/relationships/image" Target="media/image61.png"/><Relationship Id="rId92" Type="http://schemas.openxmlformats.org/officeDocument/2006/relationships/image" Target="media/image60.png"/><Relationship Id="rId91" Type="http://schemas.openxmlformats.org/officeDocument/2006/relationships/image" Target="media/image59.png"/><Relationship Id="rId90" Type="http://schemas.openxmlformats.org/officeDocument/2006/relationships/image" Target="media/image58.png"/><Relationship Id="rId9" Type="http://schemas.openxmlformats.org/officeDocument/2006/relationships/header" Target="header3.xml"/><Relationship Id="rId89" Type="http://schemas.openxmlformats.org/officeDocument/2006/relationships/image" Target="media/image57.png"/><Relationship Id="rId88" Type="http://schemas.openxmlformats.org/officeDocument/2006/relationships/image" Target="media/image56.png"/><Relationship Id="rId87" Type="http://schemas.openxmlformats.org/officeDocument/2006/relationships/image" Target="media/image55.jpeg"/><Relationship Id="rId86" Type="http://schemas.openxmlformats.org/officeDocument/2006/relationships/image" Target="media/image54.jpeg"/><Relationship Id="rId85" Type="http://schemas.openxmlformats.org/officeDocument/2006/relationships/image" Target="media/image53.jpeg"/><Relationship Id="rId84" Type="http://schemas.openxmlformats.org/officeDocument/2006/relationships/image" Target="media/image52.jpeg"/><Relationship Id="rId83" Type="http://schemas.openxmlformats.org/officeDocument/2006/relationships/image" Target="media/image51.png"/><Relationship Id="rId82" Type="http://schemas.openxmlformats.org/officeDocument/2006/relationships/image" Target="media/image50.jpeg"/><Relationship Id="rId81" Type="http://schemas.openxmlformats.org/officeDocument/2006/relationships/image" Target="media/image49.jpeg"/><Relationship Id="rId80" Type="http://schemas.openxmlformats.org/officeDocument/2006/relationships/image" Target="media/image48.jpeg"/><Relationship Id="rId8" Type="http://schemas.openxmlformats.org/officeDocument/2006/relationships/header" Target="header2.xml"/><Relationship Id="rId79" Type="http://schemas.openxmlformats.org/officeDocument/2006/relationships/image" Target="media/image47.jpeg"/><Relationship Id="rId78" Type="http://schemas.openxmlformats.org/officeDocument/2006/relationships/image" Target="media/image46.png"/><Relationship Id="rId77" Type="http://schemas.openxmlformats.org/officeDocument/2006/relationships/image" Target="media/image45.jpeg"/><Relationship Id="rId76" Type="http://schemas.openxmlformats.org/officeDocument/2006/relationships/image" Target="media/image44.jpeg"/><Relationship Id="rId75" Type="http://schemas.openxmlformats.org/officeDocument/2006/relationships/image" Target="media/image43.jpeg"/><Relationship Id="rId74" Type="http://schemas.openxmlformats.org/officeDocument/2006/relationships/image" Target="media/image42.jpeg"/><Relationship Id="rId73" Type="http://schemas.openxmlformats.org/officeDocument/2006/relationships/oleObject" Target="embeddings/oleObject14.bin"/><Relationship Id="rId72" Type="http://schemas.openxmlformats.org/officeDocument/2006/relationships/image" Target="media/image41.png"/><Relationship Id="rId71" Type="http://schemas.openxmlformats.org/officeDocument/2006/relationships/image" Target="media/image40.svg"/><Relationship Id="rId70" Type="http://schemas.openxmlformats.org/officeDocument/2006/relationships/image" Target="media/image39.png"/><Relationship Id="rId7" Type="http://schemas.openxmlformats.org/officeDocument/2006/relationships/header" Target="header1.xml"/><Relationship Id="rId69" Type="http://schemas.openxmlformats.org/officeDocument/2006/relationships/image" Target="media/image38.emf"/><Relationship Id="rId68" Type="http://schemas.openxmlformats.org/officeDocument/2006/relationships/oleObject" Target="embeddings/oleObject13.bin"/><Relationship Id="rId67" Type="http://schemas.openxmlformats.org/officeDocument/2006/relationships/image" Target="media/image37.emf"/><Relationship Id="rId66" Type="http://schemas.openxmlformats.org/officeDocument/2006/relationships/oleObject" Target="embeddings/oleObject12.bin"/><Relationship Id="rId65" Type="http://schemas.openxmlformats.org/officeDocument/2006/relationships/image" Target="media/image36.emf"/><Relationship Id="rId64" Type="http://schemas.openxmlformats.org/officeDocument/2006/relationships/oleObject" Target="embeddings/oleObject11.bin"/><Relationship Id="rId63" Type="http://schemas.openxmlformats.org/officeDocument/2006/relationships/image" Target="media/image35.emf"/><Relationship Id="rId62" Type="http://schemas.openxmlformats.org/officeDocument/2006/relationships/oleObject" Target="embeddings/oleObject10.bin"/><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footer" Target="foot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jpeg"/><Relationship Id="rId51" Type="http://schemas.openxmlformats.org/officeDocument/2006/relationships/image" Target="media/image24.jpeg"/><Relationship Id="rId50" Type="http://schemas.openxmlformats.org/officeDocument/2006/relationships/image" Target="media/image23.png"/><Relationship Id="rId5" Type="http://schemas.openxmlformats.org/officeDocument/2006/relationships/footer" Target="footer1.xml"/><Relationship Id="rId49" Type="http://schemas.openxmlformats.org/officeDocument/2006/relationships/image" Target="media/image22.png"/><Relationship Id="rId48" Type="http://schemas.openxmlformats.org/officeDocument/2006/relationships/oleObject" Target="embeddings/oleObject9.bin"/><Relationship Id="rId47" Type="http://schemas.openxmlformats.org/officeDocument/2006/relationships/image" Target="media/image21.jpeg"/><Relationship Id="rId46" Type="http://schemas.openxmlformats.org/officeDocument/2006/relationships/image" Target="media/image20.wmf"/><Relationship Id="rId45" Type="http://schemas.openxmlformats.org/officeDocument/2006/relationships/oleObject" Target="embeddings/oleObject8.bin"/><Relationship Id="rId44" Type="http://schemas.openxmlformats.org/officeDocument/2006/relationships/image" Target="media/image19.wmf"/><Relationship Id="rId43" Type="http://schemas.openxmlformats.org/officeDocument/2006/relationships/oleObject" Target="embeddings/oleObject7.bin"/><Relationship Id="rId42" Type="http://schemas.openxmlformats.org/officeDocument/2006/relationships/image" Target="media/image18.wmf"/><Relationship Id="rId41" Type="http://schemas.openxmlformats.org/officeDocument/2006/relationships/oleObject" Target="embeddings/oleObject6.bin"/><Relationship Id="rId40" Type="http://schemas.openxmlformats.org/officeDocument/2006/relationships/image" Target="media/image17.wmf"/><Relationship Id="rId4" Type="http://schemas.microsoft.com/office/2011/relationships/commentsExtended" Target="commentsExtended.xml"/><Relationship Id="rId39" Type="http://schemas.openxmlformats.org/officeDocument/2006/relationships/oleObject" Target="embeddings/oleObject5.bin"/><Relationship Id="rId38" Type="http://schemas.openxmlformats.org/officeDocument/2006/relationships/image" Target="media/image16.wmf"/><Relationship Id="rId37" Type="http://schemas.openxmlformats.org/officeDocument/2006/relationships/oleObject" Target="embeddings/oleObject4.bin"/><Relationship Id="rId36" Type="http://schemas.openxmlformats.org/officeDocument/2006/relationships/image" Target="media/image15.wmf"/><Relationship Id="rId35" Type="http://schemas.openxmlformats.org/officeDocument/2006/relationships/oleObject" Target="embeddings/oleObject3.bin"/><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comments" Target="comments.xml"/><Relationship Id="rId29" Type="http://schemas.openxmlformats.org/officeDocument/2006/relationships/image" Target="media/image9.wmf"/><Relationship Id="rId28" Type="http://schemas.openxmlformats.org/officeDocument/2006/relationships/oleObject" Target="embeddings/oleObject2.bin"/><Relationship Id="rId27" Type="http://schemas.openxmlformats.org/officeDocument/2006/relationships/image" Target="media/image8.wmf"/><Relationship Id="rId26" Type="http://schemas.openxmlformats.org/officeDocument/2006/relationships/image" Target="media/image7.emf"/><Relationship Id="rId25" Type="http://schemas.openxmlformats.org/officeDocument/2006/relationships/oleObject" Target="embeddings/oleObject1.bin"/><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jpe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header" Target="header5.xml"/><Relationship Id="rId127" Type="http://schemas.microsoft.com/office/2011/relationships/people" Target="people.xml"/><Relationship Id="rId126" Type="http://schemas.openxmlformats.org/officeDocument/2006/relationships/fontTable" Target="fontTable.xml"/><Relationship Id="rId125" Type="http://schemas.openxmlformats.org/officeDocument/2006/relationships/customXml" Target="../customXml/item2.xml"/><Relationship Id="rId124" Type="http://schemas.openxmlformats.org/officeDocument/2006/relationships/numbering" Target="numbering.xml"/><Relationship Id="rId123" Type="http://schemas.openxmlformats.org/officeDocument/2006/relationships/customXml" Target="../customXml/item1.xml"/><Relationship Id="rId122" Type="http://schemas.openxmlformats.org/officeDocument/2006/relationships/image" Target="media/image90.png"/><Relationship Id="rId121" Type="http://schemas.openxmlformats.org/officeDocument/2006/relationships/image" Target="media/image89.png"/><Relationship Id="rId120" Type="http://schemas.openxmlformats.org/officeDocument/2006/relationships/image" Target="media/image88.png"/><Relationship Id="rId12" Type="http://schemas.openxmlformats.org/officeDocument/2006/relationships/header" Target="header4.xml"/><Relationship Id="rId119" Type="http://schemas.openxmlformats.org/officeDocument/2006/relationships/image" Target="media/image87.png"/><Relationship Id="rId118" Type="http://schemas.openxmlformats.org/officeDocument/2006/relationships/image" Target="media/image86.png"/><Relationship Id="rId117" Type="http://schemas.openxmlformats.org/officeDocument/2006/relationships/image" Target="media/image85.png"/><Relationship Id="rId116" Type="http://schemas.openxmlformats.org/officeDocument/2006/relationships/image" Target="media/image84.png"/><Relationship Id="rId115" Type="http://schemas.openxmlformats.org/officeDocument/2006/relationships/image" Target="media/image83.png"/><Relationship Id="rId114" Type="http://schemas.openxmlformats.org/officeDocument/2006/relationships/image" Target="media/image82.png"/><Relationship Id="rId113" Type="http://schemas.openxmlformats.org/officeDocument/2006/relationships/image" Target="media/image81.png"/><Relationship Id="rId112" Type="http://schemas.openxmlformats.org/officeDocument/2006/relationships/image" Target="media/image80.png"/><Relationship Id="rId111" Type="http://schemas.openxmlformats.org/officeDocument/2006/relationships/image" Target="media/image79.png"/><Relationship Id="rId110" Type="http://schemas.openxmlformats.org/officeDocument/2006/relationships/image" Target="media/image78.png"/><Relationship Id="rId11" Type="http://schemas.openxmlformats.org/officeDocument/2006/relationships/footer" Target="footer4.xml"/><Relationship Id="rId109" Type="http://schemas.openxmlformats.org/officeDocument/2006/relationships/image" Target="media/image77.png"/><Relationship Id="rId108" Type="http://schemas.openxmlformats.org/officeDocument/2006/relationships/image" Target="media/image76.png"/><Relationship Id="rId107" Type="http://schemas.openxmlformats.org/officeDocument/2006/relationships/image" Target="media/image75.png"/><Relationship Id="rId106" Type="http://schemas.openxmlformats.org/officeDocument/2006/relationships/image" Target="media/image74.png"/><Relationship Id="rId105" Type="http://schemas.openxmlformats.org/officeDocument/2006/relationships/image" Target="media/image73.png"/><Relationship Id="rId104" Type="http://schemas.openxmlformats.org/officeDocument/2006/relationships/image" Target="media/image72.png"/><Relationship Id="rId103" Type="http://schemas.openxmlformats.org/officeDocument/2006/relationships/image" Target="media/image71.png"/><Relationship Id="rId102" Type="http://schemas.openxmlformats.org/officeDocument/2006/relationships/image" Target="media/image70.png"/><Relationship Id="rId101" Type="http://schemas.openxmlformats.org/officeDocument/2006/relationships/image" Target="media/image69.png"/><Relationship Id="rId100" Type="http://schemas.openxmlformats.org/officeDocument/2006/relationships/image" Target="media/image68.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kxNjAxMDQyODkwIiwKCSJHcm91cElkIiA6ICI5NjIxMzYzNCIsCgkiSW1hZ2UiIDogImlWQk9SdzBLR2dvQUFBQU5TVWhFVWdBQUFpc0FBQUVzQ0FZQUFBQUNRL01OQUFBQUFYTlNSMElBcnM0YzZRQUFJQUJKUkVGVWVKenQzWGw4RTlYNlAvRFBtVW5idEZBb0JRRUZCSytzcGJTWkthQ0FDQ2lDWC9XaWdpRG9WVnhBRkJkVUZKWHJ3cUlvS0lyczRuWkZmcUNJTzR1eUNJaFN2ZEJNMmdJRlJRVXNtMkFwUy9ka3p1K1BwcmxkMGxMYXBnbnA1LzE2OFNyTStreDVNbmxtNXB3ekFC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VVFVKZndmZ0w3cXVEd1J3aDVTeWx4Q2lHUUNubFBJb2dCUXA1YWNPaDJPcEwvZXZhZHJWQU1ZS0lYb0F1QUNBRThCQktlVXF3ekRHK1dLZk1URXh6YTFXNjJFQWtGSytheGpHcVBLVzFYVTlVMHBwTVF5anZpOWlvZk9mcG1rTGhSQmpBT1FDNkdLMzIvZDZXMDdYOVVjQnZHR2E1cE1PaCtPMTJvK1U2T3lZejRGTjhYY0F0YTFqeDQ2TmRWMy9Gc0EzQUc1M0YyemJBZXdFRUNtRUdDeUVXT1RMR0RSTm15YUVXQytFR0N5bFBDT2wvRUZLK1FlQUZnQnU5ZVcraTdsSDA3UXJhMmxmRk55c0FON3lkeEJFTllUNUhJQXMvZzZnTmlVa0pEU1VVdjRBb0tPVWNnT0E4WVpoSkJkZlJ0ZjFUZ0JHK2lxR3VMaTR5NFFRejBncFR3Z2hialFNWTB2UnZBNGRPa1RXcTFmdkZsL3R1NGlVTWgzQVJVS0l0OXEyYld2YnUzZHZucS8zU1VIdEFJQ3JiRGJiU0lmRDhZRy9neUdxSnVaekFLcFRkMWFrbEcrNUM1VmxobUVNTEYyb0FJRGRiazh6RE9OcFg4V2dxbW8vOTE4L3ROdnRXNHJQMjdObnoybTczZjYrci9aZFJBaHhFTUIvQUhSczBLREJNNzdlSHdVM0tlVnJVc284UlZGbUppUWtOUEYzUEVUVndYd09USFdtV09uU3BVc1hLZVV3QUVjVVJSa0Z3T1duVUxMY1AvMzJJWkJTcXZuNStVOUtLZitTVWo2VGtKRFEwVit4MFBsUFN2azdnQmNCTkRaTmM2YS80eUdxRHVaellLb3p4VXBJU01nUUlZUXdUZlBkcEtTa2JEK0c4cFdVTWgvQWNFM1RIdkhILzRFUVF1emN1VE1Ed0tOQ2lGRFROTitxeTQydHFYb1VSUkdLb2t3SHNFTUljYWU3OFRqUmVZbjVISmpxVExFaXBkVGRmMDMwWnh5R1lld0hNQnFBVXdqeHBxWnBkcHZOZHFPZllsa21wVndqaExqU1pyUGQ2NDhZS0Rna0pTVVZBQmd0cFRRQkxHelRwbzNWM3pFUlZSWHpPZkRVbVdLbDZMR0xvaWgvbDU2aGFacEQxM1ZaNnM4TnZnckVNSXpGTHBjclFVcTVYZ2dScnlqS0Y1cW1iWXVQaisvdXEzMVc0QUVwWlpZUVlrWnNiR3d6UCt5ZmdvVGRidjlKQ0xGQUNORTJPanI2T1gvSFExUWR6T2ZBVXBlS2xXd0FNRTB6c3ZRTUljU1BBTDRGOEsyN3A0elBwYVNrN0RBTTR4b0FWMG9wTndraHVxcXErcU9tYVhmV3h2NkxHSWF4WHdqeG5CQ2lVVWhJeUt6YTNEY0ZuNnlzckdmY242RW40K0xpWXYwZEQxRjFNSjhEUjEwcVZ2YWhzRENKS3ozRGJyYy9hTGZicjdYYjdkZTZpNVphWTdmYnR4aUcwVTlLT2RMZG5HU2h6V1pyVThzeHpKWlNiaGRDRE5kMS9kcmEzRGNGbHoxNzlwd0c4Q0NBRUZWVkY3RXRGSjNQbU0rQm95NFZLK3RSV0EzYzd1OUF2REVNWTdHVThnTUE0VUtJZjlieTdsMVN5dEh1VVh3WEpDUWtSTGlmMVJLZE04TXd2cEpTZmlxRTZLRnAydjNNSlRxZk1aOERRNTBwVnZMeThqNEQ4R2RoRXhYdGNYL0hVNDRUN3A4TmEzdkhEb2ZEWVpybTYwS0lObExLU1FBS2Fqc0dDaDZLb2p3TTRLUVE0bVgzNnlTSXpsdk1aLytyTThYS3JsMjc4cVdVOXdCd0NTRm02cm8rS3k0dXJtbnhaVHAzN2h3TjRHSmZ4cUhyK21NMm0yMVVRa0pDUktucG5ZcnUrcmhIMmExMXg0OGZud1RnZHdDUENTSEMvUkVEQllla3BLVERBSjV5Rjk1ai9SMFBVWFV3bi8ydnpoUXJLTHlkdDE1S09SakFhUURqVkZVOXJHbmFEazNUTm11YXRqTTBOUFN3RU9JYUFFNlh5NVZadEo2dTY1TjBYWCsxSm41ZlVzcG1pcUs4YlpwbWhxWnAyM1JkLzFiVE5JZVVjaWVBNWxMSzl4d094eVlBYU51MmJaaXU2NS9ydWw0cjd3dEtUMC9QTVUzemZ2ZHJHTW8wUkNZNkYzYTdmUkdBTFVLSWFIL0hRbFJkekdmL3FsUEZDdjczL1BGU0tlVVVBSFloUkVzaFJFOGhSRE1oeEg4QlREWk5zMTF5Y3JMbjdvYVVzajZBSnpSTit6d3VMcTVlZGZZdmhIZ0h3SnRDaUYwQU9nSzRDa0J6QUd1a2xFTU53eWcrM2trWWdJWlN5bVdhcHRWSzF6bUh3N0ZPU3JtNE52WkZRVThLSWU2VFV2TGRVeFFNbU05K3hKYk5sV1N6MmNZSklkNFFRdnkzb0tEZy8xSlRVMDlVWXJWcWk0bUpDYlZhcllzQjNDcWxYR2dZeG9NQTJNQ0xpSWpxRE5YZkFad3ZqaHc1OG5QejVzMlBBUmdsaExBZk9YSmtWMjNzOTlpeFk2N0RodzkvM3J4NTgzWUFicjdvb290V0hENThPS00yOWsxRVJFVG5JVjNYTy9scDEycDhmSHg3UCsyYmlJaUlpSWlJaUlpSWlJaUlpSWlJaUlpSWlJaUlpSWlJaUlpSWlJaUlpSWlJaUlpSWlJaUlpSWlJaUlpSWlJaUlpSWlJaUlpSWdnVGZ1aHdBRWhJU0dqWnIxaXo4eUpFanVmNk9oYWk2bU04VVRKalBnVUh4ZHdBRXVGeXVvVUtJRWY2T2c2Z21NSjhwbURDZkF3T0xGZjlURkVVWkN1QU9BTUxmd1JCVkUvT1pnZ256T1VDd1dQRXpUZE02U2luYkEvaEhmSHg4TzMvSFExUWR6R2NLSnN6bndNRml4Zjk2QUxoQUNORkFDTkhEMzhFUVZSUHptWUlKOHpsQXNGanhvNWlZbUZBcFpYY0FFVkpLcTZJbzNWdTJiQm51NzdpSXFvTDVUTUdFK1J4WVdLejRrZFBwYkNDRTZDN2NBRndXSFIzZDJOOXhFVlVGODVtQ0NmTTVzTEJZOGFPd3NMQjJRb2pPQUNDbGhKU3lDNEQyL282THFDcVl6eFJNbU0rQmhjV0tINm1xT2hSQWlKUVNBQ0NFQ0xWWUxJUDhIUmRSVlRDZktaZ3dud01MaXhVL1NVaElDRkVVNWM2aUR3TCtWNzBQQjJEeGEzQkU1NGo1VE1HRStSeDRXS3o0aWRQcEhBaWd6UE5QSVVRem04MDIwRDlSRVZVTjg1bUNDZk01OExCWThSTkZVZjVWM2p3aHhGMjFHdzFSOVRDZktaZ3dud01QaXhVL2lJK1Bid0ZBSzM2THNZaDdXZzlOMHk3d1IyeEU1NHI1VE1HRStSeVlXS3o0Z2FJb1BRQjRrbDBJZ2NLZWNSNE5UZE84d2kvQkVaMGo1ak1GRStaellHS3hVdnRVQUFrQUdsYXdUSVNpS04zWmtJdk9BOHhuQ2liTTV3REZZcVdXMld5MlNBQTloUkFLM0ZWN2thSy9DeUVVSVVUMzJOaFlEa0JFQVkzNVRNR0UrUnk0V0t6VU1pSEVSVUlJcjg5RGk3aTd5Q1VJSVZyV2FuQkU1NGo1VE1HRStSeTRXS3pVTWlubDlRQWlLN0ZvQTFWVkI5UkNTRVJWeG55bVlNSjhEbHdzVm1xWElvVDRGN3czMmtMeDZlN1hVUXdEVUhZaG9zREFmS1pnd253T1lDeFdhbEZzYkt3dWhJZzdoMVhpdTNUcG92c3dKS0lxWXo1VE1HRStCemEyWnE1RkZvdGxyNVRTZGk3cnFLcTYzM2NSRVZVZDg1bUNDZk01c1BFV2x2OVoyclp0RzJHYXB2ajk5OSt6QURqOUhSQlJOVENmS1pnd253T0U2dThBNmpxYnpSWVhGaGIyZW5oNCtOQm16WnJ0UEhMa3lCRi94MFJVVmN4bkNpYk01OERCeDBEK0Z5V0U2Q21sdEFLSThuY3dSTlhFZktaZ3dud09FQ3hXL013MHpiMEFuaGRDV054L0p6cHZNWjhwbURDZmlZaUlpSWlJaUlqby9NZmVRSDdXcGswYmE0TUdEWnFZcGluT25EbHpiTisrZmJuK2pvbW9xcGpQRkV5WXo0R0RnOEw1V1ZSVTFPVVdpMlZiU0VoSVNsUlUxT1gram9lb09walBGRXlZejRHRHhRb1JFUkVSRVJFUkVSRVJFUkVSRVJFUjFUYjJCdkt6enAwN3R3ME5EYjBUZ0NVL1AvKzluVHQzY3VBaE9tOHhueW1ZTUo4REIwZXc5Yk9Ra0pDV1FvalJVa3ByU0VqSVdnRDhNTkI1aS9sTXdZVDVIRGhZclBpWmxQS1FhWnFMQVlSSUtRLzVPeDZpNm1BK1V6QmhQaE1SRVJFUkVSRVJFUkVSRVJINUZIc0QrWm5OWnV1cktNb3lLYVZWU25tencrSFk1TytZaUtxSytVekJoUGtjT0RqY1BoRVJFUVUwOWdieXMvejgvTzBoSVNIOXBaVEM2WFR1ODNjOFJOWEJmS1pnd253bUlpSWlJaUlpSXFMekh4dlkrbG1IRGgwdWlvaUk2RythcHBxYm0vdnRuajE3T1BBUW5iZVl6eFJNbU0rQmcyMVcvQ3c4UEx5OUVHSzZvaWpXOFBEd213SHd3MERuTGVZekJSUG1jK0FJeUdMbG9rdGpXNFdHV0M3MWR4eTFJYnZBYkdzTndTK0tFQ0haQldiYk5oMXQvZzZwVnVUbDVmMXgrSSswL2Y2T296WXduNE1mOHprNE1aOERSOEE5Qm1yVHh0WUdWdmsrQkRyNk81YmFJU0drVUFCQUNta0c0SCtKcnh4QWpyaDEzejVIVUxld1p6NHpuNE1KODVuNTdDK0JkMmZGaWpZUTZDZ2dta2VFaDBPMXFQNk9pR3FReStsQ1RtNHVUQ210c0tJTmdJRDVNUGdFOHptb01aK1p6OEVra1BNNThJb1Z0NGp3Y0R6K3lJT0k2ZFRCMzZGUURkcVZ0Z2R6Rml4QzVxbFQvZzZsVmpHZmd4UHptZmtjVEFJNW53TzJXRkV0S21JNmRjRGwzYnY2T3hTcVlTRWhJZjRPb2RZeG40TVg4NW1DU2FEbU00ZmJKeUlpb29ER1lvV0lpSWdDR29zVklpSWlDbWdzVm9pSWlDaWdzVmdoSWlLaWdNWmloWWlJaUFJYWl4VWlJaUlLYUN4V2lJaUlLS0N4V0NFaUlxS0F4bUtGaUlpSUFocUxGU0lpSWdwb0xGYUlpSWdvb0xGWUlTSWlvb0RHWW9XSWlJZ0NHb3NWSWlJaUNtZ3NWb2lJaUNpZ3NWZ2hJaUtpZ01aaWhZaUlpQUphblM5V01qTXprWldWNVhWZWJtNHU4dlB6SzF6Zk5FMmNPSEhDNjd5c3JDeWNPWE9tUnVJa3FtM0hqeDlIWGw2ZVQ3Yjk2Nisvd3VWeVZYbjl2THc4SEQ5K0hGTEtNdk5jTGhleXM3Tzl6aVB5TlNrbE1qTXprWjJkWGVsMU5tN2NpSmt6WjVhWXRtWExGaXhhdEFnNU9UaytpUEw4WS9GM0FMVXROemNYVnF2VjgrOTc3cmtIUFh2MnhCTlBQRkZtMmJGang2SlpzMlo0K2VXWHk5M2VybDI3TUhMa1NNeWFOUXU5ZS9jdU1XLzU4dVdZTzNjdVB2dnNNN1J1M2JxR2o2VHlUcHc0Z2QyN2QrUHc0Y01ZUEhnd2Z2enh4N01XWWExYnQ4WS8vdkdQV291UnFzYnBkR0xseXBXNDhjWWJJWVFvTWUvbm4zOHV0eUNJakl4RWx5NWR5dDJ1eStYQ3VISGprSnViaStYTGwwTlYxUnFMZWNlT0hiajc3cnR4MDAwMzRkLy8vbmVsMXBGU0lqOC9IMkZoWVFDQVRaczJZZUxFaWRpMGFSTWlJeU5MTEx0OSszYU1IVHNXbjM3NktkcTBhVk5qY2RQNXE3cm5RSmZMVmFiNEZVSjQvVnlzWHIwYXp6Ly9QTWFQSDQvYmJydXRVdkh0MnJVTHExYXR3dmp4NHozVHZ2enlTOWp0ZHR4Nzc3MlZQTXJnVnFlS2xmMzc5MlBVcUZHNDc3NzdNSFRvMEJyWjV0YXRXNkdxS2pSTkt6TnY3ZHExNk5TcFU2VUxsUTgvL0JDblRwMnFjaXpYWEhNTjJyZHZqNisvL2hxSmlZazRjdVFJRGg0OGlPUEhqd01BR2pac2lBRURCdUM1NTU3RDZkT255LzBDS2lnb3dNaVJJL0hJSTQ5VU9SYXFIZDk4OHcybVRwMkt0TFEwUFBQTU15WG1QZjc0NDhqTnpmVzZYbXhzTEQ3NDRJTnl0L3YrKys5ajkrN2RHRFJvRUw3Ly92dXp4bkV1eFcxc2JDejY5KytQeno3N0RGMjZkTUdnUVlQT3VzNk1HVE9RbXBxS1diTm1vVW1USnBYYUQ1MS9BdlVjT0hMa1NLU2xwWlZZcGtHREJ0aTRjV09KYWZuNStaZy9mejRVUmNISEgzK013WU1IbDdnNHJxeWNuQndrSmlaaXdJQUJOWHFoY0Q2clU4VktpeFl0Y05sbGwrR1ZWMTdCb1VPSE1HN2NPTSs4eE1SRTdOeTVzOFR5UjQ4ZVJWWldGdDU1NTUwUzArUGk0dEM5ZTNmQVhheTBiTm15eExxZE9uWENnUU1IOE1zdnYrQ1NTeTdCczg4K1cyRmNUenp4QktLaW92RFJSeC9oeUpFalZUNitTeTY1Qk8zYnQwZEJRUUdPSHorTzFxMWI0NWRmZnNHZ1FZTXdac3dZTkcvZTNMUHNIWGZjVVc0eGN0VlZWMVU1QnFwZE45eHdBK3gyTzFhc1dJSDY5ZXZqNFljZkxqRi82TkNodVBQT08wdE1tekpsU29XM2xoTVRFN0Z3NFVMQVhYQ3ZYYnUyM0dXZFRpZWNUaWZ1dXV1dUV2cytjT0FBa3BLU3lsMnZTNWN1MkxoeEkxSlNVc3E5KzNQUlJSZmhzc3N1QXdCY2UrMjFXTE5tRGU2ODgwN01uei9mczB4ZVhoNCsvdmpqRXV1bHA2Y0RBRmFzV0lHb3FLZ1M4KzY2Nnk1WUxIWHF0SGRlQ2RSejRJUUpFMG84MGwrNWNpVjI3ZHBWWnIwNWMrWWdJeU1EOCtmUHh4TlBQSUhaczJkandvUUpaWmJidUhFakhBNEhIbnZzTWEvN1g3OStQWEp6YzNrdUxxWk9mV290Rmd1bVRKa0NSVkdRbHBaVzRxb3pMUzBOMzM3N2JZbmxNek16Y2ViTW1UTFR3OExDMEwxN2Q1dzhlUkk3ZCs2RXhXTEI0NDgvRHJnZk15MWF0QWpMbGkxRC9mcjFjZkhGRjUvMTJhVnBtZ0NBVmF0V2xidk1sQ2xUOE9XWFgzcTk3VjNhNE1HRE1YandZTUQ5eGRPaVJZc1NIMUlLTGhNblRzUytmZnV3Y3VWSzNIYmJiV2pjdURIT25EbUQzTnhjdEduVEJoZGRkRkdKNWNQQ3dzb3RWbEpUVS9Ia2swL2k0b3N2eG9FREJ6QjgrUEF5QlZDUnhNUkVUSnc0RVNFaEliajU1cHRMekhNNEhIanh4UmZQR3Z2bm4zK096ei8vM091OFBuMzZlSXFWK1BoNExGaXdBQTgvL0REMjc5L3ZXU1kvUDcvTTU3UG8ySDc0NFFlRWhJU1VtUGV2Zi8yTHhVb0FDOVJ6WUZ4Y0hKWXVYWXJXclZ1alY2OWUyTEpsUzVsQ2VNdVdMVmk2ZENrZWVlUVJkT3ZXRFU4OTlSU2VlKzQ1dEcvZkhqZmRkRk9KWlZOVFUvSDExMStYVzZ4OCtlV1hnUHQ3YWUvZXZlWEdOV0RBQUxSbzBhTEt4M1UrcVhPZldrVlI4TUlMTCtEMDZkTjQvLzMzY2ZEZ1FjRGRkdVdlZSs0cHNldzk5OXhUWVp1VmRldldRVkVVckY2OUdvMGFOY0pYWDMyRlYxNTVCYVpwWXVQR2pSZzNicHpucW5iSmtpWDQ5Tk5QeXoweEUxV1Z4V0xCakJrellKb21HamR1RExpdnpBQ2djK2ZPWlpZWFFuaTltMkVZQmg1OTlGRzBhdFVLaXhZdHdwbzFhekI5K25TY1BuMGE0OGVQOTdRWEtTZ293QWNmZklDRkN4ZWlSWXNXbURObkRscTJiT2sxdGs4Ly9iVE12RFZyMWlBdUxxN0NrK3lRSVVQS1RPdlVxUk5Xcmx5SnRMUTB2UDMyMjRDNzdjMG5uM3hTWXJtZmYvNFpZOGVPeGF4WnM5aG1oV3JNUng5OWhGdHV1UVc5ZXZWQ1ptWW1HalpzNkptWG5KeU1aNTU1QmxkZWVhWG5uSC9kZGRkaHo1NDltRFp0R2tKQ1FuRDk5ZGRYYWorN2R1MkNZUml3V0N4bEh0VVdGQlRBNVhKNUhpM0Z4TVN3V0FsV1RxY1RuMzMyR1JZdFdvUlRwMDVCVWFyZUlXclpzbVhvMmJNbkdqVnFCTGlUdVgvLy9saTBhQkdpbzZNeGJOZ3d6N0s1dWJrNGVmSmtqUnpEMld6YnRzMXoxeWcvUHgvNzkrL0hsaTFiQUFEZHVuVURBR3pldkJtSER4LzJ1bjU1dmFNb2NCVnZ4N0Z2M3o3TW1UTUhYYnAwOGRxSXRtSERodGk2ZFN2ZWZQTk5OR2pRQUMxYXRNQ0ZGMTZJQng1NEFHM2J0c1djT1hNUUdSbnB5ZDgzM25nRGlZbUplUExKSjJHYUp0NTQ0dzJrcDZkandJQUJtRGh4WW9WWHVhcXFscmlUOGV1dnYyTHk1TW00NXBwcktteTQ3czN2di8rT2VmUG1ZZE9tVFFnUER6K25kYWx1OGNVNThPKy8vL2FjNjArZVBPbjV6RzNmdmgzang0L0hKWmRjZ3FsVHA1Wm82RDV1M0Roa1pHVGcrZWVmeDRFREJ6QjY5T2l6M3RrcktsQ0dEeDllNXM3TFF3ODloTk9uVDFmWTNpeFkxYWxpWmZYcTFaZy9mejRPSHo2TUhqMTZZUHo0OFNWYVh4ZGRSUmJadjM4L2poNDlXcUxOU1lNR0RUQmh3Z1FrSmlaaTM3NTl1T1dXVzdCMDZWTDA2TkVEQnc4ZXhJUUpFM0RvMEtFUzFXOXRtemx6SnY3ODgwOUlLWkdYbDRlMWE5Zml1KysrQTl4WHVuVCtPM1BtVElubjdaZGVlaW4rL2U5LzQ3dnZ2c09VS1ZNUUhoNk82ZE9uZTExM3hJZ1IyTEZqQno3NTVCTklLVEZnd0FBOCsreXp1TysrKzNEcnJiZWlYcjE2bm1XSERSdUdkdTNhNGFHSEh2S2NPQzBXQzE1NDRZVUtHOGIyN3QwYi8vblBmOUNzV2JNUzAyZlBubzJRa0pDek50NmVNV09HNS9OejlPaFJ6SjA3RjJ2V3JFSDkrdlV4ZnZ4NFJFVkY0Ym5ubmdQY1gweEZ0ODNoN25JTkFMTm16VUw5K3ZVOTAyKzY2U1owN2RxMXd2MVNjS2pwYzJCV1ZoWnljM005eFVwbVppYmF0bTJMNWN1WDQ3WFhYa1ByMXEzeDBrc3Z3ZWwwSWpNenM4UzZqejMyR0tTVWVPZWRkN0J6NTA3TW5UdTMzUDM4K3V1dm5ydWkzZ3FwNDhlUDQrS0xMejduK0lOQm5TcFdIQTRITEJZTDNuampEVng1NVpWbDV1Zm01aUlqSThOenN0WjFIWEEzNGl0U1VGQUF1Qk8rUllzV2FOV3FGY2FORzRmVnExZGo1Y3FWaUl5TWhNMW13N2ZmZm91dnZ2cktzOTd1M2J1Um41OWZZaHJjdDdiYnRXdFhvOGY1MFVjZkFlNzJBQysrK0NKR2p4Nk5VYU5HZWViUG16Y1BqUm8xS3ZjWmJscGFtdWREU1lISllyR2daOCtlZ1B0eDVDKy8vQUlBNk5peEk2Ni8vbnFNSGoyNnpEUDFJaDA3ZHZSNndpNytHUFRnd1lQNCtlZWY4ZU9QUDJMcjFxM0l6ODlIUWtJQ1ROT0VZUmlZUEhreWxpNWRpdGpZV0xSdjN4NnRXclhDaFJkZWlLaW9LSVNIaDBNSWdWYXRXaUU3Tzl2VFptdkhqaDNZdW5VcmhnMGJodkR3OERJbjllS0tpcHljbkJ5WXBvbnZ2dnNPZ3djUHh0aXhZeEVWRlZXaW5Zckw1Y0x4NDhjOWQzZ2lJeU05RFJPTGYzYUwyb1pSOEt2cGMrRGZmLzhOQUNYdXJFUkZSYUZSbzBibzJiTW5ycnJxcWpMdHRvcTc1NTU3TUg3OGVIVG8wS0hDdUQvODhFTllyVlpjZnZubFpkcXFtS2FKZ3djUG9rZVBIcFg2SFFTYk9sV3NQUExJSXdnTEN5dlI2TzZ5eXk1RDI3WnRBWGUxWEZCUWdGZGVlZVdzM2NXZWVlWVpIRGh3b0VSRHhlSzN3NmRQbjQ2c3JDelBMYitpWGhQRnIzWnpjM1B4d0FNUDFIaXhVcVNvc2RyeDQ4ZVJtSmlJSGoxNjRPbW5uOFovLy92ZlNxMC9hZElrcjBVZCtaL1ZhdldjZkgvNzdUY2NPblFJY1BlZ09YYnNXS1dlajE5MTFWV1lPblVxQU9ENzc3L0hybDI3OE91dnYyTEhqaDJldXhNeE1URVlQWG8wQmd3WTRHbDdrcDZlanMyYk55TXhNUkZyMTY0dDBRNnJTWk1tZU9TUlIvRDg4OCtYdTkvbHk1ZGorZkxsbFRyT1ljT0c0YW1ubnNLcVZhdEtGRjlObXpaRm56NTlZTEZZRUI0ZWp0VFVWTHoyMm10MTlrUk8zdFhVT2JDb1dQbmxsMStRa1pHQnpNeE1IRDE2RkgzNjlNR3NXYk53NHNRSnZQWFdXK1Z1NThJTEw2eFUyNUtSSTBlaVhidDJhTnk0TVo1Nzdqbjg5ZGRmYU5xMEtlQys2NUtkblkyNHVMaktIWHlRcVRQRmlzdmx3clp0MjhwTUwrcUN2SEhqUnJSczJSTExsaTNENHNXTEsyeVkxN0psUzA5Q2JkMjZ0ZHpsaWxmejc3enpEcFl1WGVxNUZRa2ZkeEUrZE9nUTB0TFNFQmtaaVhYcjF1R0xMNzdBZ2dVTE1HVElrRElGeUxScDB4QVRFMU9teFhyNzl1MTlGaC81enJCaHczRG16Qm5zM3IzYjYyQ0hSNDRjd2J4NTg5Q2dRUVBQdE4yN2QrUEREejlFdTNidDBLcFZLd3dhTkFnSkNRbWVLOG1zckN6czJiUEhzM3pYcmwzUnRXdFhTQ214Zi85K25EaHhBams1T2VqU3BRdGF0MjVkNWhIVU45OThnNDBiTjJMTW1ERmV4MlBac1dNSFB2endROXg2NjYyZU81b0EwS3BWSy96MjIyODRjT0JBbVhYKytjOS80cWVmZm9LVUVwR1JrWmd6WjA2NTQ4b1V1ZUtLSzhyMEVLTGdWSlBud0l5TURDaUtnbW5UcG5ubXJWaXhBbGFyRlk4OTloaENRa0tnYVJwVVZjWDk5OStQWHIxNjRZNDc3Z0FBbkQ1OUdxKy8vanB1dSsyMnMxNllYbnJwcGJqMDBrczkrMXUvZnIxbllMa2ZmL3dSUWdpdlkzclZCWFdtV01uTHkvTjY0dmFtb21lS0tIYTFGOGcrK2VRVDlPelpFNm1wcWJqNTVwdXhiZHMyUFBIRUUxaThlTEduZ1ZtUjExNTdEUzFidHNSMTExM250M2lwNWhTMXl4Z3paZ3dhTldwVTVtN0QxS2xUWWJGWVBDZFRBTGozM25zeGF0UW9GQlFVb0dmUG50aXhZd2VXTGwxYVlyM2MzRnhZTEpZeURRUnpjM1BMRENMWXYzOS96OStQSGoyS3laTW5ROWQxM0hmZmZWNWovdUtMTHhBZUhvNnhZOGVXYUdjQ2R3UGZKVXVXblBXNGp4MDdkdGJQK0lZTkc4cDlQRWJCcFNiUGdWZGZmWFdaaTkxYmJya0ZvYUdoMkw5L1A0WU5HNFpaczJhaFI0OGVzRmdzK09HSEh6eWZyODJiTitPcnI3NHEwZUdpdE5LdnRZaU9qc2JsbDErTzVjdVhZOFNJRVlDN08zUFBuajNyYlA3V21XSWxJaUlDUC8vOHM5ZDVtWm1aZU9xcHA1Q1dsb2E4dkR3c1dMQ2d4TlVkM0ZXNmFacG8yYkpsdFhvUTFZYjA5SFFzVzdZTU0yZk9SR3BxS2xSVnhjc3Z2NHpaczJmWDJVU3ZhN3AyN1FwTjB6Qmp4Z3dzVzdiTTAxaDErL2J0K09LTEx6QnExS2dTeit0TFAvYWNQSGt5Qmc0Y1dHSmFuejU5TUdiTW1ESkRpQmVOWjFHZTZkT25JenM3R3dNR0RQQTYvNXR2dmtGaVlxTFhRZ1h1SGhYbGpmV3lldlZxVEpzMkRZcWlvSFBuemxpd1lFR0orVkpLYk4rKzNmUGx4REZXNmdaZm5nT3pzckp3OHVSSkZCUVV3R3Exb25YcjFvaU9qc2EzMzM2TEhqMTZvRnUzYnBnL2Z6NnlzN01SRVJHQkRSczJvRzNidHVqVXFaTm5HMFZEOTl2dGRyejMzbnRJVEV3czBSVWFBTzYrKzI2TUhqMGFLMWFzUUVSRUJOTFQweXQ5d1IyTUF2dGJ0NFlWWFJVVy83TnQyemFNSERrU2h3NGR3dUxGaTlHL2YzOU1tellOMmRuWnNGZ3N5TXpNeEt1dnZvcWhRNGRpK3ZUcHNGZ3NBVitzekp3NUV5MWF0UEEwd0FTQUN5NjRBRk9uVGtWeWNqSjY5ZXBWNHMvSmt5ZXhjdVhLRXROdXYvMTJ2eDREVlYxUkYvbW5ubm9LaHc4ZnhwUXBVeUNsUkhwNk9wNSsrbWwwNk5DaDF0NDNZcG9tZXZUb2dWYXRXdUdWVjE3QmlCRWo4UFhYWDNzYXFqc2NEa3laTWdXeHNiRmxSdG90b2loS21jOXRibTR1cGsrZmpzbVRKMlBvMEtGNDk5MTNrWktTZ2s4Ly9SUVdpd1dxcW1MejVzMFlQbnc0SG5yb0lhU21wckpRcVVOcThoeDQ4dVJKckZpeEFsT25Uc1h3NGNQUnAwOGZMRjY4R0hsNWVaNkxnTDU5KzJManhvMG9LQ2hBOSs3ZDRYUTZZUmdHc3JLeThOTlBQK0dHRzI0b0VkOGZmL3lCa3lkUFl2VG8wZmp6enorUmtKQlE1aGgwWFVlL2Z2MHdkKzVjdlBubW0waElTQ2p6L3JtNnBNNStldmZ0MjRlRkN4ZGkzYnAxNk5hdEcxNSsrV1UwYXRRSUV5ZE94SzIzM29xSEhub0lDUWtKK1Bqamp4RVdGb2JodzRmWDJQdUVmTW5sY2lFbEpRVVRKMDRzODJJN3VKL0JUcDQ4dWNTMHlaTW5vM1BuenJqbGxsczgwNHAzWDZYenc5R2pSekZseWhUMDZkUEgwK1g0eVNlZnhMUnAwenk5ZUN3V0MxNS8vWFdFaG9aV3VLMFhYbmdCVTZaTUtURXROemNYYjc3NUp1Yk5tMWRtZW5rVVJjSFFvVU14Wk1nUWJONjhHUjk4OEFFbVRacUUyYk5ubzMvLy92anl5eS9SdEdsVHZQYmFhNVZxUytKME9yRnExU3JNbXpjUHAwNmR3a3N2dllScnI3MFdjTDk0OU5WWFgwVm1aaWEyYk5tQ3RMUTBhSnFHTVdQR1ZQalNSZ291TlgwT3pNN094c3laTTlHNWMyZjA3dDBiNDhhTlExeGNITDc1NWh0UHNkS3ZYejhzWDc0Yy8vM3ZmOUdqUnc5RVJrWml4NDRkT0hic0dGd3VWNG5IUzA2bkU3Lzk5aHNpSWlMd3dBTVBZT2pRb1ZpMGFKSFhrV3JIangrUFFZTUc0Y3laTTVnMGFWS04vcDdPTjNXcVdKRlNJaWtwQ1N0V3JNRGJsMVVhQUFBY0lFbEVRVlQ2OWVzOXQ5MnV1KzQ2VDBQQ2hnMGJZdjc4K1hqNDRZZXhlUEZpREJnd0FDKzg4RUtseGt6NTlkZGZNVy9lUE15YU5hdmNaWTRlUFFvcEpZNGNPWUxUcDA4aklpS2lCbyt3OEhiKzVNbVRjY1VWVjNpZDM2UkpreEx0Q2VCdVhIYlJSUmVWbVU3bmg5T25UeU05UFIzRGhnMkRvaWk0Kys2N1BmT3V1KzQ2ZlA3NTUxaTNiaDBBNE5WWFg2M1VzT09QUFBKSW1hdTQyMjY3RGNPSER5OHp2c3FERHo1NDF1MHBpb0orL2ZxaFg3OSsrT0tMTC9EaWl5OTZlZ1JkZXVtbHlNckt3Z1VYWEZEdStoa1pHVml6WmcyV0xsMktJMGVPSUNvcUNvMGJOL1lVS2dCdzU1MTNJak16RTRzV0xVSzlldld3YU5FaXIxZXNGTnhxK2h4NDRZVVg0dnZ2dnk5VFRPZms1SGdHSjlSMUhacW13VFJOS0lxQzVjdVhvMm5UcHJqcnJydlFvMGNQejhqU2NOL2huenQzTGx3dVY0VXYvMHhQVDhlRUNST2dLQXJxMTYrUFo1NTVCdVBHamNOTk45MFU4SGYzZmFIT0ZDc25UcHpBSFhmY2djT0hEeU1xS2dvUFB2Z2dCZzhlWEtKSHp1blRwN0YxNjFha3A2Zmpndzgrd1BqeDQ3RjI3Vm9jTzNZTVE0WU1RZS9ldmNzOFV5OTZRK2lzV2JPd2Z2MzZzMTdCclZpeEF1Kzk5eDdnSG1DdXFGWDZsaTFiNEhRNnkxMnZhSUNnTFZ1MlZEaDZaL3YyN2N2OWtGTHdPWGJzR0J3T0IzSnljdEM3ZDI4OCsreXphTktrQ2JLeXN2RDU1NS9qd3c4L3hQSGp4ekZ3NEVEWTdYWTgrZVNUNk5ldkg4YU1HVk5oejRUR2pSdWpWYXRXSmFZcGlvSkdqUnFWbVY2Wnh5c3Vsd3MvLy93enZ2cnFLMnpZc0FFV2l3VWpSb3pBa1NOSHNHN2RPbXphdEFsWFhua2xSbzRjQ1p2TlZtTGQ5OTU3RHdzWExvVEw1VUtQSGowd1k4WU1iTml3b2NSWUsybHBhZGl5WlFzR0RoeUlDeSs4RUcrODhRYkdqeCtQRzIrOEVkZGRkOTFaeDdjZy93dmtjMkRwUWlVakl3Tk9wOVBUL3NWaXNaUjQ0VzNUcGszeHh4OS9JRFUxMWV2Z2pLMWJ0eTUzWHk2WEN5dFdyTURjdVhOaHNWZzhyN040K3VtbjhkSkxMMkhwMHFVWU9YSWtCZzRjZU5ZN3BNR2t6aFFyalJvMXdwQWhROUMwYVZOY2M4MDFDQTBOOVF4S3RXblRKcXhhdFFxR1ljRGxjcUZQbno2NDk5NTc4Wi8vL0FkcjE2N0YvUG56OGV5enowSlZWYlJ2M3g2alI0OUduejU5Z0dMdllEbCsvRGptelp2bjZRbzlhZElrcnlNTmpoZ3hBajE3OW9TcXF2akhQLzdoS1g2ZWZ2cnBzM2E3Qk9BWnRiTThFeVpNd0syMzN1cDEzdXJWcS9IU1N5K1ZtWjZibTR1VksxZDZmV0ZqOGE3V0ZIaWlvcUxRcmwwNy9OLy8vUjhHRFJxRWJkdTJlVWJyek0zTlJiZHUzVEJ6NWt6RXhzWWlPenNiYjcvOU5wWXVYZXJwcXQrelowLzA3OSsvekIySTNidDNsN25yNTNRNjhmdnZ2M3VHTFMvaTdhV0kyZG5aK09XWFg3Qm56eDVzMzc0ZDI3WnR3K25UcHhFV0ZvWWJiN3dSZDk5OXQyZmNpZnZ2dngvdnZmY2UxcXhaZysrLy94NXhjWEc0ODg0NzBhZFBIeWlLZ2dFREJpQWpJd08zM0hLTFowaUJsU3RYSWpzN0c5T21UY1AzMzMrUFk4ZU9JU3dzREpkZGRobUdEUnVHUG4zNjRLMjMzc0xTcFV1eFpNa1NORzdjR0xxdTQ4VVhYMlRibFFBVjZPZkF6ejc3REM2WEMyRmhZVmkzYmgwc0Zndk9uRG1EYTY2NXh1dSs4dlB6QVFBdnYveXlwMkFaTldwVXViSEIzVDE1OXV6WjJMdDNMeTYvL0hJOC8venpuZ0VTMzMvL2ZYejg4Y2Q0KysyM01XblNKTXljT1JOUFAvMTBpYnVMd2F4T2ZXcUwzeDZIKzhWdGNIY3RpNHVMdzhNUFA0eStmZnQ2cmh5RkVCZzRjQ0Q2OSsrUGxKUVViTm15Qlh2Mzd2VVVKSEIvd0c2ODhjWXl0OHpMRzB3dE9qb2EwZEhSWmFZdldiTEU2OHZsemxWRnQ5STFUU3Z6ckxZaVp4c1lqL3d2SkNRRTc3NzdMaFJGd2NLRkMvSDIyMi9EYXJYaTZxdXZ4ckJod3hBYkcrdFpOaUlpQXVQR2pjUFFvVVB4NVpkZll1WEtsZmprazA4OGhYZHhxMWV2eHViTm0wdE1hOWFzR2V4Mk8reDJlNG5wR1JrWlpkWmZ1M2F0WjhBNWk4V0NoSVFFOU92WER3TUdEQ2pUNjZGMTY5YVlQSGt5Um84ZTdYbUI0dXpaczlHclZ5K0Vob2FpWmN1V1pYcEJHSWFCVTZkT1ljT0dEZWpidHkvNjl1Mkw3dDI3ZTE2MjJLeFpNenovL1BNWU8zWXNmdnp4UjJ6WnNnVzlldlZpb1JMQUF2MGNXSFFoQVBkRndsTlBQUVdiellZeFk4WlVlbnRudS9OKzh1UkpaR1ZsbFdpTFZUeVcyMjY3RFlNR0RjSW5uM3lDeE1SRTNrWDNwellkYlgzYmRJby9ITmY5Q3BuNDh6YnBTeTZYUzc3Nzdydnl3SUVEUHQwUC9VL2l6OXRrdHl1dWxtMDYyVTYwNldqcjYrOTg4N1hhek9lQ2dnSzVidDA2bVpXVlZhbmxUZE9Vdi8vK3U4OWlXYkpraWR5K2Zidk15Y2s1cDNYMzdkc24wOUxTS2x4bTI3WnRjdFdxVmJLZ29LQ2FrVllQODdsdWNibGNNajgvMzZmN2NEcWRQdDErUlFJNW4rdjBaWWFpS0NYZWgwSjBQck5ZTE9mVVNGb0lnVXN1dWNSbnNWUzErM3RGei9PTDhJV0U1QStLb3ZpOGNTdnZhSHRYOTVvVUV4RVIwWG1GeFFvUkVSRUZOQllyUkVSRUZOQllyQkFSRVZGQVk3RkNSRVJFQVkzRkNoRVJFUVUwRml0RVJFUVUwRmlzRUJFUlVVQmpzVUpFUkVRQmpjVUtFUkVSQlRRV0swUkVSQlRRV0t3UUVSRlJRR094UWtSRVJBR054UW9SRVJFRk5CWXJSRVJFRk5CWXJCQVJFVkZBcy9nN2dQSzRuQzdzU3R2ajd6Q29odTFLMjRPQ2dnSi9oMUhybU0vQmlmbE13U1NROHpsZ2k1V2MzRnpNV2JBSUlTRWgvZzZGYWxCQlFRRk9uVDd0N3pCcUhmTTVPREdmbWMvQkpKRHpPZUNLbFh4cEhnNFY0ckFwcFRYejFDbC9oME8rSXVYUmZDa1ArenNNWDJNKzF4SE1ad29tQVpqUHd0OEJlS0ZjM0xaelI4VVMwdFRmZ1pEdnVJUjUvTSswbEYwQVRIL0g0bVBNNXpxQStVekJwQTdsTXh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JZLzQrUGdXY1hGeDljNTFQVjNYMjFabFBhcSsrUGo0OXY2T29hNUpTRWpvR0JjWDE4SGZjVkRkWlBGM0FFVCtsSkNRME5BMHpWUWh4SmNBN2o3SDFUOVRWZFVLb001L2NjYkh4M2RXVlRXeXF1dTdYSzY4NU9Sa296TExhcHAySllCTk5wdnRib2ZEOFVGVjl4bk1ORTFyRGFCYlJjc29pcklqS1NscGQyVzNLYVg4ajZxcXVRRDYxa2lRUk9kQStEc0FxaHMwVFlzQmNEK0FxNFFRclFDRUF2Z0x3RzhBdnM3S3lucG56NTQ5cC8wUm04MW1HNmNveWl3QVY5dnQ5dThxczQ2bWFWMkZFTnVrbEc5SktWODVsLzNsNStjZjM3VnIxNWtxQjF3eFZkTzB1d0Q4QzBDOEVLSUJnR3dwNWU4QVpodUc4WjR2ZHFycitrOEFMcXZxK2xMS2c0Wmh0RHlIL1gwRzRLcUNnb0pMVWxOVFQxUjF2MVdoNi9wdUFCMmtsTHZ5OHZLMFhidDI1WHRiVHRPMEw0UVFOMG9wdXhtR3NiMDJZN1RaYkhjcGl2S09sSEtIdC9sQ2lBNVN5cGNNdzNnUi95dmEyMVcwVFNIRSt3RHlwWlJqS2xydXhJa1RPL2J0MjVkYnpVTWdLb0YzVnNqWFZFM1RwZ040VEFpaEFQZ2J3QzRwcFVzSWNhR1VzcThRb2w5RVJNUVdBRDQ1b2JkcDA4WWFIUjJkVTRsRk4raTY3bldHbFBKSHd6Q3VLUHEzRUdLQysrY1lJVVNGSisvU1FrTkQ3d2J3bjNOWnB6TGF0bTBiMXFCQmd6VUErZ0Z3U1NsVHBaU25BTFFTUXNRQ0dBREFKOFVLQ245SDYxd3UxK09scHl1S1lsRVVwYm5UNmZ3TFFKa3Zkb3ZGTWg3QU5jV242YnArTFlBMVo5dG5TRWhJUm5uL1o2WnB2dVJ3T0o0OTV3T3BKQ0ZFVEZoWTJGTUFwdnBxSHhYUk5PMStBTE9LVGRwdkdFYnh4elNaaG1IWXlsblhVZnpmVXNyZVFvaXZLN05mSWNTMml1WTNhTkNnQ3dDdlJSSlJWYkZZSVovU05PMURJY1FJOXgyVVIrMTIrMm9BWnRIOHVMaTRwcXFxM21HYTVxbGFDR2MrZ0RJblpOTTBGVVZSekdLVFF0eWZEVStCNDNLNVBGZnZtcWJGU0NtSEFQaElDUEhtdVFZaGhQaXRpdkZYcUVHREJ1UGNoWXFSbjU5LzQ0NGRPLzRzbXFkcFdtc3BwZWFML1JaektpVWxwY3lYVkZ4Y1hLeWlLR3VFRUwyVGs1UHRwZWRybXZaM0JkdThIOEQrNGhOTTAxUVZSWEVWbitaeXVScW9xbG82aDN6eWUwYmhsN3NVUXFRRCtIZDhmUHpIeWNuSnYvaHFYK1VSUWxnQUhCVkNERFJOODNZQWQ1UmF4S0pwV3RkeVZnOHYvbysvL3ZwclE1TW1UUzQ1eS80K0YwTGttYVk1dktMbFFrSkNEbGIyR0lncWk4VUsrWXltYWZjTElVWklLZE55Y25KNjc5Njl1OHlYVWtwS3lsOEFadFpTU0dsMnUvMGJUZE1lRVVLWWRydDlibng4Zkh0RlVWSUJETExiN2QraThLcCtscFJ5a0JCaXJOMXUvOGJMZG1ZRHlNN0x5M3RzMTY1ZFIyb3A5c3E0eXYxemF2RkNCUUFNdzloZitrdmZSeXd4TVRGTmlrOVFWYlV4Q3Urd1JNZkV4RFF2dFh4R1JSdHpPcDAvcHFTazdOQTBiYllRWXBYZGJ2OVcxL1g3QUx4MjZ0U3BsbnYzN2owRlFORjFmWnVVOHBUTDViby9KU1Zsank4T3JEZ2hoREJOYzZxaUtJc1VSWG5MWFNUNlEwRlNVdEp1WGRlUFNpbEx6MnNJWUZNNTY1VW9WdExUMDNQUzA5UDNWYlFqWGRmenBKUzVEb2Vqd3VXSWZJSEZDdmxFUWtKQ2lKVHlCUlJlOWY3TFc2RnlObDI2ZEdsa3NWZytBWkJ1R01iZEFNcWNqYzlWbXpadHJBQW1BWGdYaFYrZ2NVS0lVSmZMOVVmUk1rNm5jNXFxcXBjQVdLTnAya3pETUo0b21xZnIrcjhBWEcyYTVrU3IxWHEvcnVzdm5NUHUvN2JiN1UyOHpiRFpiS01VUlhuQWZmZHBTMVdPVFVxWkpZU0FhWnBlOTFFZVRkTVdBdWhZVUZCdzY0NGRPNDVXWmQvRnRtVXI3ekdCRU9KTHE5VmFldkwvZWZtU0xTRXVMdTR5SWNURHBtbCtXelFKd0JsM29RSUFwc3ZsR3FVb3loSlZWWk0xVGJ2ZE1JeFBTMi9IWnJOMVV4UmxnWlR5QThNdzVsVHRDUDhuUHo5L1dWaFkyREFoUkg5ZDErKzIyKzN2VjNaZFgrUjJLZnNBdkc4WXhqM2VadXE2L3FxVU1zM0w5SlVBcmk5dm8wSUk2THJ1TlZiMzcvV3Vhc1pONUJXTEZmSUpsOHZWUzFHVTVsTEtIMU5TVXNyYytxOE1pOFdTSUlTNFdrb3B1M1RwOGxoTk5LU01pb29hQXFDaGxQTGptSmlZNWtLSXk2U1UrWXFpbkNtNjZuYzZuWEE2bldQQ3dzSzJDeUYrakltSmFlNXl1YkxxMWF2WHpQMG9hY2VaTTJkZXIxZXZYbXRWVlN2ZHpzYmxjbmx0aUluQ0w0RzdBT2dBQmdPb1VyRUNZQVdBd1VLSWx6Uk4rOTB3akExblc2Rk5telpXSWNRb0FLckZZcmtjd0pkVjNEZFFXUHp0TWsyelJDOFVJY1NsQUQ2U1VvNENrRng4M3VuVHAzK0pqSXpzWDlFMlZWVWRKYVg4UTFWVmUweE1USE1wcFNhRTJGdjhMazFCUWNGaGk4VnlnNnFxandzaGttTmlZcHJuNStlZjJMdDNiMTZ4VGQwSUlBR0FDcURheFlyN2VPOTN0dzE2VGRPMGxZWmhIS3ZNZXI3STdTS2FwcjBEWUxpVUVwcW1EVVBob3pOZFVaVEdBTmFoc0xBQWdBZDBYYi9MYnJmL3M5anFMNXFtK1U1VjltdWE1b0VhT2dTaU1saXNrRThJSVhUM3o4U3Fic013ak85MFhYL2NOTTJETlhVeUYwSU1jRGYwM1ZaMGxTK0VBSUNEWHE3NkFRRHU2VzlLS2VzSklhVEw1UnJpL2hMOHhmMm4ycVNVRHdFWVhGQlFNSytxMnpBTTR5Tk4wM29MSVI0QXNGN1R0SytrbEM4NEhBNUhlZXZzMjdjdk56bzZlaWlBdGc2SFkxV1ZEOEF0S1NrcHUzUkQ2Ymk0dUZ5THhRTFROUGNrSnllWEtlNDByZUttTkVLSUFRQXVsbEllS3Y1L1pMVmFENWV6eWtOV3F4V2hvYUUzQS9paWFLS3Fxck5NMDNSNWE3ZFVWVWxKU2I5cG1qWlpDUEVLZ0RmY3ZiRE95aGU1WFVRSVlRV3cwalROVnhSRmlRVHd2Y1ZpVVp4T3A2cXFxdFUwemE0b0xMUkdTU2s3RmwvWGJyZHZzOWxzcmFxeTM1U1VGRDRlSXA5aHNVSyswZ1NGWDhKbEh2L291ajRMd0xqaTA2U1VKUjYzdUpsMnUvMk5Hb3hKdWx5dVNhcXF6bkh2czc2aUtPc0JMSlJTVnRnN3A2Q2c0R2hvYUdoWEtlVTNpcUs4cVdsYTczUGM5OEZTUFRWS2NCY1U1UllWbFNRTnd4aXJhZG8zUW9nWlFvaEJBUDZwNi9vblFvaEhrNUtTdkg2NTIrMzJ6NnU1M3pKMFhlOWttbVlIRkg1NVh1eisyZHRtc3hVOW90cFhVUkZWUkFnaEFmeFRTaG5xL3ZjVjdxTGdIaWxsNmxsVzMxdjhIMGxKU2NjQm5NdGp1MG94REdPbXBtbkRoUkMzeDhmSEwwNU9UbDViaWRWcU9yZExPKzV3T0J3Mm15MUtVWlFTTTRwKzc1cW1IUUZRb2xpSmlZbTVRRkdVUDFBMUhBcURmSWJGQ3ZsS05ncS9YTHdORkpZR29Lajl3WVh1TmdnK1k3VmE2Nkh3Tm5WV1NrcktId0QrUUdFYmh0c0JxQzZYNjFNaHhGNXY2K2JrNUxpS2pmL3lKd3EvaUxOTTAveTRzdnQzUDJacFV6TkhjM2FHWVh3RllKV21hYmNKSVY0QU1NdzB6WDZhcGwxakdFWnlKVFpSYmFacDNpNkVtRmlVQis3Mk5QOTJ6dzRIOEQ2QVVlV3Q3NzZMQlNGRWx0MXU5MXl4YTVvMlJnaHhTZ2p4dFdtYVRtL3JIajkrUEM4OVBiMHlYZFZyaWhQQWFBQS9xYXE2b0dYTGxyRzF2SDl2N25PUHQxT2FxbWxhMFJnL0llVTljcFJTdnFnb3l2OHJQczAwelk4QUhGY1U1YUZTeTk1Zit1S0RxS2F4V0NHZkVFSVVmY0dVS1VUc2R2dGJBTjdDL3hxc2Z1akxXTUxEdyt1ajhMWjNpYTZ0aXFJTVIrSGpnWElIZ291SWlFZ0dVR0tzaW5KNkNKVkwwN1FyM08wMmFwUExNSXdQWTJKaVByWmFyYThMSVI0RXNNUjlMSzVLckY5dFFvamY3WFo3MjlMVE5VMzc0V3pyU2luckN5RlFVRkRnK1QrTGlZa0pkYmZwYVNDbFBGYjZqa0dScGsyYnZwbWVudjVvOVkrZzhnekQySzdyK2h3QWoxNXd3UVV2cEtlblAxMmIreS9sa0pSeWdaVHlmZE0wdzFSVmZSTEFQMVZWZFFMNFJFbzVEWVgvUHplN0IyZ3NRd2h4dFBUb3RycXU1MG9wejVTZXJtbmFjZmVqVkNLZlliRkNQaUdsL0E2QUtZVG9IeHNiMjZ5NnZVeXF3elROYUZWVklhVThXVFJOMS9WT1VzcnJoQkJIcEpSNVFvZ2g3dllNUUdFaDAxSksrU21BY3lwTXZCRkM1RW9wdlRlSThUSDM2S29QYTVvMlVBZ1IyNlZMbDVqVTFOU3pQVDd4TzBWUm9xV1UwbXExZWtZMXRscXRkd09JQm5BRXdFK21hVTR1dGM1MUFGNlNVbjdyZGFNKzVuUTZuMVZWOVdZaHhIaGQxNWNXSDArb0ZvbU1qSXpuUzAzN1YzUjA5R29wNVc4blRweTRzOWowbDkwLzFhSUNOalEwdENoUHcyMDJXMVR4alVncFZRQWhYcVpiV2F5UXI3RllJWjh3RE9PUXJ1c3JBQXdMRFExZENPQ1cycnFpTDAxUmxJN3VuNzhXVFpOU1BpK0VPQTJnTjRCdFVzcHJIQTVIMGJENWlxWnBzNFFRZjJSa1pFeXE3djVOMDh4MEQzdHZBZURzM0xsejlNNmRPMHVNTDlLMmJkdXdoZzBiUnA0OGVmSjBxUjRzTlVFS0lVNmk4SGZRc0lhM1haRUlYZGR2S0JPTWxJMHFzVzVIQVB1U2twSUs0TzRLYjVybU0wS0lqYVpwdml5RStBYkFxdzZIWXlzSzc3bzBEd3NMZXhUQVlzTXd5aHY1VmtsSVNJak95Y25KOWNYckRsSlNVckkwVFhzQXdHb0FpNlNVZi9yNlMxeEthYkhaYkcya2xORW9MTUl2QmZDcnQyV0ZFUDJpbzZQTFBIcUxqbzUrMkc2M3ozVnZyNmw3OGd4RlVXYVVzNTFhZmIwQkVWaXNrQzhKSVI2VlVsNEo0Q1pOMDlhNFhLN0hpNDl3NnI2dDM2bWliY1RHeGpiTHpjM05LVGFteGptVFVuWVdRcHhLU2tvNmdNS1g3bDBCWUJpQUtYYTdmYS9OWm50U1VaUUZtcWJ0VXhUbFU5TTBGd3NoTkFCWDFjUTdUaFJGT2VEK29yd0l3RW5UTkkvWmJMWkJ4WHZmUkVaR1BpdWxmRFl5TXJKYlZWODdvR25hZkNIRWwzYTdmVjN4cTNwTjA0WUFzRWtwc3dvS0NzbzBhbzJKaWFrZkhoNGVXVjREM0txU1VqWUg4SkdYV2VFQUt1d2xKcVhzWEh6SWRpbmxrMEtJMWxMS2tRNkhZN091NjhzQWZCWWZIMzkxUVVIQjMxYXJkWjJVOGkrbjAxbnU0eDlOMC9wSktkZUhob1krQ2VDMTZoNmZONFpock5FMDdTTWh4SEFBRmI1cnB5WnlXd2pSV2dqeEJ3cC9SL3RQblRyMVYyUms1QVBGRnJsY0NESFMzYTVHQU1nMFRYT3FFTUpURUp1bTZXbTNvaWhLckh0YkkwbzNVSzdBUGU0ZWFFUSt3MktGZkNZcEtlbHdYRnhjWDFWVnZ4SkNYR094V0ZJMVRkc25oUGdUUUgwQWx3Sm80RjY4elBnVTdrYzFSa2hJeU45dDJyUzV0S3FGZzZJbzEwb3B0d0ZBaHc0ZEloVkZXU3lFMkplUmtURWRoYjBqM3RFMHJiVVFZb2xwbXVQZEwza2JhQmhHVWpWL0JVRGhsOEVPUlZIZ2NyazBSVkYyQ2lFVUlVVHBCcGhYQVBpek9pKzhjM2NYZjBEVHRFd2h4QTczNDYxTEFQeERTbWxLS1IvMGNrZEJEUXNMUzVWU3R0QjF2WWZkYnErUlkxWVU1VzhBRysxMis5V2w1K202L3BHVThxL3kxclhaYkZGQ2lPNVN5aWtvTEM0MUFKT2tsRXNOdzlnTUFLZE9uYm8zTWpKeWxhcXFtMVJWUFNXbHpIRzVYRmRWMUEzWTNaTUlxcXJXZU8rbjRsd3UxemhWVlFjSUlhTExXNmFtY2x0S3VWOUsyUmVGZWVaMEZ6NExZMkppNm9lRmhmMWJDSEVyZ01lbGxOY0RTQWR3a1JEaU50TTA3MGxPVHQ1WmVudENpQnVrbEdjTXcxamhMbkRPS2k0dUxzM3BkRTZwU3Z4RWxjVmloWHdxSlNWbFQweE1UQmVyMVhxM2xIS291OEZ0RHdBNVVzcmZoUkEvQUZoaUdNWlBwZGVWVW9hNjMzOFMxcmh4WTJYZnZuTWZ4aUV1THU0UzkwQmdEd0N3UkVSRS9EOTNvMExQWFpPRWhJUUlkeGRyVXdqUkZVQ3FhWnJlZWpGVlNYNSsvdmF3c0xBelFvaHJBZVNpOEF2Tk15UzhlN1RmN2xMS2Q2dXpINWZMOVl5cXF2Y0F1RXhLMlEyQWtGSWVGRUlzQWZDbXcrSHdWZ2dKSVlSVlNtbHh2d203UnJpNzVYcnRtbXUzMnl0OHR3eUFtd0NFS0lxeVF0TzBpNFFRSzZTVVJ3RjQ3cHJVcTFldmlSRGlkd0JYQTJnaWhQaENWZFVtN2pkNWV5V2x2RUlJa1pxVWxPU3pkd2JCL1FvSlhkZWZxT2lsa1RXUjIrNFJmZjhvUHZ5OXU5QWJBK0F4QUVlY1RtZXZsSlFVdTZacDF3UEl6Y3ZMdThGcXRiNnVxcXFoYWRwU0FIT0xDbVNieldhVFV0NElZRkZsQ3hYMzhXWUJ5RHJuQXlBNkIyd1ZSUUV0TGk3dUVsVlZ6MVIyWk5EU2RGMS8zMzFMdXhXQTJlN2I4dy9iN2ZiNXVxNTNCL0JQQVBjQmlKQlN6aFJDYkhML3RFa3BrNFVReTUxTzU0YVVsSlR0MVdsem8ybmFmQUIzQ0NIV0E5RHRkbnZyWXNkNG1jVmkrY25sY2wyVm5KeThzYXI3cUtxT0hUczJybGV2WGxSMXZzUjFYZjhKUUZjcDVUbmZJUkJDaEVvcC96SU1vNlc3YmNwT0ljUVowelN2RWtKc0ZVSzBkcmxjL2Y3KysrL1VKazJhWEtVb3loQXA1ZTFDaUtPbWFUN24zc1lNQUJlNEcwUi83WEs1dml2MWppQlYwN1JNQUs4YmhsSGpZNjFVUlhWenV6VDMrNU5HU3ltUENDR20yTzMyeFVVNXEybmFlZ0I3RGNPNEg0V0ZTVjhoeEJ2dVBIOG1KeWZuN1lpSWlJMEFXdWZuNThlV2ZyY1VrYi94emdvRk5QZTRLRldsU0NsN1NpbmZkRGdjeDJ3MjJ4WUFEcGZMOWI2dTY3KzZINC84SllSWUlxVjgxVENNUSs3MWRGM1hid0x3b0pUeVJZdkY4cEt1NnhQc2R2dXJWUTNFUFJoZE55bGxIL2U0S3g2cXF2WUM4SGR5Y3ZMMzFUaldLbk8vdCttYzM5MVVtcFJ5aHhDaXdzSDF5akVJUUh2M05sb0xJVnBKS1FjN0hJNVRtcVlsQW5nSVFFSFRwazB6QUZqZDc3U1orTmRmZjgwdkdzOGtJU0hoRTlNMFJ3RzRUd2d4WDFWVlU5ZjFYbmE3L1NjVUZnYnhRb2o2cG1uNjlCSFF1YWhtYnBjaGhIaEhTcm5aTUl3dnpsWllPeHlPVFFDMCtQajRmZ1VGQlQrR2g0Yy9MS1dNQlhBYkN4VWlvbG9XSHgvZlBpRWhvVXdQR0UzVCt1dTZmcTI3MjJhNVltSmltbXVhTnVKc3l4RlVBTjRIUGpsSDhmSHgzYjFOdDlsc0k5M3RWeXFrYVZxTXpXYTdyaVppcVVOVS9zNk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cUZiOWZ3TlJLUEcvcW84M0FBQUFBRWxGVGtTdVFtQ0MiLAoJIlRoZW1lIiA6ICIiLAoJIlR5cGUiIDogImZsb3ciLAoJIlVzZXJJZCIgOiAiMjExOTAwNDA1IiwKCSJWZXJzaW9uIiA6ICIxOCIKfQo="/>
    </extobj>
    <extobj name="ECB019B1-382A-4266-B25C-5B523AA43C14-2">
      <extobjdata type="ECB019B1-382A-4266-B25C-5B523AA43C14" data="ewoJIkZpbGVJZCIgOiAiNDkxODA0ODkwODAzIiwKCSJHcm91cElkIiA6ICI5NjIxMzYzNCIsCgkiSW1hZ2UiIDogImlWQk9SdzBLR2dvQUFBQU5TVWhFVWdBQUEyQUFBQU4rQ0FZQUFBQnpUbWhQQUFBQUFYTlNSMElBcnM0YzZRQUFJQUJKUkVGVWVKenMzWGw4WEZYNVAvRFBjKzRrbWFSdEtDMHRSU3NFVEdrN2JTZHo3b0JzSWlBRlJGbUtDTWlpOEVQZ0MvSkZrRlg4UWxsRUZoVVZVQlpCa1VVRVJQYkZCV1d6TE1MY081bW1vWlVnaGRaQ2FRdWxXN2FaKy96K3lKMDRuVXpTTFoyazdlZjlldlhWNU54enozMW0yamx6bjN2UFBRY2d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MYW9sbHJQNVZJSkliM1k1T1NTQ1RHOVdON0FJQkVJakhPV2p1cXY5c2xvczJIR2VnQWlJaUlpRUpPSDl1dU1NYThYMTlmWDlzZkI3TFdYbUtNU1Z0clkydXFtMHdtYTZ5MXQxcHJkMWhUWFdQTTZ3QXU2bzhZaVdqenhBU01pSWlJQnB5MWRoOXJiYlBydXZVbE5oc1JPVVJWbjJ0cGFWbldIOGN6eHR5b3FoOEN1R1ZOZFlNZ0dDY2lSd0x3R2hvYUR1eVA0eFBSbGlzeTBBRVFFUkhScHN0MTNRZFZ0WEk5ZDMvQzkvMWZBNENJZktpcTI2anFzdzBORFhzMU5qYitwK0FZQndJWUl5TDNyVXZqMXRwclJhVGszU2hWaFlnQVFKM3J1dHBiRzZwNmdPLzd6eWFUeWQxVjlSbkhjWjVPSkJKbnBOUHAyOWZwbFJJUmhXU2dBeUFpSXFKTmwrdTZpMVUxdWo3N3F1b3YwK2wwZDRMa3V1N3VBSjREOEs5bHk1YnRuYi9iWmEzOW80aDhGVUNycWdaOU5QbVM3L3NINTM4SkU3QXpBQnhUWERFSUFzY1lreXNxM2dyQUo0VUZxMWF0ZW4zMjdObExBQ0FlajQ5MkhPY1BJbkl1Z0tTcS9yUzRYUkVaQXFCVFZUdUt0eTFmdm54a1MwdEwrMXE4TlVTMEdlTWRNQ0lpSWxwdm51ZHQwNDl0dlpwSUpFNDN4dnkydHJiMmRnREhORFEwN0F4Z21xbytET0N2cGZaVDFTcGp6UFdxdXFyRTVrN1A4LzRVaThYR1JLUFJLN1BaN1BXWlRHYU90ZlozcWpyVzkvMTkwUFdjMS9hcW1sSFYrMVgxZStsMGVtbHhRNWxNNWtNQSs2QXJXZHdqVExZdUJOQmFVTzFIcXZxeWlEeGFVTFkvZ0duWmJKWVh2b21JQ1JnUkVSRU5IdWwwK2k1cjdXZU1NUStoNjFtdFMwU2t2YTJ0N2N6bTV1WVBYTmM5QnNBM1JPU0lWQ3JWaWE2WkIwOEI0S2pxM2IyMVcxVlZkU0tBRXh6SCtiK3dxQUZBSnI4OWxVcTlaNjA5SGNETnhwakRYZGZkMi9POGxycTZ1dWpXVzIvOXNLcmVsazZuSHl0dU53aUMyd3VUTmRkMXJ3S1E5anp2Ri9teVJDSVJOY1pNNjgvM2lZZzJYVXpBaUlpSWFGRHhmZjhxZEEzNWN3R2NvS28vYTI1dS9nQmRkN3NzZ0lNOXorc01xMHM0SkhCZU9wMStzbzltVDFiVlI5cmIyNTE0UEQ1V1JNYXI2cE94V0d4TXZrSjdlL3Z6VlZWVkJ3STRwcTJ0YlVVc0ZodFRYVjB0UVJCc2I0eDUxRnA3dmUvN0Z3RW9IcnBJUkxUV09Bc2lFUkVSRFRZR0FDS1JTS1dJK0oyZG5UOHEyTFlkQUVrbWsxdWg2em12dlVWa1loQUUxL2VXR01YajhSMUZaR2NST1M0YWpiNGZpVVRtQVlpSXlFWFJhUFQ5d2o4aThqcUE4L08vNTNLNTF1WExsKytwcW44U2tmTmMxNzI1WEc4Q0VXMmVlQWVNaUlpSUJoVnI3WTlGeEN4YnR1eDdMUzB0eWNKdElySXpBTW5sY3A4SDhKVHYreTlhYXljNWpqTzNsK1owMWFwVkM0WU5HN1pyUVJ0bkF6Z3ltODN1NXpoT24zZXowdW4wOGpDeE84UmFlNVdJL0xxL1hpY1JiWm1ZZ0JFUkVkR2dNV25TcEJFQS9rZFZQNnlzckZ4dEN2bFlMRmFwcWxaRVlJdzVFc0JUNkJxeTJOeExjME5VZFdVNDgrQWIrVUpyN1c0aThwSXhabzVxNlJub0hjZFptWC9HTEpUemZmL2k0bm9pTXNkYTI5MklxdGFLeUJuVzJoTUs2dFNzNDl0QVJKc3hKbUJFUkVRMGFGUlVWSndiemk1NGNYTno4MnBUdVZkVlZYMUpSS3BVOVI0UitWb2lrVGkzMUd5RmVTSXlGTUJxQ3plN3Jwc0VNQTdBT0dQTXg3M3RtOHZsamdEd2FQRytudWMxQXNnV0hPTW5KV1pCZktYVUxJaHIvU1lRMFdhTkNSZ1JFUkVOQ3Nsa2NodFYvWTZxdnU3Ny9nUEYyMFhrMjZvNnY2T2o0NXlxcXFxampESG5BTGk4dC9aVWRZU0lmRkpVZGo2QXBRQ3FSZVFIUVJBOFZiamRHRE5kVmZkekhPZTFFazArYksxOXkvZjlxZmtDem9KSVJPdUtrM0FRMFViUjBORHdhV3Z0RHYzVW5CT0x4WVlPeGo0cmtVZ01qOGZqa3djNkRxTE5nYXBlQW1CWUVBUVhGVyt6MWs0RmNKQ0kzRFJyMXF5UEFOd040Q0xYZGV2N2FISUNnTGZ5djdpdU94SEEwUUIrSmlMWEF6Z3psOHU5bXc2SnlEYXFPazFFemsybFV1OFhOdFRRMERBSndQYXErbXAvdjI0aTJyTHdEaGpSWnM1MTNkMVZkV3hoV1JBRWI0ckljQkg1ek5xMElTSXJQYzk3SW16dmNnQXZlcDczOTc3Mk1jYjhVa1RHQXRpbHR6ckpaSEtyWEM3My9ZNk9qaDgwTnpldjZPTTFIQURnR1d2dHJyN3Z2MUdxVG4xOWZWVnRiZTIxSFIwZDF6WTFOUzBzRlZKOWZmM1FZY09HRFEyQ1lDaUE0WTdqYksycUl3Q01FcEZ0VlhXaDcvczNoc2VjcUtxbkxGKysvUHZoOHlPOW1SYUpSTzRFd0FWV2lUWkF1T0R5dHdIOHBiR3g4Ym5DYmZGNGZMU0kvRVpWMzEyMGFORk5BTEJxMWFydjE5VFVIS21xZjBnbWszdWxVcW5WRm1HdXE2dUxpc2hPcW5wYldDUUFmZzVnYVRhYnZhbXlzckk5Q0lLaklwSElrL1gxOVFjUEhUcDBpb2c4Qk9BK3ovUHVMSTdQY1p3dm82di9mSGpqdmhORXRMbGpBa2EwbVZQVjgwVmttcXEyaFVVMXhwZ2Zpc2hvVmYzS1dqWXpEOEFUNDhlUEh3YmdVQUNYdUs3N2ZjL3pmclFXKy9ZVjI5N0dtSE9ycXFxK2trd21EMCtsVW0rdmIxdkRoZzJib0tvblZWUlVmSzJob2VHd3hzWkczMW83UTBTbXFHcVZpRlRtNnpxTzA3MmZpQUJBcTZvdUFlQUR1QkZkSjFsN2ljZzV0YlcxZThWaXNXbk56YzBmSkJLSjRZN2pyTlp2cXVwUWhFT25pbU5hdUhEaHl2bno1N2NXbHhOdERtS3hXR1ZsWmVVR1R5NnhZc1dLb0tXbFpaa3g1aGNBS29JZ3VLUncrNVFwVTdaMkhPY3BBTnVKeUJmem42blpzMmN2U1NRU1p4dGo3ZzJDNE5HeFk4Y2VYdmg1R3pGaXhGUUFrU0FJL29tdWl5cG5BamhRVlUrYk9YUG14K2k2cTNZQWdIL1UxdGJPQUxDVHFqN3UrLzZKcGVKVTFjTUJ2SnZKWkx3TmZjMUV0R1ZqQWthMFpmaVQ3L3VIeEdLeG9WVlZWVXNBelBJODc5SjFiV1RPbkRuTDQvSDRGeHpIK2IySVhHZXRqZm0rZjlMNkJ1VjUzcE91Nng0QzRDRlZmYzExM1NNKy9QREROMGFOR3ZXNmlGenJlZDY5YTl1VzcvdU5ydXZ1Q2VEUHhwaVhYTmM5TWdpQ1h3TDRqSWlzQ0lKZ2hURm1lUkFFT3dWQjhGSkZSY1VuQUQ1WnNtVEp4OE9IRDU4Q29DNmRUaitVYnkrZFR0OWhyZjFZVlg5WFZWWDErdVRKay9jMHh2eFZWY2VYT3I2cUxpb3VHelZxMUtYejU4Ky9hbjNmSDZMQnJMS3k4amhqVEk4N1JldXF0cloyU1RLWm5CSit0cDVLcDlPdjU3YzFORFRzYkl4NUJNQkVBTi95UE8rbHduM1Q2ZlR2ckxVN2k4ajBVYU5HdmJqdHR0c2VtVXFsM2tQWFovSnJJdkorWTJQank0bEVZbDhBUDFiVlo5THA5QjBGVFl3U2tYY0E3QjN1ODNZeW1kdzZsVW90TGp4T0lwR29BN0NucXY2OE9INWp6UGFKUkdKNFlaR0kxSWI3NU90c3ZhSHZFeEZ0UHBpQUVXMUJLaXNycDBxWFo5QjE5ZmM3QUs1ZXcyNG4rcjcveC93dm1VeG1KWUN2V210L3Jhb3p3cUY2cnhmdkpDSlJWUlZyYmFtaGhkTjgzMzhXWFVuWW4rUHgrRlRIY1g0ZkJNR0sydHBhUjBRbUFlaHhSNm5RbENsVGRvcEVJbnUxdDdmL3RibTUrWU93clRldHRYdUh6NGE4cmFvcUlxZDk5TkZIWDVvN2QyNmJ0Zll3RWZtUjR6aDdwVktwMldGVGp1dTZ0Nm5xcDZaTW1mSnMvc280dXBLNlAxcHJQd0Z3V0ZOVDAveGtNbm1ncXVidnBGV282ZzhBSENFaUJzQ1NJQWpPTU1iNCtmMnoyZXlTTmJ5M1JKc3NZOHhNVmIydUg1cGE2WG5lKytQSGo1OWNYVjA5TWl5THVLNzd2NnA2RllBS0FDZDZubmRQcVoxOTM3L01XanRjUkw2anFqTmQxejBOUUFyQWNVRVEvTUoxWGF1cVQ2anF2R3cyZTd5MWRoc0FCNHZJOFFBT0JQQ2FxazRGc0wrSW5LK3E1N3F1KzRDcS9xV3pzL1B2VFUxTkM0MHh4d0dRWG9ZZk5oclQ0L0hVVTQweHAvYkRlME5FbXlFbVlFUmJFQkU1Qk1CenFWVHFFM1JkN2EwVWtVNVYzYSs0cmpIR0FmQ0dxbGFVYUNxYkg2WVRqOGNuUnlLUklRQnVCNUFwcUhPcWlBd0g4T09Dc3UwQlhGRGM5MlF5bWRlU3llUjQzL2M3dzhrMlZ0T1ZSd2tBbkdpdC9aNkk3QVZnRExxbXJKNE00SU44WGQvMzN3V3dUeGhiVGtRK3QvWFdXLzl3N3R5NTUvbSsvNFMxOWcwUitVWDRiSnBhYTg4QllBRWNWWmg4RmJUM0xJQm5BU0IvWlQyUlNJd1RrYnZES2E2bkE3Z0t3R25HbU44RVFYQmRSMGZIOWNYVFp4TnRianpQUzRXSlRyK1lNMmZPY2dETDBYVnhhRmNBUHhhUmQzTzUzSEdOalkzLzdHdGYzL2ZQZGwyM1dWVi9FQVNCTHlLN0dXUGFzdG5zZFZWVlZUbFZmUzZYeTMzYmNaeGpBZHlFcm43bFJRQkgrYjZmdi9QOU4ydnRMNElnT0Z0RVRoU1JreW9ySzk5UEpwTVRneUNvQnREYzJOajRjb25ESHhvRVFhL1BzS0tyN3oxR1JFN2ZnTGVIaURZamZHaWNhRE5uclgxSVJLS2U1eDN1dXU0SEFDN3hQTzgyZENVUzV4dGp2dWQ1WHFtN1RSSFhkVHRWOVZqZjkrOFAyL29KZ0dXKzcxOEZJTUIvRTdDWlFSQWNrVTZuSHkwNDdxTWlNdGJ6dkYwS3luWVJrZGNCSEp6TlpsOXlIT2VXYkRaNytjeVpNLytkcnhPTHhZWkdvOUhsQU80TmdtQkJtR3p0SWlKVkFOcFU5WjhBWGxUVkljYVk3NHBJZlNxVmV0dDEzWityNnF2NVdBdU8rVDBBUHd5Q1lKL0d4c1ovSkJLSkEwVGtBUUNmRjVGSTJON0R2dThmbDkrbnJxNHVPbUxFaUd1eTJldzFtVXptdzN4NVBCNGZHNGxFemdOd21xbytuODFtVDNBYzUzQmp6SjJlNTBraWtkZ3JiRnRWOWVZZ0NPN1BaREx2OU8rL0tOR1d3Vm83ZGRHaVJUUFc1VG5LOGVQSER3c1RPU1FTaVYwTGh6UGl2NVAxbkpyTlpoL05aREx6KzJqS2NWMTNUMVZ0N1czaW4yUXlXZEhhMmxyVjF3UkNSRVNsOEE0WTBSYkNXcnN2Z0cwNk9qb2VMZG8wc3BkaGdzVWNFZGtld0ZIVzJyMWJXMXUvUG52MjdQVWVZbWVNR1NjaVg0NUVJb2NrRW9rVDB1bjAwNjdyL2xCVmp3cXJuQ0FpSHdKNEJjQ0RBTDZSeStYMnlWOEp0OVorRTEzRC9OcnE2dXFpcWhvVGtiTmQxOTNOODd3TDhndWxHbU91VjlWY1cxdGJJN3FlR2ZsckxCYmJ2cm01ZWNXa1NaTkdWRlZWM1JJRXdSV0ZzZFhXMWphbzZpbVJTT1NZUkNKeFZEcWRudUc2N284Qm5BMmdOUWlDQzlMcDlDMEFOSkZJZE8rWFRxZG5KQktKeVNKeXRUSG1COGFZcTYyMSsvcSsvOEw2dms5RVc2cjhNT1Yxa1UrKzBQVjU3REUwT3B6UjlCYzlkdXdwVi95OFdiRlVLdFVKb0hOZFl5UWlZZ0pHdElVd3h2eEhWZHNxS2lxT0FIQnJXUHl1cWo2dXFwY1YxdytDd0RpTzh5TlZ6US92eTNtZWQ0enJ1bStKeVBlcnE2dGZCQkJmMzNqUzZYUTZtVXp1QnVBcEFFOG1Fb24vVlZVblRMakdxZXAwMy9kL2dLN1p5NzRFNEJ2R21DQy9memg4RXRsc3RuWHUzTGx0YytmT1BkaDEzUnNCbk9PNmJyM25lWWRhYS9jSWd1Q3ZBRkJUVTNPWnRiYjcrUG1mVlJVaWNxcTFkcW52KzJNUkRvbHNhR2pZM1JqenBESG1PV3Z0aVdGY0ZRQ2FSV1NadGZZWWRBMHRFZ0RmdGRaK3ZlRGx2UWpnR1FEYk0va2lJaUtpUWt6QWlMWVFxVlJxdHJYMlp3Q3VIRHQyN0YyalJvMGFMU0x6QUZ3akl0SGkrdUZENVplSUNPTHgrTmh3dUk1Nm52ZC8xdHJacXJvY1FHNERZM3A3d29RSmUxVlhWOStwcXMrbTArbC9oVU1RdnlraXkvdmFWMFNxQVdEbHlwWDV0WDl5bnVlZGFhMmRGeVpMYUc5dmY2ZXFxdXI4M3RwUVZXT00rUjhBY1ZWOXMzQmJZMlBqckZnc3RrZFZWZFdkcXZxRzcvdHZBWGpZV3ZzQmdFb1IrYWdvbnNKMmQxVFYvL045LzlyMWZHdUlpSWhvTThVRWpHZ0wwdG5aZVV0bFplWEYyMnl6elNFaXNwZXFuZ1ZnVGM5WDFFUWlrU3NCWEo0djhIMi94MnhrSW5LbnRmYldncUxoQUp3d1ljblg2ZEhuaE1NWUQxdlgxeUlpSXdHMHpaMDd0NjJ3dkREcENXZEh2TFhVL3Nsa2NrSVFCTDhHRUFOd2RYdDcreFhGZGNMOUR5NXg3QnM5ejd1OHVEelBkZDJscXJxdUw0bUlpSWkyQUV6QWlMWWdUVTFOODF6WGZVOUVMTG9TaWRjOXo5dkRXdnZMWEM1M1Z5YVRlUTMvZmI2cXp2ZjlLMTNYblYzY1Rqd2VINitxSHhiT0dpZ2lmeWllQlJIQWNCRXBOUXZpYXF5MU80U3pGL1pKVmFzU2ljUnh4cGhsQUw0T29LVkVXdzIrN3pmMjFZN3J1dDhOZ3VBYUVmbFhOcHZkcmErRlZTZE1tREN5eExOdUV4S0p4TFErRGxGcTVraWl6VjR5bWF3QXNGWHhPbHA1aVVTaUxwMU96KzJyalhnOFBzUVlNNnBVdlNsVHBteGRhcmJTOVNTSlJLSStuVTYvMVUvdEFmK2RKWFdwNy9zOTFnWWtJZ0lUTUtJdDBoSUF3d3FHRDZxSVZEdU9jMmQ5ZlgzK0lha3JSZVNwM2hwd0hPZjdJbko0UEI3L2RMNHNDSUtuaTJaQm5Cck9ndmlMZ3JKZFJLUTRBWXNBU0Z0ckgxdUxSWjA3akRHM0FLZ0ZrRlBWMHdvM3VxNWJEeUR0dXU1M3M5bnNRNUZJcE1mUVNuUWxjbWVJU0xPcW5oQ0pSRHJDL2JvTzBOSFIzdFRVTkMvZm5xbzJXV3RQS3BwZDhjc2k4dm5lZ2xUVjZqVzhEcUxOVWhBRVR3RVlIWXZGUGw4OE8yQThIbmVOTWErNXJudVo1M205cmovb09NNVhSZVJ1QUU1K3R0WDhwb3FLaW1acjdhOTgzKy94M09xNnN0WmVJaUxmczlidTZ2dCtjMTkxazhsa1RSQUVQd1Z3elpvdUZobGpYbGZWT3dEME92eVppTFpzVE1DSXRnQ3FhZ0JnMHFSSkl3RHNKQ0lQQVJoZHNQMUNBTGNNR3pac0pJQmpBVGdyVjY3OFhpL05DWUF2cVdwVEpwTlpHWSt2OXp3Y1FGZVNzMGM0WEhHTlY3VkZSTFBaN09kRXBLYTl2ZjI5eXNyS2JheTFQd2lDNE5iR3hzYi9BTmc5ZkQxTmtVamtVUURKWHRySi96MnJlRnRGUmNVc0FKUFJkVEs1bHpHbUtnaUNENHFxL2RUM2ZRNUJwQzJLNjdvUEFwZ2lJcnZuMXhJc0ppSS9WZFdubzlIb2RBQVg1c3ZyNit1cklwSElYYXI2Y1M2WHU3dXY0NmlxQ1Qramhja1hyTFVIaHV2Ly9hMC9Ybzh4NXNZZ0NFNEdjRXQrN2NEZUJFRXdUa1NPVk5Xakdob2FqbTFzYlB6TGhoeDc3Tml4MWFOSGo1NmhxdS83dm45bzhXc2xvczBiRXpDaUxjTkVhKzFINFdRYkdnVEJINHd4WjZMcnBPWUdFVGt6ckRjdG42d05HVExrWTJ2dEQ0c2JTaVFTdTRqSWFGVzlyajhDVTlXRFJRUkJFRHkyTnZVem1jeWNnbGoyRnBGTEhNZnhBRHdDWUc5VjdWaTBhTkdNVWFOR2ZTc0lnbUdsMmpERzNBM2czMEVRbEVxaVZ1Wi9FSkhQcTJyNzBxVkxYeTJLZVNkcjdkUStYaFA3VnRxc3VLNTdEb0N2cXVvWFBjLzdCT0c2Z0NKeVhuSGRNSG02d0hYZEhzT05SUVNSU0dTZTY3ckY1YU1LaGkyS2hsY3c2dXZyYTJ0cWFuS1pUR2FsaUp3SVlFa1FCTXNUaGVzL0ZIRWNaMkVxbFhvL2pQRmFFYm1vVkwxd0JsUUFxSE5kdDljckpxcDZnTy83enlhVHlkMVY5Um5IY1o1T0pCSm5wTlBwMi90NHkvbzBmLzc4MWhFalJwemlPTTRyMXRwTGZOKy9jbjNiSXFKTkQwOFNpTFlBSWpJckNJSVo0VG5OUStsMCtxMzhDVkJuWitmVlZWVlZ0NkRyS3U4dElySlFSQzRQOTF1c3FzY1VOWGM0dWs1S0h1Nm44QTVYMVkvVDZmUS8rb2gvcnFyZTBOblp1YkN3M0Jnekx0eWVuOEZ3SHdCdnpKOC92M1grL1BtOVBnZG1yVjBsSW9zYkd4dDdQV2JZN3VjQi9MTjRvZzhBUjR0SVh4T0hET0VkTU5wY3hHS3hNUUN1VWRVN2ZkOS9NVjl1akxrbGw4czkyUi9IeUdhem82eTF2L0Y5ZjVxSUdCSEpBY0N3WWNQT0IzQkNMQmJiTSt4N291RUZsMTRGUVhBZGdNSTcrTXNBRlBkakNJTEFNY1lVeitTNkZZRFY3dTYxdHJiNkNHZHRqY2ZqbjNjYzV3L0dHTTkxM2ROVTlhY2xRaGdpSXQreDFwNWV2R0g1OHVVanc3WElrTWxrdkhEcGpFdmo4Zmc5WExTZGFNdkJCSXhvQzVGT3A2OHBWZDdVMUxRUXdFSjBYZVZlcWFwTFBjL3JubmpEV2l1RlU2eUx5SEVBL09JSDVJMHhveE9KUkYxQlVRMkF5c0l5RWRtdWNKOTRQTzZLU0F6QXZmbUZrNnVycTl1RElBZ0toMGltVXFuWkFNNHBFZjZlQUphblVxbC9KWlBKN1ZWMVBJQTFUdjB1SXM2YTZvUnhUd2lDNEk5Ris2WUJQT3g1M3E5NjI5ZGErNHlxemx2VE1ZZzJCZUZTRGhYR21OVStXNmxVNm0xcjdUSUFEWDN0Ny92KzN3RUVreVpOR2xGWldlbmtKNmR3WGZkblFSQjBwTlBwaTZ5MW93QWNZcTExdzlsU3M4bGtza1pWejFEVkc2UFI2RVhvU3BvK0x5TDNBcGlwcXROTEhjOXhuSVZGUloyZTUvMHBGb3VOaVVhalYyYXoyZXN6bWN3Y2ErM3ZWSFdzNy92N29PczVyKzFWTmFPcTk2dnE5OUxwOU5MaXRqT1p6SWY1NFlxdTYrNGhJa1BDb1phRnM4bitTRlZmRnBIQ1JlLzNCekF0bTgxS1lYdHRiVzNYUjZQUi8zVWM1L3ZoeEVWRXRBVmdBa1pFUFRRME5CeG9qQmtmWHNuOWJINVlYaUtSMkZORWRsVFZTMHZzZGx1NGR0aHFqREc5WHRXTlJDTGZRTmRKMWVQNXNsUXExZW02YnFPcWZzZGFPN1I0dmEyOE1ObWFCdURPcmlhQ0w0c0lWUFdsNHJxdTZ4NmtxbFpFVnFqcWFGWGRHVUNmejNBWVk3NFMvdmdDdXBMRnlaRklaQ2pDNmZoZDE5MjlqOTJ2RUJHNHJydTdpTHpaMi9NeVJJTmRNcG1zVU5WVEFUeVRTcVhlTHQ2dXFuc1pZeDRCc0VwNzN2YU5pRWhWWFYxZDlkeTVjOXVxcXFwdVZ0VXhBUFlOOTUxaWpHbERWNUsyeUhYZFdhbzZOUWlDWlNLU0JmQy82UHB3UDJ5TVNRRzRNNTFPejNCZHQxMVZQMHFuMCtsMWVTMVZWVlVuQWpqQmNaei9DNHNhQ21kdVRhVlM3NFYzclc0MnhoenV1dTdlbnVlMTFOWFZSYmZlZXV1SFZmVzJkRHJkWTZoMEVBUzNGeVpycnV0ZUJTQmRPQUZSSXBHSUdtTjZ6SnphM056OGdldTZmd1R3elhnOGZrNG1rMWxaWEllSU5qOU13SWlvQjJQTWVCSEpQLytWVnRVSEVkN0JVdFYzQVBRWWZxaXFsNnBxbjBQNndxVHUxb0o5TElDTzF0YldQeFhXNit6c1BERVNpZHdFNEhoVnJlcWx1UlhobGVwenc3YTJGcEZQQUx4Y29tNmRpRndUdm9ZY0FMK3pzL09Hdm1KVjFhK0lTRFlJZ3BmUmxTeit0cmRKUGRiUXpzRUEvclFXVllrR0hWWGRIVUN0cXZaNXdhS3RyZTJ6NGJwNTNSS0p4RWtpY3VjNkhPNFZBRk1CUEFHZ013aUNNY2FZSHhwakxnaGoyZERuVGs5VzFVZmEyOXVkZUR3K1ZrVEdxK3FUNFJCTG9Hdng5dWVycXFvT0JIQk1XMXZiaWxnc05xYTZ1bHFDSU5qZUdQT290Zlo2My9jdjJ0QkY2QXVwNmw5RTVIakhjYjRBNEpuK2FwZUlCaThtWUVTYk9kLzN2MWFxM1BPODgyT3htQ2txTzZUZzE1dEt0UFZIQUtzTnljdGtNczJ4V0d4WWMzTno2MXFjbER3UDRMYUM5dmF6MWlibnpKbXp2TERTekprelorYXZrcSt0Y0lqbGovTkRHWXRlMTIzaGNRMEFEZi8wS1pmTFhSaUpSSGJOWDVIMlBHK1hkWW1IYUhPZ3F2dUtDSEs1M0hOOTFZdEdvMjliYTN2Y0FWdVhZd1ZCOExReFpzL3d6bG03Ny92bm91dU8vSDZPNDZSOTN5OGM5and1a1VpY1VxS1pWZWwwK3I3aXduZzh2cU9JN0F4ZzUyZzBlbHkrWEVRdXlnOXZMUEdhemtkWFg3RDFpaFVyOWh3MmJOZ0RJbktlNjdyRFBNLzduM1Y1YlgweHhqd2YzanpjaHdrWTBaYUJDUmpSbGl2YjNOem4wamRyS3loZTcyY2RxTy83Yi9SSEVLRWV5VmVSdFo3cU9aUEpOQUZvMnZDUWlEWmRJdklaQUZpMWF0VjdmZFVMZ3VBa0VWbHRLUWtST2JEVXd1dTlDZGNSZk5SYWU0V3FkajlUMWRqWStCeUE0Z1J3RDJQTWJzVnRxT29IQUlvVE1GMjFhdFdDWWNPRzdWb1EyOWtBanN4bXMvczVqdFBuaGFOME9yMDh2TGgwaUxYMktoSDU5ZHErcHJXUlNxWCtZNjBOUk9UVGExR2RpRFlEVE1DSWlJaW9ONk5VdGIybHBXVlpHWSs1dFlpczZWbW91ejNQVzlQQzdRaG5KRjBaemp6WWZiSEhXcnViaUx4a2pKblQyNHlsanVPc1RLVlNuUVZGT2QvM0x5NnVKeUp6Q3UvK3FXcXRpSnhoclQyaG9FNU5Iekhtd3VSMTFGcThIaUxhRERBQkl5SWlvdDVVck1XZFpSaGpmbHM4Q1llcVJncG5VRlhWdHFMWkFrc1NrZEZycXJPMlJHUm9PQTE5TjlkMWt3REdBUmhuak9sMUFmaGNMbmNFZ0VlTDkvVThyN0h3UFJHUm41U1lCZkdWVXJNZzluWXNWUTFXbTI2V2lEWnJUTUNJaUlpb040dEVaRWhkWFYyMHhIcDQzVXBOd21HdFBSbEE5M0E5My9kWHUyTWxJdHVxNnIrSzIxTFZwSWpVaHdzVVg3VWh3YXZxaUhCeW5zS3k4d0VzQlZBdElqOElndUNwd3UzR21PbXF1cC9qT0srVmFQSmhhKzFidnU5M0w4UytJYk1nNWc4SllDU0FSUnZ5V29sbzA4RUVqSWlJaUVwUzFROUVCTFcxdGRzQldPTkN3Y2xrY29LcWZoWEFLZ0JmQjlBNWQrN2NUb1JMT1RpTzgyc0F5MFJrQklESnFycmE4MXFUSmswYUlTTDFBUDRONEVwcmJjYjMvY2VManlNaTQwc3RkQng2M1BmOUJlSFBFd0RNeUc5d1hYZWlxaDRkTGhWUkJlRE1YQzUzODh5Wk16OUdWOUk0VlZXbmljaTNVcW5VKzRXTk5qUTBUQUt3dmFyZXM3YnYzOXBJSnBQYnFxb0puMThqb2kwQUV6QWlJaUxxelN2b2VoN3E4NzBrWUowQVBvbEVJZ0VBWkxQWndCaHpnWWhVcW1xYmlGeWRueDExMWFwVjc5WFcxaTROazQyRkluTEYwcVZMZjFiWVdGVlYxVkhoajBlSCs5NXJyZDNkOS8zaUdZTjJBVENsVk1BaU1ndkFncnE2dXFpSTdLU3ErWmxYQmNEUEFTek5ack0zVlZaV3RnZEJjRlFrRW5teXZyNys0S0ZEaDA0UmtZY0EzT2Q1WG8vcDh4M0grVExDZGNuVzU0M3NUVGFiM2R0eEhJaklqTFdvVGtTYkFTWmdSRVJFVk5LcVZhdWVHekprU0RhYzBiREhuWjkwT3YxVUlwSFkxM0djM1FFODFkalkrSy94NDhkdlgxTlRFL1Y5djN0SVhUd2UzdzFBaytkNUI2SHJUdE1lcW5weGJXMnRVOWllcXA0T1lKYnYrNmtKRXlZY1YxMWRuUUx3MkpRcFV6Nlh2MHNWMXZ0ZDhaREdZaU5HakpnS0lCSUV3VC9SZGZmclRBQUhxdXBwQlhlOERnRHdqOXJhMmhrQWRsTFZ4MzNmUDdGVWU2cDZPSUIzTTVtTXQzN3ZabW1PNDB3RmtBdUNvTStwL29sbzgySFdvZzRSRVJGdGdjSTErdjZvcXRNbVRabzBvbFFkRWZsUnVBYWZBc0NRSVVQK0tTSy96RytQeCtPakk1SEljNDdqWEpvdkM0SmdtWWg4eVhHY0grZkxyTFhIaWtoQ1ZYOENBTE5uejE2U3krVytDaUF3eG54cVhXTlgxYThCZUwreHNmSGxSQ0t4TDRBZnErb3o2WFQ2am9KcW8wVGtIUUNUQWRTbzZ0dkpaSExyNHJZU2lVUWRnRDFWdGNmZEwyUE05b2xFb2k3L0I0QVJrZHJDTW1OTWp6WUJvTDYrdmxaVmoxTFZSd3VmSXlPaXpSc1RNQ0lpSXVwVk5wdG5tU2tZQUFBZ0FFbEVRVlM5Q3NDUXFxcXE3eFJ2U3lRU2U0cklBU0p5YmNFNmU3OENjRlJEUThQbjBMV20zb2NBZmdiZ3UxT21UTmtKWFd0N3pRcUM0RWNBVG05b2FOaHYvUGp4dzBUa0psVjlQWjFPMzUxdlA1UEplTDd2eHhvYkcyZXRTOHl1NjlhTHlIRkJFTnp2dXE0VmtTZFVkVjQybXozZVdydU50ZmFicnV2K1dVUmVCMUNwcWxOVjlSb1JPVjlWMzNOZDkwNXI3YkdUSjAvZUZsMUoxbkVpSXFVU01BQ054cGgzOG44QURBTndhbEhaOTB2Rk9YVG8wRE5GWkhnUUJEOWNsOWRIUkpzMkptQkVSRVRVcTB3bTB5UWl0eFFtVUNFUmtaK3A2bHVlNTkxVFVIZ2JnTVdPNC93Z1g3WnExYXFmQXVpc3FLam92Z3UyZVBIaUh3SjR6M0djRytiTW1iTUN3QytNTWNlV1dEQzl6NFdTU3dtQ1lEY0FiZGxzOWpvUmVSZkFjN2xjN291TzR4d0w0QU1BZDZwcXBhb2U1WG5lN3I3di84MzMvZThEMkNrSWdwdFU5V0FSdWEreXN0SlBKcE5icVdxMXFqWTNOamErWE9Kd2h3WkJzRjlmZjFUMTF1S2Rrc25rOWlKeWdhcitwckd4MFYvWDEwaEVteTZ1T1VGRVJFUjlxcSt2cjZxdHJYMVpWYlBHbU0rblVxbk9aREs1VFJBRWQ0akkzWjduclhabktCeE8yT1o1M2lQNU10ZDFEeEtSVkNxVldseFFidzhBQzN6ZmY3ZS9ZMDRrRXJ1bTArblhTN3lPVTdQWjdLT1pUR1orSDdzN3J1dnVxYXF0dnUrL1VhcENNcG1zYUcxdHJXcHVibDZ4SHVFNTF0b1hBQXczeG53dWxVcXRXbzgyaUdnVHhRU01pSWlJMXFpK3ZyNjJ0cloyOUVjZmZUUy9yelhCYU0zQ1JQQXpJcklvbFVwOXNoYTdFQkVSRVJFUkVSRVJFUkVSRVJFUkVSRVJFUkVSRVJFUkVSRVJFUkVSRVJFUkVSRVJFUkVSRVJFUkVSRVJFUkVSMGVERWRjQ0lhTEJ5NnV2cmh3QkFTMHZMU2dDNWdRNklpQWE5d241akZZRHNRQWRFUkZUTUdlZ0FpSWhLY1YxM1FtVmw1WTNSYVBUb01XUEdOSDN3d1FjTEJ6b21JaHJjQ3Z1TmJiZmQ5bDhmZlBEQmdvR09pWWlvV0dTZ0F5QWlLaVdiemRaR0lwRTlWVFVLWVBoQXgwTkVnMTlodjJHTUdUSFE4UkFSbFdJR09nQWlJaUlpSXFJdEJSTXdJaUlpSWlLaU1tRUNSa1JFUkVSRVZDWk13SWlJaUlpSWlNcUVDUmdSRVJFUkVWR1pNQUVqSWlJaUlpSXFFeVpnUkVSRVJFUkVaY0lFaklpSWlJaUlxRXlZZ0JFUkVSRVJFWlVKRXpBaUlpSWlJcUl5WVFKR1JFUkVSRVJVSmt6QWlJaUlpSWlJeW9RSkdCRVJFUkVSVVprd0FTTWlJaUlpSWlvVEptQkVSRVJFUkVSbHdnU01pSWlJaUlpb1RKaUFFUkVSRVJFUmxRa1RNQ0lpSWlJaW9qSmhBa1pFUkVSRVJGUW1UTUNJaUlpSWlJaktoQWtZRVJFUkVSRlJtVEFCSXlJaUlpSWlLaE1tWUVSRVJFUkVSR1hDQkl5SWlJaUlpS2hNbUlBUkVSRVJFUkdWQ1JNd0lpSWlJaUtpTW1FQ1JrUkVSRVJFVkNaTXdJaUlpSWlJaU1xRUNSZ1JFUkVSRVZHWk1BRWpJaUlpSWlJcUV5WmdSRVJFUkVSRVpjSUVqSWlJaUlpSXFFeVlnQkVSRVJFUkVaVUpFekFpSWlJaUlxSXlZUUpHUkVSRVJFUlVKa3pBaUlpSWlJaUl5b1FKR0JFUkVSRVJVWmt3QVNNaUlpSWlJaW9USm1CRVJFUkVSRVJsd2dTTWlJaUlpSWlvVEppQUVSRVJFUkVSbFFrVE1DSWlJaUlpb2pKaEFrWkVSRVJFUkZRbVRNQ0lpSWlJaUlqS2hBa1lFUkVSRVJGUm1VUUdPZ0Fpb21ReVdSTUV3YWpDTWxYZFRsVWRFVEVBeGxocmR5amNuc3ZsRm1jeW1aVmxENWFJQm9VMTlSdXF1aTM3RFNJYWpKaUFFZEdBeTJhejR4M0g4UXJMUktUdzEvdUxmb2N4NW5NQVhpOVRpRVEweUt5cDN4Q1J1NHIzWWI5QlJJTUJoeUFTMFlCcmJHek1xT3JNdGEydnFtK20wMmx2TGFvUzBXYUsvUVlSYmFxWWdCSFJZSkJUMVh2UmRaSUVWZTFSb2JCY1ZSOEVrQ3QvbUVRMGlMRGZJS0pORWhNd0lob1VnaUI0VEZXWHJrWFZaZGxzOXNreWhFUkVnOXphOWh1cXVvTDlCaEVORmt6QWlHaFFNTVlzQlBCNjhiTmVoY0p0amJsYzdqL2xqSTJJQnFkMTZEZWEyVzhRMFdEQkJJeUlCb1YwT3IwY3dJdXFHaUFjT3BSWE1JUklBYno2NXB0dkxoNjRTSWxvc0ZpSGZzTm52MEZFZ3dVVE1DSWFMSElpOGdhQVQvcW9zMHBWWHdQUVdjYTRpR2p3V3F0K0E4QU05aHRFTkZnd0FTT2lRYU8xdGJVUndLTDg3OFVQMW92SXNzN096bjhPVkh4RU5QaXNUYitocWk4TlZIeEVSTVdZZ0JIUm9QSG1tMisrRDhBcjlUeEhXT1kxTlRYTkc0allpR2h3V3B0K0k1MU96eDJJMklpSVNtRUNSa1NEU2phYnZidTNiVUVRM0ZIZWFJaG9VOEIrZzRnMkpVekFpR2hRYVcxdC9idXFMaXd1VjlWRlM1Y3UvZFBBUkVWRWd4bjdEU0xhbERBQkk2SkJwYVdscFYxRWZwOGZUaVFpRUJHbzZpTno1ODV0RytqNGlHandZYjlCUkpzU0ptQkVOT2prY3JuZnEycDcvbmRWN1FEdzBNQkdSVVNER2ZzTkl0cFVNQUVqb2tHbnRiWDEzd0JtRmx6Tm51MDR6cHlCam91SUJxOFMvY2EvMlc4UTBXREVCSXlJQnAwZ0NKYXI2a3Y2WDY5M2RuWXVHZWk0aUdqd0t0RnZOTExmSUtMQmlBa1lFUTA2TFMwdDdlR0N5NnNBZEtqcWE1bE1adVZBeDBWRWcxZHh2eEVFQWZzTklocVVJZ01kQUJGUktTTGloWXVyRGdtQzRKV0Jqb2VJQnIvQ2ZrTlZYeGpvZUlpSWlJZzJKV0t0ZmRaYSt6cnYxaFBSV21LL1FVU0RYczlsNDRsb1FIM3FzNU0vVTFrUitleEF4ekVZMUZUaXl3WmF0YUpESGhub1dBYUw5dmIyZDk1LzU4MTNCem9PR2x6WWIvd1grNDJlMkc4UURTNU13SWdHa2JxNlJCMmllaWNFRXdZNmxzRkJ3ejVLZEtBakdVVGVRNnNjTTNkdWV1NUFCMEtEQS91Tll1dzNTbUMvUVRTSThCa3dvc0VraWpvSUpnaGtURTExTlp5SU05QVIwU0NSeStiUTJ0YUdRRFdLS09vQThFU0t1ckRmb0Y2dzN5QWFuSmlBRVExQ05kWFZPUGM3WnlJMmNmeEFoMEtEUlBPYmMzRFRMYi9DMG1YTEJqb1VHcVRZYjFBeDlodEVneE1UTUtKQnlJazRpRTBjajkwL3Q4dEFoMEtEU0VWRnhVQ0hRSU1ZK3cwcWhmMEcwZURER1lLSWlJaUlpSWpLaEFrWUVSRVJFUkZSbVRBQkl5SWlJaUlpS2hNbVlFUkVSRVJFUkdYQ0JJeUlpSWlJaUtoTW1JQVJFUkVSRVJHVkNSTXdJaUlpSWlLaU1tRUNSa1JFUkVSRVZDWk13SWlJaUlpSWlNcUVDUmdSRVJFUkVWR1pNQUVqSWlJaUlpSXFFeVpnUkVSRVJFUkVaY0lFaklpSWlJaUlxRXlZZ0JFUkVSRVJFWlVKRXpBaUlpSWlJcUl5WVFKR1JFUkVSRVJVSmt6QWlJaUlpSWlJeW9RSkdCRVJFUkVSVVprd0FTT2lRZVhkZDk5RktwVmE3LzNiMnRyd2s1LzhCRys5OVZhL3hrVkVneGY3RFNMYWxFUUdPZ0FpMm5TMHQ3Zmo3YmZmN2xHKzAwNDdJUnFOcmxiMndnc3ZZTWFNR1Rqbm5ITlFVMU96MXNlNDc3Nzc4T3l6eitKdmYvdmJlc1hZMmRtSjMvLys5MGdta3hnM2J0eDZ0VUZFL1lmOUJoSFI2amI1Qk14YUd3TndPb0F2aXNobkFGUUMrQkRBMndDZVdMbHk1UjF6NXN4WjNwL0hqTWZqWXlPUnlEd0FyY3VXTGR1NnBhV2x2YmhPSXBHNDJCaHp0YW8rN1B2K2tTWGlIZ1Znb1lnczh6eHZKSUJjZjhab3JmMjZpUHcrL1BVYm51ZmRXNnBlSXBGSUdHTjhBRTk1bm5kSWY4WlFJcWI5QVh4YlJQWUFNQXBBRnNCL1ZQVXAzL2ZQM3BqSExpQ1RKMCtlRUFUQnZPYm01aFZsT3VabVk5NjhlZmpHTjc3Um8veWVlKzVCTEJici9uM0praVc0N0xMTHNIejVjb3daTXdZbm4zeHl5ZmFXTDErT2hRc1hybGEyWk1rU0FFQkxTMHZKZlVhTUdJRVJJMGFzYyt3WFhuZ2hac3lZVVhMYmxWZGVpZjMzMzMrZDJ5U2lOV08vUVgycHE2dUxEaDA2ZE1lbXBxWTVBSUp5SHB2bmtLWHhISExqMjVRVE1NZGFleDJBNzRxSUFiQUVRTE9xNWtSa08xWGRWMFQycTZtcGVRbkFHLzE1NEV3bU05OTEzWmtBcHRUVzF1NEY0Ty9GZFVUa1MrR1BYd1RnRkg4NGdpRFl6M0VjQ2ZmdDF3OU9NVlg5NmFSSms1NmVOV3ZXUnh2ek9IMngxbDR0SWhlSDhid0ZZQTZBYlVWa1J3REhBTmhZSHg0bmtVZ01VOVhSSW5Ld2lKd2dJdU55dWR4ZUFHWnRwR051OXE2NzdqckVZakU4OU5CRHVPdXV1N0R0dHR0MmI4dmxjcmpzc3N1d3pUYmI0UGpqajhkdHQ5MkdYWGJaQmZGNHZFYzd6ejMzSEs2NDRvcVN4emptbUdOS2xwOTIybW40bi8vNW4zV091YjI5SFVPR0RNSFJSeC9kWGZiUlJ4L2hnUWNlUURhYlhlZjJpR2pkc04rZ1VtcHJhN2VKUkNLdldHdGJWUFZlWTh5VFFSQXNUcWZUeXpmaStSSFBJZGZTRm40T3VkRnNzZ21ZdGZZZUVUazJ2RXB4anVkNVR4ZGVPWW5INDZNZHgvbEdFQVRMTnNieGd5QjR4aGd6UlZXbkZuOTR4bzhmUHl6TTBOdEVaSGhEUTBPeXNiSHhuNFYxakRIN2hULytlV1BFVitBOUVkbStxcXJxZWdEL2J5TWZxNlI0UEw2YmlGeXNxaCtMeU9HKzc3K1UzelorL1BoaFE0WU0rZHBHT09aWXgzRjJGNUZkVlhVM1k0d0ZVQnR1N3RlcldWdWlrU05INGxPZitoUm16NTZOS1ZPbVlPVElrZDNiZnZyVG55S1ZTdUh1dSs5R2ZYMDkwdWswempyckxQenFWNy9DK1BIalYydG5uMzMyd1gzMzNiZGEyWmxubm9tZGR0b0o1NTEzM21ybFFSRGdoQk5PS0JsUEVBVDQ2MS8vQ29UUGNnQkFPcDFHUjBjSFJBUUhIbmdnRUY0RlArV1VVN3IzYTJscHdRTVBQTERCN3djUnJSbjdEZXFERVpFa0FGZFZMeE9SdExYMk5WVjkxWEdjMTFLcDFQdjllVENlUTY2MUxmSWNzaHcyeVFUTVdudTZpQnlycW0rMnRyYnVQWHYyN0NYRmRUS1p6SWNBcnQrSVlUd0Q0RUlBVXdGOHYzRERrQ0ZEcGdLb0FQQWtnQ01jeHprQXdHb2ZIaEhaRHdDeTJleGZObUtNQ0lMZ2o4YVlnd0djMU5EUWNIZGpZK056Ry9ONHBUaU9rKzhvN3ZFODc2WENiZUd0L1R2NzR6aXhXS3l5c3JMeXl5SnlEQUFYd0NoVjNTcTh1bFZJalRIYUg4ZmNrclcxdGNIMy9kV3VLdi84NXovSC9mZmZqOHN1dTZ6N09ZcnJycnNPcDU1NktrNDU1UlJjZnZubHF3M1oyV3FycmJEVlZsdDEvejVqeGd4OC9QSEhtRHAxYW8rVHJsSlhtNXVhbXZEa2swL2k1Sk5QeHBWWFhnbDBYUjBEQUR6NDRJTXd4aUFTaVhTZlNCSFJ3R0svUWFXb3FvZ0lSRVFBREFld3I2cCtRVVNXcXVvaWErMC9WZldlam82T0Y1cWJtenMyNUZnOGgxeDdXOUk1WkxsdGNyTWdKcFBKQ2hHNURGMURGazRvOWNFcEI4ZHhab1IzVXBKVHBrelp1bWp6bDlEMUgvY1dkSFVzVXdzM0pwUEo3UUNNVjlXM01wbk1PeHN6VG1OTURzQnBxcXJHbUZ2cjYrdXJOdWJ4ZXJFeS9IdWIvbXkwcnE0dUdvL0hSMCtaTW1VZmErM04wV2gwZ1RIbUVSSDVPb0NkQVd3TndLZ3E4bjlDRWdTQjlHY3NXeUxQODlEUjBZRjk5OTBYN2UzdHVPeXl5M0RQUGZmZzNIUFB4V0dISGRaZGIralFvYmo1NXB1eDQ0NDc0c0lMTDhUbGwxK094WXNYOTJodi92ejV1UExLSzdIdHR0dmkwRU1QWGFzWTNudnZQZnpoRDM5QWEyc3Jac3lZZ1JrelptRDY5T2tBZ0t1dnZob3pac3pBQ3krODBJK3Ztb2cyQlBzTktrVkVGR0VpWFBCOWJRQ01BREJlUkw1aGpQbExWVlhWdjYyMTF5Y1NpVjBuVEpnd01oYUxWYTdMY1hnT3VXNDI1M1BJZ2JiSjNRSEw1WEo3R1dQR3FPcU1UQ2JqRFZRY3FWU3EwM1hkWjBYa2lJcUtpdjBBUEp6ZnBxb0hpY2kvMCtuMFgxM1hmUnZBbnNsa3NpYVZTcTBLWDhOK3hoaUl5RWE5Y2hIR0lyN3Z2K1M2N3UwQVRoczJiTmdsQUM3ZDJNY3Q4cmlxL2dUQTE2MjFyL20rLzRzTmVOQTJZcTFOaU1odXFyb3JnRjFGWkdjQWtZSUVhelZkRjlTQVV0dVR5ZVJXUVJERVZOVTRqdE9VU3FVK1FkY1ZzaDBBMU9WeXViWk1Kdk5hV04yeDFrNEdNRHdJZ3BiR3hzYi9BRUI5ZlgzVnNHSERkZ2NBMy9lN3Y3VW5UNTc4MllxS2lyR3F1aUNkVG5mUGJXeXQzUWRkL3cvZXlHUXlLd0ZnNHNTSjIwV2owWjFYZGVZKzI1N2JOSExER1RObVlJY2Rka0EwR3NXSko1Nkl0OTU2QytQR2pVTWtFaWs1UEdmcTFLbW9ycTdHRTA4OGdlYm1aano0NElQZDI1NTc3amxjZGRWVmFHdHJ3eTIzM0lMcTZ1b2UrenVPQThkeHVvY0tJYnlTWFZsWmlVOS8rdFBkWlMrOTlGS1BmWWxvY0dDL01UQTBVRVFyOUxQV1d0MVkzMThBbGhwam1sT3BWQ2NBdUs2YlZOV2hBT2I2dnY4dSt2ak9MVlRxTzd2ZzUwK0x5TGtpOHUyYW1wbzNWZldmaVVUaVZSSDVwKy83YndMb2MzUUx6eUhYeldaNERqbG9iSElKbUlpNDRkK3ZESFFzNFJqZUk4S3JFdytqcThPWkNHQUhWYzFmdWZpTGlKeWhxbDhBOEtjdzlpL210NVV4MW91TU1ZY0J1TkJhKzN2Zjk1dkxkV3pmOTkrMTFwNEs0SFlSdWNGYWU3S3FYcFpPcHg5YjJ6YkdqeDgvTEJxTkh1YzR6dEdxdWpPQWtRQ2lJaUtsRXF0OEI3NG1RUkRFUk9SV0Vha0tndUQvQWNqL3YvcWFpSnp2T000OEFKOUQxeGZWRUFEVFJXUlBFWmtPNEhZQXFLbXBHU1VpOTRmN2JaZHZ1NktpNGtRUk9WVlY3d1p3VVVGczk0ZC9UODFQQkJLTlJnOFFrZXVxSXVaZkhWbmRKTzVNdi9ubW14ZzFhaFMyMm1vclJDSVJYSExKSmJqNTVwdHh4eDEzQUFCYVcxdlIydHE2MnN4ak45NTRJOTU5OTEwNGpvUFcxbGE4OE1JTHVQLysrekZ6NWt5TUdUTUdOOXh3QXlaUG50eGQvNFVYWHNEbzBhTXhjZUpFaUFqR2pSdUh4eDdyK20venlTZWY0T21ubjhZZWUreUJTS1NySzF1NWNpV2VmLzU1QU1BNzc3eURxcW9xN0xubm5tVitaNGlvTit3M0JvWUFxSXFZYjRySXpodnIrMHRWWHc2QzRIUUFpOUIxam5PdGlFd09UNTZ2UjkvZnVUMWo3dVY3UFB6T2o0cUlCWkFRa2VNQkxFNGtFdjhDOFB1bFM1YytPbmZ1M0tXOXRNbHp5UFdMZFpNK2h4eU1OcmtFTEg4TFVsVjczRFoyWGZmbnhUT2hxT3IxdnUrZnZ6RUNDVDg4QUhCQVFmR1h3dVArR2F0L2VLWVdmSGoyQTlDNWF0V3FzbzJsVGFmVFM2MjFaNG5JSDFUMVZ3RDJYdE9Wb3Y3aysvN2Q4WGpjY3h6blp5SXlWVVFldGRhK0VRVEJtY1VQbC9iR0dDT3FHZzJuaVJYMGNsZXJONFdkZWY0WnNDQUlITWR4cWxRMUdnU0JVMUE5b3FwUkVlbSszUjRFZ1loSVpWZ2VLU3dQNHlvV0Njc3JDZ3Z6ZFZWVkN0cHdqREZSSTFKUnhuK1dEWEwyMldmalc5LzZGcDU5OWxuY2M4ODlFQkVjY2NRUjNkdnZ1T01PM0hubm5kMFB1ZWRObkRnUkNCZE92ZTY2NjVETDVYRHl5U2ZqcEpOT3dwQWhRMWFyTzMzNmRPeS8vLzdkdzRNdXYveHkzSGpqalhqdXVlZFFVVkdCZ3c0NkNHZWYvZCtQL0ZOUFBZVWhRNGFncmEwTmYvN3puM0hiYmJmaGlpdXV3SmUrMURXaFZQaDVKYUlCd241ajRCaVJpbzM1L1NVaWxkbHN0cnRjUktyQytvWEg2KzA3ZDUyLytBcSsveXRGWkJpQU1RQ0dEUmt5cEs5L01KNURyb2ZONFJ4eXNOa1VFN0JWNlBvUE9LekV0amNMWm9UWkRrRFArV3Y3VVRpVmFKT0lUTGJXN2hEZVl2OFNnTTdXMXRhL0E4Q0tGU3YrWGx0Ym14V1JBOUIxKzMxN1ZkMUpWVi9zNzdVbDFzVDMvWWVzdFkrTHlHR3U2NTdtZWQ1dDVUeCtKcE5wQW5DQTY3cDdxK3FWSXJLdjR6Z3pyTFhmOG4zLzdyNzJEZCtyV3dIY05tWEtsUEhHbUQyTU1aOFRrYzhCaUFHSTlqSmNZYlhoRFBtZjg4K0FpVWhURUFRbnE2b1JrYWFDL1I4QThGb3VsK3NldC9MdmYvOTdaU0tSdURRL0JERmZ2bUxGaWtYRGh3Ly83eGxFcUtPajR6Y1ZGUlYvVWRVRmhlV3FlZ1M2SHA2ZG15OXJhMnY3YzNWMTlSR3JPb042RmZ4ZzNkN1pnZEhRMElCRER6MFVOOTk4TXc0KytPRHVxOGxyYTRjZGRzQmRkOTJGVWFOR2xSdzZWTXE0Y2VOdzAwMDNsZHlXeldaeDExMTM0YUNERHNKOTk5MkgwMDgvSGM4Ly96d3V2ZlJTVEp3NEVaMmRuVDFPMUlpb3ZOaHZEQXdGc0tvajk1dWFDdE95c2I2L1ZIVnBOcHRkV2xEMzNQd1F4SHhaYjkrNStZdXFSY2ZLNzdOYWVmaDdWbFZiQUx5dXFxOEJlTTMzL1hTNE5sUmZlQTY1bmpibGM4akJhSk5Md0VRay8wSHU4Y0VJL3pQY2hxNHJHU2NBdUtjTUlUMERZREtBcVdQSGpyMFB3QmRVOVpYOEI2T2xwV1daNjdxdnF1cGU4WGg4ZE1IWTNZMDlkV2hKdVZ6dXpFZ2tzcCtxWGh1THhRYms5bTA0aTgxKzF0cHZpc2h2Uk9UV1JDTHhZanFkbnJzV3Urdk1tVE5uQTVnOWR1elkrNGNQSDc2Tk1XWm54M0VPQjNDa2lId0t2WThkN3lHZFRpOEY4SEtKOHJtRlh4cWhiRHFkVGhmWG5UdDNiaHVBNTR2TFo4MmExUUtneDZxZzZYUzZSOTA1YytZc0FMQ2dia0lDa0UzakRoZ0FmT1VyWDhIamp6K091KzY2QzcvNXpXOVcyNWJOWnBITlpySFhYbnYxMk8rcHA1N0NndzgraU50dnY3M1A5b01nd0dPUFBZWW5ubmlpMXpvWFhIQUJqajc2YUR6NDRJTll0R2dScGsyYjFqMUY5ZlRwMDNIZ2dRZGloeDEyd0NlZmZJTHR0dHV1MTNhSXFEelliNVNmR0VGSFRscitOV3YxNzUvKy9QNHFMdmQ5djhmNldiMTk1K1puUVVRdjM5a0YyejVXMVNkVjlZRWdDSnJiMjlzWHIwc2l3blBJRGJNWm5FTU9HcHRjQXFhcWZ3Y1FpTWpVeVpNbmI5dlUxTFJ3SU9QSjVYTFBPSTV6QVlDcG8wYU5XaENPUzE3dGd4SGVRdjY4NHpqN0E5Z3ZYellROFlaWFhMNHZJamRGbzlFYkFQeHdJT0pBZUV2WldydVBpSndzSW9jQ0tIMkpzaGZ6NTg5dm5UOS8vandBOHdEOERjQjU4WGo4NEVna2NnS0FQUUZzQmFBbVB3MTlRYWZPYWVqN3lkaXhZNEZ3V3VpTExycG90VzB2dnZnaS92R1BmL1FvUjlkekI5aG5uMzB3WnN5WVB0dS85dHByRVl2RlZwc2RyVmc4SHNmU3BVdHg2NjIzNGl0ZitRcEdqeDdkdmMxeG5PNFR1YVZMbDJMQ2hBbnIvQnFKcUgreDM2QmlJaElVL0F4MGZXZHJlTWRxV1JBRU0xWDExNHNXTFhweXdZSUZxOWIzT0R5SDNEQ2Iwem5rUU52a0VqRGY5eGU0cnZzUWdLTXJLeXR2QmZDMWpiMEtlRjhpa2NnL1ZIVTVnTDFWOWYydzQxanR3eE1Fd1o4ZHg3a1N3UDRBdmdCZ2llLzdBemI3anVkNU43dXVlenlBbzRNZ2VIMkF4N2QvSFA2OTFScnFyWTNPVENiek9JREg0L0g0YUdQTW51RVF4ZDFVTlJrdXhDeWNobjdEZFhSMExjT1N5V1FBQUR2dXVDTWFHaHB3M1hYWDRmampqMGRkWFIwKy9QQkR2UExLS3pqc3NNUHduLy84QjIrLy9UYSs4SVV2ZExjeGZ2ejQxZGJzV2JCZ0FSNSsrR0djZnZycDNjT1Nyci8rZW15Ly9mYmRKMUt2dmZZYUdob2FFSTJ1L3NoQ1oyY25hbXRyY2NZWlo1U01kK25TcGZqZ2d3OTZyQkZVN09HSHV5YWkrdXBYdjdxZTd3d1I5WWI5QnZVaC8xZ0FBQ3dEa0Fid09vQlhWZlgxZERyOWJuOGNoT2VRRzI0elBvY3NxMDN5eVZJUk9RZkFCd0NtV1d1ZmljZmprd3UzaCt0Q1RDeEhMT0YwcTM4VGtVK0x5SUVBRm51ZXQ5b0hvN0d4OFExVi9VaEU5aFdSSFZYMXJ3TThoV2FReldaUEJkQXBJaGR2N0lPNXJ2dmRSQ0p4U2pLWnJDa3FueGpPWGdSVi9VZC9Iak9UeVh5WVRxY2Y5WDEvZWtkSHgzSFpiSFovQUJlcnFyYzVURjg2MEg3eWs1OWdyNzMyd3NVWFg0d2RkdGdCa3lkUHhuMzMzWWRISG5rRXExYjF2RGg1NzczMzRyenp6c1BUVHo5ZHNyM201bWFjZU9LSitOM3Zmb2VaTTJlV3JETjM3bHljZGRaWk9PYVlZL0RhYTYrdHRxMmlvZ0ozM0hISGFsZXhDNlZTS2FEci8xeWZyMnZtekptNDY2NjcrcXhEUk91SC9RYjFRVlUxbzZyVE96bzY5bTlyYXp2R0dIT3g3L3NQNWFldzd5ODhoOXhnbS8wNVpEbHNjbmZBMFBVZjl2MTRQTDZ2NHppUGk4Z0JrVWhrcHJWMnJvak1BekFVd0dmRHV4M0lUNGVLcm4rc2d3Q2MxZG5aK1kyWk0yZCszUHNSMXRrekFLYUp5Q1JWdmEvRXpEQ0JpUHdOd0ZIbyt2RDN1SFVjcmp0MVZ6YWJQV3RtYjk4ay9TaVR5VFFsRW9rZkdXUCtyOVIyMTNVdkJ6REU4N3lMTnZTRHJxcmJHbU4rR2dUQkw2eTFNMFhrSTFYZFZsWGo0VFR5dnlrMXJyeWZaTU1oQmdzQnBBRDhxS0doSWRiVzF2YmVSanJlRm1IYXRHbFl2SGd4Um84ZWpZTVBQaGlMRnkvR3IzNzFLeHg1NUpHSXhXSTk2cDkzM25sWXRHZ1JwaytmamlBSWNNZ2hoM1J2ZSthWlozRFZWVmNoR28zaTFsdHZSVU5EUThsajF0WFY0ZFpiYjhVVlYxeUJiMy83Mnpqa2tFTnd3UVVYWU9qUW9RRFE1N0NrcDU1NkNtUEdqTUZuUC92WlBsL1h4eDkvakZHalJxM0RPMEZFYTR2OUJwWHkwVWNmTFJrNWN1U2VqWTJOYjVZanNlQTU1SWJiZ3M0aE41cE44ZzRZdXY3eDU3UzN0MDhCY0xxcS9nM0FFQUI3QUtoWDFYY0EvQkxBSHI3dlg1ZmZSMVdIcWVyVWlvcUtWNUxKWk44OTZqcm82T2g0cHVBWUpjZmw1cWNVUmRlWTMxSjFob2pJVGhVVkZUT3N0UWYzVjJ4OVdiRml4UTlVOVYrbHRvVXpGNTF2clgwa0hvOXYwQlJRSW5JSGdCdEVwQm5BQkFCZkRLZUxmVVpWai9KOS8xc2IwdjQ2MHNiR3hsbmxuajFvY3hPTHhYRDIyV2ZqMkdPUFJUUWF4Zm5ubjQrdHR0b0taNTExVm5lZElBaTZ4L0pISWhGY2M4MDEySFhYWFhINTVaZmpMMy81QzFhc1dJRkxMNzBVbDF4eUNiYmJianY4OXJlLzdYRVNsYzFtVjVzQnkzVmQzSC8vL1RqaWlDUHc1Sk5QNHFpampzS3JyNzdhWjZ5elo4L0dDeSs4Z0pOT09xbkhiRnI1b1JQdDdlMUFPSnhwYzNqZ25tZ3dZcjlCcGN5ZlA3KzFzYkZ4VmpudjZ2QWNjc050b2VlUS9XYVR2QU9XMTl6YzNCSE9XTE5XVTJHR1UyaCtDT0R4SUFoZVRpUVNCNVdhMVc1ZE5UVTF6U3MxaFdyUnNYOE40TmQ5Ykc5dWFHall3M0djUDRuSTR4czZyYWJ2Ky9jRHVMK3ZPaTB0TGUwQVNnNXU5MzMvL0VRaU1VOUVmaGFKUlA0MlpjcVVnOWYzaW8vbmVTMEF6bG1mZldud216MTdOaFlzV0lBYmJyZ0JzMmZQeGh0dnZJRm9OSXJISDM4Y0kwZU83SzVYVVZHQjY2Ky9IbGRmZlRVbVRacUVSeDU1QkU4Ly9UUU9QUEJBWEhycHBhaXBxY0hDaFF2eDJHT1BvYWFtQnZQbnowZGJXOXRxQzdJQ1FIVjFOUzc1Lyt6ZGFXQlUxZDNIOGQrNU00R3dJeUJMUllpeXh4Qm1rb0pXdTdoZ3EyMjF0VnF0QzJwVmNLTzFMdFZxWFdwZGlsWmJsU3B1VlV0ZHFIWGxRVlJVRUxRaUtwbkpBQW5SQUJFaWl3YUlMRmxuN25sZVpKSm1aVW5DblVuNWZ0NHdjODY1OS80VGNaeWY1OXh6Yjd4UjJkblp1dU9PTy9UbGwxKzJXTnYyN2R2MSs5Ly9Yb01IRDlaUGZ2S1RKdjBISG5pZ2ZENmZIbjMwVVMxY3VGQ3JWcTNTR1dlYzBjNi9JUUNOOGJtQlJPTTc1QzZ2eDNmSWZheERCN0RXQ0lWQ2l6SXpNMy9nOS92blNicFEwcS8yNERCUDVPYm1maEVNQm8rVnRDQytSdm5aUFhpbXhUNFREb2Z2RHdRQzFaS20rM3kraVpMK25haGFrTHdDZ1lCZWUrMDFkZS9lWFFzV0xLamJJcnB2Mzc2NjVwcUd6Ni9zMnJXcmJyLzlka25TcEVtVE5ITGtTQjErK09GMS9aMDdkOVlqajlUOHQ5RG44eWtqSTBPbm5YWmFzOWM5OGNRVE5XSENoQVpmMWhwNzdiWFh0R1hMRmozNTVKUHExS2xUay80ZVBYcm9xcXV1MHNzdnY2elZxMWZycEpOTzJ1WE9hUURhQjU4YjZJajREcm5uK0E2SlptVm1abzVLMWlXWW1abVovVWVQSHQzeWZ4MDhscFdWNWNuTnFKRFNSZ2VPVGhzemJrUG1oRy9ieFVzK3RtaTd6WnMzSjdxRWRyRjR5Y2QyL0xlUHMybGpBbHZUUmdlT1R2VGZWU1FQUGpmYUg1OGIyQlcrUSs0NXZrTTJiNytiQWFzVmlVUUtFbDFEU3lLUlNNdHJJeElnSnljblA5RTFBSzNWZUNrU0FPd09ueHZZRmI1RDdqbStRell2S2RNN0FBQUFBUHd2SW9BQkFBQUFnRWNJWUVSb1V6Y0FBQ0FBU1VSQlZBQUFBQURnRVFJWUFBQUFBSGlFQUFZQUFBQUFIaUdBQVFBQUFJQkhDR0FBQUFBQTRCRUNHQUFBQUFCNGhBQUdBQUFBQUI0aGdBRUFBQUNBUndoZ0FBQUFBT0FSQWhnQUFBQUFlSVFBQmdBQUFBQWVJWUFCQUFBQWdFY0lZQUFBQUFEZ0VRSVlBQUFBQUhqRW4rZ0NBRFFWaThhVWwxK1E2REtRUlBMeUMxUmRYWjNvTXBERStOeEFZM3h1QU1tSkFBWWtvZktLQ2syZjhhaFNVbElTWFFxU1JIVjF0Ylp0MzU3b01wREUrTnhBWTN4dUFNbUpBQVlra1NycmJ1aGt6QWJYMnRUU2Jkc1NYVTVDV2RmSzFMNldaQnl6bXlQMkU5WnVxckoyUTZMTFFQTGdjK08vK054b0FaOGJRRkxoa3dsSUxzNlE0WWVOZHZ3cC9STmRTS0oxOHBraHFTbjJRc2VZbFBMcTJOOHJvODZxUk5lVURHTEdMVm1YSDhtVDVDYTZGaVFOUGpmaU92bmM0YWtwemlUSG1KU3lxdGdUVlRHbk1ORTFKUU0rTjREa1FnQURrSlF5TXpNUDkvdjlyMWhyVXlYOU5CUUtMVXgwVFFDU1d5QVFPTnB4bk9lc3RhblcybFBDNGZDN2lhNEpBQnBqRjBRQUFBQUE4QWdCREFBQUFBQThRZ0FEQUFBQUFJOFF3QUFBQUFEQUl3UXdBQUFBQVBBSUFRd0FBQUFBUEVJQUF3QUFBQUNQRU1BQUFBQUF3Q01FTUFBQUFBRHdDQUVNQUFBQUFEeENBQU1BQUFBQWp4REFBQUFBQU1BakJEQUFBQUFBOEFnQkRBQUFBQUE4UWdBREFBQUFBSThRd0FBQUFBREFJd1F3QUFBQUFQQUlBUXdBQUFBQVBFSUFBd0FBQUFDUEVNQUFBQUFBd0NNRU1BQUFBQUR3Q0FFTUFBQUFBRHhDQUFNQUFBQUFqeERBQUFBQUFNQWpCREFBQUFBQThBZ0JEQUFBQUFBOFFnQURBQUFBQUk4UXdBQUFBQURBSXdRd0FBQUFBUEFJQVF3QUFBQUFQRUlBQXdBQUFBQ1BFTUFBQUFBQXdDTUVNQUFBQUFEd0NBRU1BQUFBQUR4Q0FBTUFBQUFBanhEQUFBQUFBTUFqL2tRWEFBRFoyZGxkWGRjOXNINmJ0WGFRdGRabmpIRWtEUXdHZzBQcjk4ZGlzWkpJSkxMVDgySUJBQURhZ0FBR0lPR2kwZWdvbjgrWFU3L05HRlAvN2F4RzcrVTR6Z1JKSDN0VUlnQUFRTHRnQ1NLQWhNdk56WTFZYTVmdDZYaHJiWDQ0SE03Wmc2RUFBQUJKaFFBR0lCbkVyTFZQcXlaY3lWcmJaRUQ5ZG12dDg1SmkzcGNKQUFEUU5nUXdBRW5CZGQxWHJiV2xlekIwV3pRYW5lTkJTUUFBQU8yT0FBWWdLVGlPczBuU3g0M3Y5YW92M3BjYmk4Vys4TEkyQUFDQTlrSUFBNUFVd3VId2RrbUxyTFd1NGtzT2E5VmJlbWdsZlppZm4xK1N1RW9CQUFCYWp3QUdJRm5FakRHZlNQcDZGMlBLckxWTEpGVjdXQmNBQUVDN0lZQUJTQnJsNWVXNWtyNnFmZDk0UXc1anpMYnE2dXFQRWxVZkFBQkFXeEhBQUNTTi9QejhEWkp5bXJzUExONldzM3o1OG5XSnFBMEFBS0E5RU1BQUpKVm9ORHF6cFQ3WGRSLzN0aG9BQUlEMlJRQURrRlRLeTh2blcyczNOVzYzMW41VldscjZSbUtxQWdBQWFCOEVNQUJKcGJDd3NOSVk4MXp0TWtSampJd3hzdGErWEZSVVZKSG8rZ0FBQU5xQ0FBWWc2Y1Jpc2Vlc3RaVzE3NjIxVlpKZVNHeFZBQUFBYlVjQUE1QjB5c3ZMVjB0YVZtOFdiS1hQNXl0SWRGMEFBQUJ0UlFBRGtIUmMxOTF1clgzUC90ZkgxZFhWbXhOZEZ3QUFRRnNSd0FBa25jTEN3c3I0QTVmTEpGVlphNWRFSXBHZGlhNExBQUNncmZ5SkxnQUFtbU9NeVlrL2xMbWI2N3FMRTEwUEFBQkFlMkFHREVCU0NvZkRoWkpXU2ZvOEVvbmtKYm9lQUFDQTlzQU1HSkJrdmpFczQrQk9LZjVoaWE0akdWVEdiSTRqMnpsdGRPQzdpYTRsV1ZSV1ZxN1pzQ2IvODBUWEFRQUFXb2NBQmlTUnRMUkFtbExza3pKMmRLSnJTUVpsMVRhK0RhSk9UM1F0eWFKemFxZTFhV21CTTRxS3drV0pyZ1VBQU93OUFoaVFURktWSnFQUlJtWmcxeTVkNVBQN0VsMFJra1FzR2xONVJZVmNhMU9WcWpSSkJEQUFBRG9nQWhpUWhMcDI2YUtyZm4yNTBzZU1TblFwU0JKNStRV2FQdU5SbFc3Ymx1aFNBQUJBR3hEQWdDVGs4L3VVUG1hVWpwand6VVNYZ2lTU2twS1M2QklBQUVBYnNRc2lBQUFBQUhpRUFBWUFBQUFBSGlHQUFRQUFBSUJIQ0dBQUFBQUE0QkVDR0FBQUFBQjRoQUFHQUFBQUFCNGhnQUVBQUFDQVJ3aGdBQUFBQU9BUkFoZ0FBQUFBZUlRQUJnQUFBQUFlSVlBQkFBQUFnRWNJWUFBQUFBRGdFUUlZQUFBQUFIaUVBQVlBQUFBQUhpR0FBUUFBQUlCSENHQUFBQUFBNEJFQ0dBQUFBQUI0aEFBR0FBQUFBQjRoZ0FIWWF6dDM3bFJwYWVrdXh4UVZGZTNSdWRhdlg2OWJicmxGbjMzMldZdGppb3VMZGVPTk4yckZpaFc3UFY4b0ZGSkZSVVdMNS9ub280OGF0TTJmUDErYk4yL2VvMW9CQUFEYWlnQUdZSy85N1c5LzB5V1hYRkwzUGhxTmF0cTBhWHIvL2ZjbFNhKzg4b3JPUFBOTXJWMjd0bTZNNjdxNjdMTEw5T0tMTHpZNFYybHBxZWJNbWFPdnZ2cXFycTI4dkx6Qm1LMWJ0K3IxMTEvWGhnMGJHclEzRGxvN2QrN1VsQ2xUVkZ4YzNHemRpeFl0MHJScDB4cTAzWHJyclNvc0xOeUxueDRBQUtEMS9Ja3VBSzJYbloyZEVvdkZ6alBHbkdLTUNWcHIreHBqdGx0ck54bGozbmRkZDJZNEhQN1B2cmgyZW5yNndOVFUxQTJTWkszOWV5Z1V1cWlsc1ZsWldhWFdXbjhvRk9xK0wyclpTeVlqSTJPMDY3cnI4dkx5ZGlTNm1QOFZmcjlmWDN6eGhXNjk5VmE5K09LTCt0R1BmcVNaTTJmcXpqdnYxTU1QUHl4Sm1qTm5qcFlzV2FJampqaGlsK2RhdVhLbExydnNNajM0NElNYU0yWk1pK1BXckZtaktWT202TGJiYnFzNzV5ZWZmS0lCQXdabytQRGhkZU1XTEZpZ3A1NTZTcEpVVWxLaUxWdTI2THp6enF2ckx5c3IwOTEzMzYzdTNXditlcDU2NnFrNitlU1QyL2diQVFBQWFCNEJySU1LQkFJQmErMExqdU1NczlhNjF0cVZrajZWMU4wWU0xTFNGTWR4RHBMMFl3L0t1U0FZRE00TWhVS0xQTGpXM3ZJRkFvRWUxdHIreHBnVGpUSG5HR05HeEdLeG95VHRmajBiOXRnTk45eWcwMDQ3VGM4ODg0d3V2ZlJTL2VZM3Y5R3R0OTZxNHVKaTllM2JWdzgrK0tEUzA5TjE5dGxuNy9JOGh4eHlpTHAyN2FwcDA2YnBxYWVla2pHbTJYRVBQUENBU2t0TDFhZFBuN3EydDk5K1c3MTY5ZExNbVRQcjJvWU1HYUpKa3laSmt0NS8vMzB0WHJ5NDdyMGszWExMTFRyKytPUHJRbHY5OEFZQUFORGVDR0FkVUdabVpwWXhacEdrYnBJZXJLeXN2RDB2TDI5anZTRk9NQmo4dHJVMnVLOXJzZFlXUy9xR01lYVI0Y09IQndvTEN5djM5VFgzUkdabTVtQ2Z6M2VFTVdhOHRmWnd4M0dDa25yR3U3Y251THdPYThHQ0JkcStmYnZXckZtamJkdTJhZmJzMlJvMGFKQzZkT21pclZ1MzZxeXp6dEtvVWFQMDNudnZ5UmlqYTYrOVZtdldyTkUvL3ZFUGxaU1U2QmUvK0lVKytPQURqUmd4UWp0Mzd0U2FOV3YweFJkZlNQRjd0OHJLeWpSaXhBaGRlZVdWdXZiYWF6Vm56aHlkZE5KSlRlcjQ0SU1QdEdqUklwMTExbGthT1hLa0pPbnJyNy9XTysrOG96NTkrdWorKysvWHdJRUQ1ZmY3TlhYcVZCMS8vUEdTcE02ZE82dGJ0MjZhT0hGaTNia1dMVnFrNDQ0N1RpTkdqUERzOXdnQUFQWmZCTEFPSmkwdExkWG44NzFrak9ubXV1N2w0WEQ0b1dhR3VmSFpxSDArSTJXTStjSmFPMC9TQlQxNzlyeGUwaC8yOVRWYmtwNmUzcWxUcDA0L05NYWNJU2xMMG9IVzJsN0dtTWIzT2xySGNXeUN5dXpRSG4vOGNSVVZGU2thalNvV2krbXV1KzdTZDcvN1hXM2Z2bDJMRnkvZTdmRi8rOXZmSkVuWFgzKzl0bTdkcXFlZWVrclcxdnlqZVBycHArVTRqcVpPbmFvenp6eFRoeDEybUI1ODhNRzY4RlNyckt4TWQ5eHhod1lPSEtoTEw3MjBybjNXckZrNjZLQ0Q5UHp6ejJ2Q2hBbDY4TUVIbFphV0prbjYwWTkrMUdDampmZmZmMTh2dmZTU2pqcnFLRW5TdkhuekpFa0RCZ3pRcTYrKzJpNi9Ld0FBZ09ZUXdEcVlQbjM2WENScHFMVjJkZ3ZoeTFQV1dsOVZWZFZ2TzNYcTlHTkoxMmRuWjg5YXVuVHBTaSt1blphV2x0cXpaOCtlMXRveGZyLy9ER1BNNlpMNnh1dXFYMlBkNi9oeU51TzZidlByMnJCTHp6enpqQ1RwcnJ2dVVpZ1UwcXhac3lSSlU2ZE8xYkhISHFzLy8vblB1ejNIK1BIakpVbVRKMC9XNU1tVGxaZVhwMG1USnVuZWUrL1ZrVWNlV1RkdTZ0U3Bldm5sbDFWVlZkWGcrS3FxS2cwYU5FZ1hYWFNSdW5idEtzVTNBWG4rK2VkMXd3MDNOTHRrc2FxcXFtNkRrTldyVit2WHYvNjFyTFdxcnE3V3dvVUxsWnFhV3RjT0FBQ3dMeEhBT2hocjdXbnhMNWpURTEyTGFnS05XYkZpeFpaZ01QZ2JZOHl6cnVzK0l1bG9TZnRxaHNrZkRBWUR4cGpEcmJYakpZMlAzL1BtcngrMEd0VW9OUXBpdGJLenMzdTVycHR1clhWOFB0L3lwVXVYZmkxSndXQndxS1MwV0N4V0VZbEVsc1NIKzRMQllJYWszcTdyRnVibTVuNmhtbnVHT3ZmbzBlTUkxU3lqVzFoNzdveU1qR0VwS1NtRHJiWHJ3K0Z3M1I3cndXRHdlNUlVaThVK2lVUWlPeVZwekpneGcxSlRVMGVXVmNlR1ZjWTZYalljTUdDQVVsTlQ5MmhzV2xxYWV2YnMyV0wvbGkxYnRISmxUWVkvNmFTVHRIejU4cm90N1FzS0N0UzFhMWY5OHBlL2xPdTYrdUNERHpSa3lCQU5IanhZVHp6eGhJWU9IZHJpZWFkT25TbzFzM1BpVlZkZEpjZHhXdHk2SGdBQW9EMFJ3RG9ZWTB5V2FyNjg3MzY5bDRkQ29kQnp3V0J3a2pIbXhFQWdjR0U0SEg2OFBjOC9hdFNvSHFtcHFXZjVmTDdUcmJVajR6TmRxY1lZMDF5d2Ftbmpoc1pjMTAwM3hqeHNqT25zdXU0dkpkWCtYazh6eGx6ajgvbldTWnFnbXFEVlRkTE54cGdqalRFM1MzcE1rcnAyN1hxZ01XWlcvTGhCdGVkT1NVazV6eGd6MlZvN1U5SjE5V3FiRmY5ell1MUdJS21wcWNjYlkrN3E3SGMrcllyYUR2ZDRpSnR1dWtsVHAwNnRXOUszSzA4OTlkUXU3N2ZLemMzVk5kZGMwMnpmRTA4ODBhVHQwa3N2MVVVWFhhU3JyNzY2YnB0NjEzWHJOdnM0OU5CRGRlQ0JCK3I4ODgvWHdvVUxGUXdHTlhmdVhIMzU1WmZLeU1qUUpaZGNvcFNVRkczY3VGSC8rTWMvOXVLbkJnQUEySHNFc0E0a1BUMjlrNlFlMXRySzJwbVRXb0ZBb0xmak9Gc2JIMU5SVWRIRHcrM1dMN1hXcmpERzNKMlJrZkYveTVjdjM5U2VKM2NjeDFoclV5VjFrbVRVd3F4V1MrcUhzdHA3d0Z6WDlmbDh2czdXMmxUWGRYMzFodnV0dGFuR21NNjFEYTdyR21OTXAzaTd2MzU3dks3Ry9QSDJsUHFOdFdPdHRhYmVPWHlPNDZRNnhxVHN1OG5EOWhXTHhiUmd3UUs5Kys2N3V2WFdXMVZaV2FuUm8wZnI5Tk5QYjNiOHVuWHJOR1BHRExtdTIyei9oeDkrcURsejV1am9vNC9XSzYrODBxQ3ZvS0JBMTExM25hNjk5dG9HeXhRbHFWZXZYcEtrMjIrL1hkWFYxWktrQ3k2NFFMZmNjb3NHRFJxazFOUlVqUmd4UWs4OTlaVGVmdnR0L2VwWHY5SmhoeDJtbi8zc1ozcnFxYWMwZXZSb1NkTFlzV09iM0c4R0FBRFEzZ2hnSFVoZVhsNVZWbFpXMUJqVE9UczdPMlhwMHFYVnRYMnU2MVk3anZObXZlSGZrZFRWeS9wQ29kRG5XVmxaTjBuNlMwcEt5bjJTem15dmN4Y1VGR3lYOUxDa1I4YU9IVHZLY1p4dk9ZNHp3Umd6UVZLNnBOVGQzUGNsYTIzZDY5cDd3SXd4eTEzWHZjQmE2eGhqbHRjNy9sK1Nsc1Jpc2JwMWFhdFhyOTRaQ0FSdXFsMkNXTnUrWThlT3IzcjM3bjFLNDVxcnFxcWVTRWxKbVdldFhWKy8zVnA3aW1ydVd5cXFiYXVvcUhpelM1Y3VwNVJWdThPdDBXM3Q5R3RyZDlaYTVlYm1LajgvWDZ0WHI5WTExMXlqd1lNSDE0V3FRWU1HNlFjLytJRWs2WnBycnRIQkJ4K3NLNjY0UXBLMGJOa3l6Wmd4bys1Y0d6ZHUxS0pGaS9UT08rOUk4ZnZMUm93WW9mUE9PMDhISDN4d2crdVdscFpLa3ZyMjdkdWtyMVphV3ByS3k4dDF3QUVIU0pKR2poeXB2bjM3MWkwdmZQcnBwOVdqUncvZGVlZWRVczJzbzM3M3U5OHBJeU9qd1hsdXYvMzJkdnQ5QVFBQU5FWUE2M2crbHpUTVdwc3BhV2x0WTN4RzdJVGE5MWxaV1lXU2hubGRYRTVPemdQQllQQXNZOHd2c3JLeS9wR1RrL05HTzEvQ0xsdTJiS1drbFlNSEQ1N1Z1M2Z2Zm83ampQVDVmRCtSZEtveDVodmF4U1ljallYRDRWSkpIelRUWGlTcHFGRnpOQndPaHh1UExTb3FxcEQwYnVQMkZTdFdGRW9xYk53ZURvZWJqQzBvS0ZndmFYM2E2SUJra25jRzdNYy8vckUyYnF4NTRrRy9mdjAwYmRvMEJZUE5QKzFnelpvMUxZWWxTWm8rZmJyZWVPTU5EUnc0VUlvSG54TlBQTEhWdFMxY3VGQXZ2UENDSG52c3NicTJCeDU0UUFNR0RORFhYMyt0clZ1MzZvUVQ2djRWMGNpUkk3VnAweWIxN3QyNzFkY0VBQURZV3dTd0RzWmErN1l4WnBpa2Mrb0hzQ1FTczlaT05zWjhiSzJka1oyZGZaamIwcHF6TmlvdUxpNHZMaTVlSjJtZHBIY2tYWjJabVhtaTMrOC9SOUtSa25wSjZscTdEWDI5SU1ZMjlLMDBkT2hRVFo0OHVXNFdyS1h3RlkxR1ZWeGNySktTRXExYXRVckRoalg5ZndHbm5YYWFKaytlckxLeU1rMmFORW05ZXZWU1JVV0Zubi8rK1NaamEwUGZva1dMdEg3OStpYjkzLy8rOTF1c3VhQ2dRQXNYMXV5TmN0WlpaOVcxejVrelI4dVdMV3ZRVnJ1cklnQUF3TDVDQU90Z1hOZWQ3ampPRkVtWEJZUEI1ME9oVUZKdHhxR2FHWjV3SUJENGkrTTQxMXByL3lDcE9uN2YxcjVXSFlsRVprdWFuWm1aMmQ5eG5DUGpTeFFQdDlabXh4L0ViTmlHdnZVZWVxam15UWNGQlFXN0hKZVRrNk5vTktxNWMrZXFUNTgrdXZMS0s1dU1xUTF2ZVhsNWRXMDdkdXpRL2ZmZjMrSjVYM3Z0dFdiYlI0MGExZUl4YVdscEdqOSt2TzY2Nnk2ZGVlWi9WOFZXVjFjckZvczFhRHZoaEJOMC9mWFg3L0puQXdBQWFBc0NXQWVUbTV1N0loZ00zbWFNdWRsYSsxWXdHUHp0MXExYm40d3ZnNU5xbGg4T3Q5WjIzOU9kQVBlRmtwS1NQL1R2My84MFNWY2FZOHIzWnJPTTloQ0pSTDZVOUlxa09Sa1pHWDJOTVlQOWZ2OUVhKzNwOFJsRXRMTlJvMGJWM1g4MWMrWk05ZTNiVjEyNmRLbnI3OWF0bTdLeXNsUldWcWFOR3pmV0xUMnNyMSsvZmxxNnRPbkU3ckpseTNUKytlZnJycnZ1MHNTSkU1dTkvcHR2dnRsc2UrZk9uZld0YjMxTGlpOVRyUFd2Zi8xTG4zenl5UjQ5dXd3QUFLQzlFTUE2b0ZBbzlJZjQ3TUdOeHBpSCt2VHBjMitmUG4zeUpKVkwrb2FrUTQweHN0WnVMU3NyaXlyK3JLcWVQWHZPa2pRckp5Zm5YL3U2eHVMaTR2SisvZnBkNGpqT1BFazlKTzNjZzhQMmhXaDhOOFpOOFNXYmQ0OGJOeTY5b3FKaWJZTHErWjlWdTNYOGswOCtxY1dMRit1R0cyNm9lM0N6NHR2QlAvYllZNW8zYjU0dXV1Z2l2ZmZlZTU0ditaczhlWExkNnkrLy9GSTdkdXhvMERaKy9IaE5tVExGMDVvQUFNRCtoUURXTWRsUUtIVEx1SEhqbm5jY1o2cWtZNDB4WTZ5MWZra2xrbDYzMXM3WnNXUEgwL1ZteGpwTDZtV3RmUzRZREk0TWhVTDdmS2U5Y0RqOFZqQVluR21NT1hkZlgyc3YyTnpjM0JXSkxxS2phKzYydnErLy9scjMzWGVmWnMrZXJaTlBQbG1ubm5xcW5uMzIyU1pqaTR1TDFhdFhyN3J3Rll2RnBMMTRkdHZ1MUQ1UWVlUEdqZHEyYlpzR0RCaFExMWYvZnEvLy9PYy9LaXdzYk5CV2Z5d0FBTUMrUUFEcndPSkI0dEk5R1Z0WVdMZ3RQVDM5aE5UVTFKbVMvaGdNQnI4UkNvVXVsOVNxRFRMeTh2STIxajZMYTFkQ29kQjVrczVyelRXUWZPYlBuNjlQUC8xVTc3NzdidDBPaC9uNStabzdkNjVlZnZsbFJhTlJUWjA2VmVlZmY3NFVYMUs0Y09GQ2pSa3pSbDI2ZEZGVlZaVmVmZlZWalIwN1Zvc1hMMVorZnI1eWMzTWxxVjEySTh6SnlkRlJSeDJsbEpRVTNYREREYXFzckd6dzBPZXFxcXE2MTdGWVROYmFCbTNyMXEyVHorZmI1VDFsQUFBQWJVRUEyNC9rNWVWVlNUbzdHQXk2a242UmxaVjFiMDVPVHBOdDBvR1d2UHZ1dTVvN2Q2NE9PT0FBblhQT09ZcEdvL3JqSC8rb3RXdlg2b2MvL0tIT1AvOThIWFRRUVhYanAweVpvbHR1dVVVMzNYUlRYVnRhV3BxbVRwMnFjRGlzQng5OFVJN2o2SmhqanFsN0lISnJIWDMwMFpvL2Y3NjZkZXNtdjcvbW8rM1paNTl0RU96KzcvLytyOEV4UFhyMGFOSjIzSEhIRWNBQUFNQSt3MDV3K3lmZnVISGpodVhtNW42YTZFTFFVTnJvd05FeTlybWVQWG9NZkdUNlgzWEVoRzhtdXFRRzZqL011bFpKU1ltNmQrK3UxTlRVdlRxWDY3cUtScVB5K1h6eStYenRYT24vbmc4LytrUy92dnAzK21yejVsSlpuVkswc3VuejVJRDlYU0FRT05weG5PZXN0YW5XMmxPYWUrNGlBQ1FhTTJEN3B4amhDNjNSM0gxYS9mcjFhOVc1SE1kUnAwNWVQSjBBQUFBZ2VUaUpMZ0FBQUFBQTloY0VNQUFBQUFEd0NBRU1BQUFBQUR4Q0FBTUFBQUFBanhEQUFBQUFBTUFqQkRBQUFBQUE4QWdCREFBQUFBQThRZ0FEQUFBQUFJOFF3QUFBQUFEQUl3UXdBQUFBQVBBSUFRd0FBQUFBUEVJQUF3QUFBQUNQRU1BQUFBQUF3Q01FTUFBQUFBRHdDQUVNQUFBQUFEeENBQU1BQUFBQWovZ1RYUUNBcG1MUm1QTHlDeEpkQnBKSVhuNkJxcXVyRTEwR0FBQm9Jd0lZa0lUS0t5bzBmY2FqU2tsSlNYUXBTQkxWMWRYYXRuMTdvc3NBQUFCdFJBQURra2lWZFRkME1tYURhMjFxNmJadGlTNG5vYXhyWldwZlN6S08yYzBSK3dsck4xVlp1eUhSWlFBQWdOWWhnQUZKWkgxQjVMTWh3dzg3eC9HbjlFOTBMWW5XMmU4TVNVMnhGenJHcEpSWHgvNWVHVFdyRWwxVE1vZ1pXN0orWmVTelJOY0JBQUJhaHdBR0pCZDNiZUdLUEVsNWlTNGswVEl6TXcvM08vNlIxdHJVcmltK3dvTGxvWVdKcmdrQUFLQ3QyQVVSQUFBQUFEeENBQU1BQUFBQWp4REFBQUFBQU1BakJEQUFBQUFBOEFnQkRBQUFBQUE4UWdBREFBQUFBSThRd0FBQUFBREFJd1F3QUFBQUFQQUlBUXdBQUFBQVBFSUFBd0FBQUFDUEVNQUFBQUFBd0NNRU1BQUFBQUR3Q0FFTUFBQUFBRHhDQUFNQUFBQUFqeERBQUFBQUFNQWpCREFBQUFBQThBZ0JEQUFBQUFBOFFnQURBQUFBQUk4UXdBQUFBQURBSXdRd0FBQUFBUEFJQVF3QUFBQUFQRUlBQXdBQUFBQ1BFTUFBQUFBQXdDTUVNQUFBQUFEd0NBRU1BQUFBQUR4Q0FBTUFBQUFBanhEQUFBQUFBTUFqQkRBQUFBQUE4QWdCREFBQUFBQThRZ0FEQUFBQUFJOFF3QUFBQUFEQUl3UXdBQUFBQVBBSUFRd0FBQUFBUEVJQUF3QUFBQUNQRU1BQUFBQUF3Q01FTUFBQUFBRHdpRC9SQlFCQWRuWjJWOWQxRDZ6ZlpxMGRaSzMxR1dNY1NRT0R3ZURRK3YyeFdLd2tFb25zOUx4WUFBQ0FOaUNBQVVpNGFEUTZ5dWZ6NWRSdk04YlVmenVyMFhzNWpqTkIwc2NlbFFnQUFOQXVXSUlJSU9GeWMzTWoxdHBsZXpyZVdwc2ZEb2R6OW1Bb0FBQkFVaUdBQVVnR01XdnQwNm9KVjdMV05obFF2OTFhKzd5a21QZGxBZ0FBdEEwQkRFQlNjRjMzVld0dDZSNE0zUmFOUnVkNFVCSUFBRUM3STRBQlNBcU80MnlTOUhIamU3M3FpL2ZseG1LeEw3eXNEUUFBb0wwUXdBQWtoWEE0dkYzU0ltdXRxL2lTdzFyMWxoNWFTUi9tNStlWEpLNVNBQUNBMWlPQUFVZ1dNV1BNSjVLKzNzV1lNbXZ0RWtuVkh0WUZBQURRYmdoZ0FKSkdlWGw1cnFTdmF0ODMzcERER0xPdHVycjZvMFRWQndBQTBGWUVNQUJKSXo4L2Y0T2tuT2J1QTR1MzVTeGZ2bnhkSW1vREFBQm9Ed1F3QUVrbEdvM09iS25QZGQzSHZhMEdBQUNnZlJIQUFDU1Y4dkx5K2RiYVRZM2JyYlZmbFphV3ZwR1lxZ0FBQU5vSEFReEFVaWtzTEt3MHhqeFh1d3pSR0NOampLeTFMeGNWRlZVa3VqNEFBSUMySUlBQlNEcXhXT3c1YTIxbDdYdHJiWldrRnhKYkZRQUFRTnNSd0FBa25mTHk4dFdTbHRXYkJWdnA4L2tLRWwwWEFBQkFXeEhBQUNRZDEzVzNXMnZmcy8vMWNYVjE5ZVpFMXdVQUFOQldCREFBU2Fld3NMQXkvc0RsTWtsVjF0b2xrVWhrWjZMckFnQUFhQ3Qvb2dzQWdPWVlZM0xpRDJYdTVycnU0a1RYQXdBQTBCNllBUU9RbE1MaGNLR2tWWkkrajBRaWVZbXVCd0FBb0Qwd0F3WWttVzhNeXppNFU0cC9XS0xyU0FhVk1admp5SFpPR3gzNGJxSnJTUmFWbFpWck5xekovenpSZFFBQWdOWWhnQUZKSkMwdGtLWVUrNlNNSFozb1dwSkJXYldOYjRPbzB4TmRTN0xvbk5wcGJWcGE0SXlpb25CUm9tc0JBQUI3andBR0pKTlVwY2xvdEpFWjJMVkxGL244dmtSWGhDUVJpOFpVWGxFaDE5cFVwU3BORWdFTUFJQU9pQUFHSktHdVhicm9xbDlmcnZReG94SmRDcEpFWG42QnBzOTRWS1hidGlXNkZBQUEwQVlFTUNBSitmdytwWThacFNNbWZEUFJwU0NKcEtTa0pMb0VBQURRUnV5Q0NBQUFBQUFlSVlBQkFBQUFnRWNJWUFBQUFBRGdFUUlZQUFBQUFIaUVBQVlBQUFBQUhpR0FBUUFBQUlCSENHQUFBQUFBNEJFQ0dBQUFBQUI0aEFBR0FBQUFBQjRoZ0FFQUFBQ0FSd2hnQUFBQUFPQVJBaGdBQUFBQWVJUUFCZ0FBQUFBZUlZQUJBQUFBZ0VjSVlBQUFBQURnRVFJWUFBQUFBSGlFQUFZQUFBQUFIaUdBQVFBQUFJQkhDR0FBV3VXdHQ5N1NZNDg5dGsvT1hWVlYxZUQ5NTU5L3JqVnIxclRwbk5aYWxaYVc3dlZ4Q3hZczBNeVpNOXQwYlFBQWdGb0VNQUN0a3B1YnEzbno1clg3ZVJjc1dLQ1RUanBKQlFVRmtxUm9OS29wVTZib3pqdnZiUFU1cmJVNi8venpOWG55WkVXajBiMDZkdW5TcFpvN2QyNnJydzBBQUZDZlA5RUZ0RlV3R0V5WGRJbWtZNDB4QjB2cUpPbExTYXNrL2QvT25Uc2ZMeWdvMk42ZTE4ek16QnpzOS92WFNTcmZ0bTNiQVlXRmhaV054d1FDZ2VzZHg3blRXdnRTS0JRNnRabTZENVMweVJpekxTY25wNitrV0h2V0dBd0dmMkdNZVM3K2RsSk9UczdUelkwTEJBSUJ4M0ZDa2w3THljbjVjWHZXMEV4TngwbTZ6Qmp6TFVrSFNvcEsrc0phKzFvb0ZMcGlYMTY3SHBPUmtUSGFkZDExZVhsNU96eTZac0sxWnVhbnZ0NjllKy9SdU91dnYxNkxGaTNhN2JpLy9PVXZPdnp3dzV1MDc5aXhROU9tVFZQMzd0MTE2S0dIU3BMOGZyL09QLzk4M1hQUFBmcnd3dzkxeEJGSE5Idk96ejc3VEJzM2JtenhtdjM3OTlmOCtmTjEvLzMzYThLRUNTMk82OWV2bjhhTUdiUEwrbGV1WEtrTEw3eXcyYjYwdERROTg4d3p1endlQUFEc3Z6cHlBUE1GZzhHN0pGMXBqSEVrYlphVVo2Mk5HV01HV1d1UE5zWWMwN1ZyMS9ja2ZkS2VGNDVFSXNWWldWbkxKSTN0MmJQblVaTG1OeDVqakRraC92SllTYjdHQWN0MTNXTjhQcCtKSDl1dTRhc3hhKzFmRGp2c3NMa3JWcXpZc2krdnN5dkJZUEJPWTh6MThYbytrMVFnYVlBeDVoQkpaMGphVndITUZ3Z0VlbGhyK3h0alRqVEduR09NR1JHTHhZNlN0R0lmWFRQcEhILzg4WEpkdDFYSHBxU2s2TU1QUDl5anNaV1ZsUm80Y0tDbVRKblNiUCttVFp0MC8vMzNLeFpyL3EvOEhYZmNvWktTRXYzcFQzOVNTa3BLWGZ1cHA1NnFwNTkrV3JmZmZydWVlZVlaOWVyVnE4bXh6ejMzbkY1OTlkWGQxdmpzczgvcTJXZWZiYkgvMkdPUDFaLy8vT2RkbnNOMVhWVlVWT2lFRTA3UUlZY2NVdGYrNXB0dnFyeThmTGMxQUFDQS9WZUhEV0RCWVBDZnhwZ3o0ek5kdjhuSnlaa3JxZTRiWm1abVpuK2Z6emZKZGQxdCsrTDZydXUrN2pqT1dHdnR4TVlCYk5Tb1VUM2lzendWeHBqZTQ4YU55ODdOemYyby9oakhjWTZKdjN4elg5Ulh6MXBqekpET25UdmZLK21YKy9oYXpjck16RHpjR0hPOXRYYXJNZVlub1ZEb3ZkcStVYU5HOWVqV3JkdHArK0NhZzMwKzN4SEdtUEhXMnNNZHh3bEs2aG52YnRjWjBZN2d6RFBQYkhVQTgvdi8rekd4WnMwYUZSVVZTWktLaTR0VlZsYW1CUXNXU0pLKzhZMXZTSkw2OU9takgvemdhdWJhdkFBQUlBQkpSRUZVQjgyZXE3Q3dVUGZmZjMremZUTm56dFM4ZWZOMDdybm5LaXNycTBGZnAwNmRkTnR0dCtuaWl5L1dEVGZjb09uVHA4dHhHcTZndnZubW0zWHp6VGZyMDA4L2xURkdhV2xwdXUrKysvVHRiMzliNDhlUGIvQnpSS05SelpzM1Q1OTk5cG11dU9JS2ZmYlpaNnFzckZSR1JvWVVuMDFidlhxMUZMLy9iUHYyN1hyenpacC9WVWVNR0ZGM25va1RKK3FZWTQ2cGUxOVFVS0JWcTFidDRXOFdBQURzanpwa0FBc0dnNWNZWTg2MDF1YVhsNWQvWitYS2xac2JqNGxFSWw5S3VuY2Zsdkc2cEdzbFRaUjBRLzJPYnQyNlRaU1VJbW1PcEZOOFB0L3hraG9FTUdQTU1hcjVJdGorTjlIVTQ3cnVpNDdqbkNqcC9ISGp4czNNemMxZHNDK3YxeHlmejFmN0RmV2ZPVGs1NzlYdml5OFBmYkk5cnBPZW50NnBVNmRPUHpUR25DRXBTOUtCMXRwZThSblMrcXpqT0xZOXJ0bFJYSFhWVmUxeW5yZmVla3RQUFBHRUpDa1dpOGwxWFYxLy9mV1NwSk5QUHJuVjUzMzc3YmMxZmZwMFpXVmxhZXJVcWMyT3ljckswc1VYWDZ3Wk0yYm8ybXV2MWUyMzM2N1UxTlFtNHg1ODhFSDVmRDdkZU9PTk1zYm90dHR1VTJWbHBZNDk5bGdkZSt5eCt2VFRUL1hjYzgvSjUvUHAzSFBQbGJWVy8vakhQN1JwMDZhNlRVWGVlZWNkL2ZPZi81VGlHNEpZYS9YSFAvNVJralJseWhTTkh6KysxVDhyQUFEWXYzVzRBSmFkbloxaXJiMUZOVjhBejJrdWZIbkI1L1A5eDFxN1hWTDIyTEZqRDFpMmJObldldDBucUNiOHpIQWM1NVQ0TE5rZDlYNkdRZGJhVWRiYXp5S1JTTnUyZHRzTngzRmlrcVpZYXhjNmp2UHc4T0hETTV1N1oyMGYyeG4vczE5N25qUXRMUzIxWjgrZVBhMjFZL3grL3huR21OTWw5VlY4MDRWYTlWOGJZeVRKdUs1cjJyT1cvY1dVS1ZQcWxoZGVjTUVGMnI1OXUvNzk3My9YOWJjbTZMM3p6anU2NFlZYmRQREJCK3Z1dSsrV3orZHJjZXlGRjE2b2twSVMvZnZmLzlhVUtWTjB6ejMzcUgvLy9zMk83ZE9uajY2NTVocGRmdm5sZXZ6eHgvWFBmLzVUTDczMGtpUnB5SkFobWpadG1rYU5HdFhzc1pkY2Nva3V1ZVFTU2RJcHA1eWl6cDA3YTlhc1dYWDllWGw1ZS8xekFnQUFxQ01Hc0Znc2RwVGpPQU90dGYrSlJDSTVpYXBqNmRLbDFWbFpXVzhiWTA1SlNVazVSdEpMdFgzVzJoOFlZMWFIdytHM3NyS3lWa2s2TWpzN3UrdlNwVXZMNGovRE1ZN2p5Qml6VDJlLzRyV1lVQ2owWGxaVzFtT1NwdlRvMGVOR1NUZnQ2K3MyTXR0YWU0K2tYd1NEd1NXaFVPaHY5WmVMN2lWL01CZ01HR01PdDlhT2x6VGVHRE5Ta3I5KzBLb3ZIcnJVWEg5MmRuWXYxM1hUcmJXT3orZGJ2blRwMHE5Vk04czZWRkphTEJhcmlFUWlTK0xEZmNGZ01FTlNiOWQxQzNOemM3K1FwT0hEaDNmdTBhUEhFWklVQ29VVzFwNDdJeU5qV0VwS3ltQnI3ZnB3T1B4WmJYc3dHUHllYXY0ZWZCS0pSSFpLMHBneFl3YWxwcWFPTEt1T0RhdU1KWDgyM0x4NXN5S1JTSVA3bjJxRlFpRWRkZFJSelI3WCtKL0J6Smt6TlgzNmRQWHYzMTh6WnN6UUFRY2NzTXZyR21QMHU5LzlUbDI2ZE5ITW1UUDFzNS85VEJkZWVLSE9PZWVjQnZlTVNWSTRITmJUVHordHhZc1hxM3YzN2pyampETjB3Z2tuYU11V0xYcnh4UmQxempubmFOU29VYnU4MzJ2dDJyVmF1M1p0ZzJXSEFBQUFiZEhoQXBneEppdis1K0pFMXhLL0Q2eDJodXNsMVN5VEdpTnBxTFYyaG1xK2NNNHp4bHhxcmYydXBEZml0UjliMitkaHJkYzVqbk95cEd1RHdlQnpvVkRJcy8rRkh3cUZQZzhHZzVNbFBXYU11VDhZREY1Z3JiMGxIQTd2ZnNlRXVGR2pSdlZJVFUwOXkrZnpuVzZ0SFJtZjZVbzF4cGptZ2xWdDZOb2QxM1hUalRFUEcyTTZ1Njc3UzBtMWY2OU9NOFpjNC9QNTFrbWFvSnFnMVUzU3pjYVlJNDB4TjB0NlRKSzZkdTE2b0RHbWRucGtVTzI1VTFKU3pqUEdUTGJXenBSMFhiM2Fac1gvbkZpN0VVaHFhdXJ4eHBpN092dWRUNnVpTnVrZkR6Rjc5dXk2TUJVS2hSUU1CdXY2RGpua0VGMTIyV1hOSHJkeDQwYmRjODg5VW56WjRmMzMzNjhSSTBib3Z2dnUwNEFCQS9iNCtsZGNjWVhHakJtalAvM3BUM3Jvb1llVW5wN2VaRmZGdm4zN3FsZXZYdnJyWC8rcWIzN3ptdzN1R2Z2T2Q3NmpyNzc2U3ZQbXpkdmxkZWZNbVZQMytzVVhYOVNQZnZTalpwYzlBZ0FBN0trT0Y4QnFsN0ZaYTVzc1Bjekt5cnF2OFc1NjF0cDdRNkhRTmZ1aWtIZ0FrNlRqNnpXZkVML3VtMm9Zd0NiV0MyREhTS291S3l2ejdINnNjRGhjR2d3R2YyV00rYmUxOWxGSjM1SGsyWDFRb1ZCb1ptWm1abzdQNS91ck1XYWlNZWFWWURENGlldTZsemZlb0tRbGp1TVlhMjFxL0ZFRFJpM01hcldrZmlpcnZRZk1kVjJmeitmcmJLMU5kVjIzL3RvM3Y3VTIxUmpUdWJiQmRWMWpqT2tVYi9mWGI0L1gxWmcvM3Q1Z2FxWjJyTFhXMUR1SHozR2NWTWVZbEgzeGo2V2twRVIzM1hWWHE0Njk4Y1liRyt3NkdJMUc5Y0lMTHlnMU5WV2xwYVc2N0xMTDlOT2YvbFRYWFZlVE1YdjM3dDFnWTRyNkNnc0w2MTVQbkRoUlYxNTVwVTQ1NVJSOS8vdmYzNnVhVGp6eFJOMTQ0NDNLeXNwU0pCSnBFcjdlZSs4OUxWbFNNM0g1eGh0djdQSmNEejMwa0txcnF6VnUzTGdHN2RGb1ZMTm56MWJmdm4yMWRldFdQZmpnZzNydHRkZjB3QU1QMUkxcHZCRUlBQURBN25URUFGYW1taS9UUFpycHk2KzNxK0FnU1puN3NwRDRkdlRMalRFWndXQndhQ2dVK2p3ZXdLckx5OHZucSthNVJ2Tjc5dXdaTmNZY3I1b2xiME9zdFlkYWF4ZTE5L1BKZGljVUNyMFFEQVpuRzJOT3pzckttcEtUay9PSWw5ZVBSQ0xMSlIyZmxaWDFIV3Z0SDQweFIvdDh2djhFZzhFTFE2SFF6RjBkRy85ZFBTenBrYkZqeDQ1eUhPZGJqdU5NTU1aTWtKUXVLWFUzOTMzSldsdjN1dlllTUdQTWN0ZDFMN0RXT3NhWTVmV08vNWVrSmJGWXJLSzJiZlhxMVRzRGdjQk50VXNRYTl0MzdOanhWZS9ldlU5cFhITlZWZFVUS1NrcDg2eTE2K3UzVzJ0UFVjMFgvS0xhdG9xS2lqZTdkT2x5U2xtMU85d2EzYlozdjluZHE2aW8wQWNmZk5DcVk2dXFxaHE4ZitXVlYxUmFXcXJqamp0TytmbjUrdTF2ZjZ2cnI3OStsL2R1dGVTY2M4NlJKRjE4OGNWMWJYbDVlWHJycmJkMDFsbG42Y0FERDJ4eXpNTVBQMXdYZlByMTY2ZGpqejIyUWYvbGwxK3VzODQ2cThseHMyZlAxaHR2dktGYmJybWx5YXpYczg4KzIyUnIvRmRmZlZYYnQyL1hDU2Vjb0JVclZ1Z1BmL2lETHI3NFl0MTExMTA2N2JTYWpUdTdkZXUyMXo4ekFBRFl2M1c0QUdhTXFmM1MyaVJjeFFQRkk2cVpEVHRIMGo4OUtPbDFTUm1TSmc0ZVBQaFpTZCsxMWk2dURWZUZoWVhic3JLeVByVFdIcFdabWRtLzN2MWYrM3I3K1diRllySEwvWDcvTWRiYWFlbnA2WHU4QkxBOXhYZENQQ1lZREo1cmpIbkNHUE53SUJCWUZBNkhpL2JnY0x0czJiS1ZrbFlPSGp4NFZ1L2V2ZnM1ampQUzUvUDlSTktweHBodmFCZWJjRFFXRG9kTEpUVkpKdkZhR3RjVERZZkQ0Y1pqaTRxS0tpUzkyN2g5eFlvVmhaSUtHN2VIdytFbVl3c0tDdFpMV3A4Mk9pQ1o5cDhCR3p4NHNQN3puLyswK1R6YnQyL1hvNDgrcWgvLytNZDE5MXg5Ly92ZlYwbEppYXFycTdWKy9YcFphMVZaMmZ3K0w5WFYxYzIybjN2dXVYV3ZIM21rNXY4TG5IZmVlZXJYcittK0xUTm16RkNYTGwxYXJLOVRwMDVOQWxZMEd0V0hIMzZvQ1JNbUtET3o2ZitYdWZMS0t5VkpYMy85dFhyMTZxV3lzakk5L3ZqakRYN08wYU5INjI5Lys1c09PdWdnTFY5ZWs5V2JleDRaQUFEQXJuUzRBR2F0blMvSk5jWk16TWpJR0xCOCtmSk5pYXduRm91OTd2UDVmaXRwNG9FSEhyZytmbDlTZzNBVlg0YjRiWi9QZDV5a1krVHgvVi8xeFdmdGJqREdURTlOVGIyLy91Nk1YZ3VGUWpPRHdlRDNqREVYR0dOT2tqUjliNDR2TGk0dUx5NHVYaWRwbmFSM0pGMmRtWmw1b3QvdlAwZlNrWko2U2VwYXV3MTl2U0MyMzIxRDMxNW16SmloblR0MzZyenp6bXZ3TU9QYUdhZXJycnBLb1ZCSVJ4NTVaS3V2OGZubm42dDc5KzdxMjdkdmt6NXJyYXFxcXRTMWE5ZG1qNTA3ZDY3dXZ2dnVGcy85MFVjZjZkUlRUMjJ4LzRvcnJ0QzU1NTZySjU1NFFsdTJiTkdrU1pNYTdINDRkdXhZU1ZKcGFhbEVBQU1BQUszUTRRSllLQlJhbjVXVjlZS2swenQxNnZTd3BOTWt4ZmJnMEgzQzcvZS9IOStPL2p2VzJnM3hKVzROQXBqcnVtLzZmTDQvU2pwTzBuY2xiUTZGUWduYndURW5KK2Vockt5c3N5V2Q3cnJ1eHdtK2o2VjIrLzcyK0NaYkhZbEVaa3VhblptWjJkOXhuQ1BqU3hRUHQ5Wm14eC9FYk5pR3Z2V0dEaDJxaXk2NnFPNmh5ODBaTldwVTNiUEJHaXN1THRhTk45N1k0ckZWVlZWYXNtU0p4bzRkMit4R0t1WGw1WkxVNGd4WXJibHo1OWE5L3ZMTEwzWFJSUmZwb29zdXFudFcyZHExYXpWa3lKQUd4L3prSnorcGU5MnpaMC85NGhlLzBPREJnNXM5ZjM1K3ZnNDQ0SUFXdDhDdi9WbHV2LzEyVFpreXBjWHpBQUNBL1UrSEMyQ3FXWWI0bS9pdWdqOE5Cb092eDJLeHErTDNGMG54Qi9KS0d1TkZMZkh0Nk44eHh2eFUwdmNsbGVUazVEUUlWN201dVo4RWc4RXR4cGlqSlIxaXJaM1ZobTNZMjRNYmpVWW4rLzMrSEdOTTg5K1UyMUZXVnRhVnJ1dHU5L2w4ejladXhhLy83aGg1dG1wbU50NXZ6MnZHSDhUOWlxUTVHUmtaZlkweGcvMSsvMFJyN2VuR21HSHRlYTM5eWNrbm45eGt1L2ZHdW5YclZqZFQxTmp1Z3RNNzc3eWowdExTSnZkMTFkcSt2ZWEyeWQzdFJGaC9DZUk5OTl5alF3NDVSTC84NVMvbDkvdTFhdFVxWFhiWlpicmpqanRhM1B6ajVKTlAzdVUxbGk1ZDJtRG54K1pzMmJKRnI3MzJtbzQ0NGdnQ0dBQUFxTk1oQTlqU3BVczNaR1ptSHUzeitXWWJZNDczKy8zTGdzRmdrVEZtbmFUdWtvYkZaenNrNmF2YTQ3S3lzbjRnNlZmVjFkV1RHajA0dWExZWwvUlRZOHhoMXRwbm05bGQwRFhHdkNQcDU2b0prRTJXSDhhZk8vV1BhRFQ2cTJYTGxpMXJ4OXFhRllsRWxnY0NnYnNkeC9sOWMvMVpXVmwva05RdEp5Zm51cmFHUld2dEFNZHgvdUs2N3QrQ3dlQXlZOHdXYSswQWEyMW1mQnY1SjVxN0w2cWRST1BMVkRkSldpcnA3bkhqeHFWWFZGU3MzVWZYKzUrMnV3RFZGcVdscFhyZ2dRZlVwMDhmL2ZDSFAyeDJ6T2JOTlp1Zjl1elpzOW4rK3F5MXV1KysrelIvL254ZGZmWFZDb1ZDcXFpb1VFVkZoZExUMDNYenpUZXJUNTgrK3VZM3Y5bmsyTjY5ZTdkNDNwVXJWMnJWcWxVNisreXpkM245clZ0clBtS2EyMGdFQUFEc3Z6cGtBRk5OZ0NoSVQwOGZtNXFhK2t0cjdjL2ptM0o4UzFLNXRYYTFNZVo5U1UrSFFxRVBhNCt4MXZhUU5ERWxKV1Z4ZG5iMmo1WXVYYnFxUFdxcHFxcDZ2Vk9uVHJYWGFQYmVMbXZ0bThhWW42dm12ckhteG5RenhoeWFrcEx5bjJBd2VFWW9GSHE5UFdyYmxSMDdkdHpXbzBlUG44Y2ZaTnk0M3U3R21LdUR3ZURJV0N4MlZ1MERnMXZER1BONC9ONjQ3MXByUjB0S2xiUlowdXZXMmlkRG9kQUxiZjVoOXB6TnpjMWQ0ZUgxRXFxa3BFVC8vR2Y3N0VWejVwbG5hdURBZ2JzZEY0MUc2KzZSYXF4MkJxdXh6WnMzYStyVXFmcnl5eS8xbDcvOHBjWFpwL2ZmcjVrb0hUNTgrRzdyTU1iVWJVVi83NzMzU2pYUGJGUDM3dDNWdFd0WEhYVFFRYnI2NnF2MTRvc3ZxbS9mdm52OFNJTkhIbmxFL2Z2M2J6WWtPbzVUdHdISit2VTFtMThPR2pTb3lUZ0FBTEQvNnJBQlREWGJWVmZGZHozY28rM1U0OXV3ZnlscHR1dTZId1FDZ1I4MHQ2dmQzbHErZlBtNjJ1ZFM3ZUxhZjVmMDkxMzA1NDBiTis1YlBwL3ZEV1BNN0QzWm1uMDMxNXNsYWRhdXhoUVdGbFpLR3RYQzhkY0VBb0YxeHBpLyt2MytkOGFPSFh0aWEyY05jM0p5Q2lYOXBqWEhvbTFLUzB2MTlOTlB0OHU1Sms2Y3VFY0JMQktKNkxqamp0dWpjN3F1cXpmZWVFUDMzbnV2U2t0TGRkMTExK2w3My91ZUpPbmRkOS9Wa2lWTDFMdDNiM1h1M0ZuRnhjV2FQWHUyRGp2c01BMGJ0bWVyU1AvKzk3K3JzckpTS1NrcDZ0YXRXNVBuZHMyY09WTXZ2ZlNTTm16WW9HZzB1c3VaTDhVZnhyeG8wU0xkZE5OTnpTN0ZIRGh3b041KysyMWRkZFZWK3ZUVFQ5V3ZYejhkZE5CQmUxUXJBQURZUDNUb0FOWWFvVkJvVVdabTVnLzhmdjg4U1JkSytsV2lhNnFWbTV2N1JUQVlQRmJTQW1QTWJ5UTlLeW1hcUhyQzRmRDlnVUNnV3RKMG44ODNVZEsvRTFVTFd1ZlFRdy9WZSsrOTF5N25handyNWZmN1ZUdnpXOS9vMGFQMSs5ODN1N0pWeGNYRkRUYm8rUFd2ZjYzRml4ZHJ3SUFCZXVpaGh4bzhVTmwxWGIzNjZxdXFxcXFTdFZaZHVuVFJ0NzcxTGYzdWQ3OXJkb09PNW5UcjFtMlh6K3FLeFdKNjZhV1haSXpSMFVjZnJlT1BQNzdGc2VYbDVYcmlpU2YwODUvL1hELzk2VStiSFhQMjJXZHI5ZXJWV3JWcWxYcjM3cTNMTDc5OGoyc0ZBQUQ0bjVhWm1UbEtVa0szLzJ0SlptWm0vOUdqUnpmZGd6dEI0cHRsd0FOcG93TkhwNDBadHlGendyZnQ0aVVmMi85MVJVVkY5bC8vK3BldHJLemM1YmpxNm1yUGF0cVZyVnUzMm1nMG1wQnJMMTd5c1IzLzdlTnMycGpBMXJUUmdhTVQvWGNWU0VhQlFPRG9yS3lzRGNGZ2NHc2d3TDhuQUpMVGZqY0RWaXNTaVJRa3VvYVd4SGZ3U3hvNU9UbjVpYTRCLzV1R0RoMnFvVU9IN25hYzM1OGNIMVc3VzZJSUFBQ3dPMGs1QXdRQUFBQUEvNHNJWUFBQUFBRGdFUUlZQUFBQUFIaUVBQVlBQUFBQUhpR0FBUUFBQUlCSENHQUFBQUFBNEJFQ0dBQUFBQUI0aEFBR0FBQUFBQjRoZ0FFQUFBQ0FSd2hnQUFBQUFPQVJBaGdBQUFBQWVJUUFCZ0FBQUFBZUlZQUJBQUFBZ0VjSVlBQUFBQURnRVFJWUFBQUFBSGlFQUFZQUFBQUFIdkVudWdBQVRjV2lNZVhsRnlTNkRDU1J2UHdDVlZkWEo3b01BQURRUmdRd0lBbVZWMVJvK294SGxaS1NrdWhTa0NTcXE2dTFiZnYyUkpjQkFBRGFpQUFHSkpFcTYyN29aTXdHMTlyVTBtM2JFbDFPUWxuWHl0UytsbVFjczVzajloUFdicXF5ZGtPaXl3QUFBSzFEQUFPU3lQcUN5R2REaGg5Mmp1TlA2Wi9vV2hLdHM5OFprcHBpTDNTTVNTbXZqdjI5TW1wV0picW1aQkF6dG1UOXlzaG5pYTREQUFDMERnRU1TQzd1MnNJVmVaTHlFbDFJb21WbVpoN3VkL3dqcmJXcFhWTjhoUVhMUXdzVFhSTUFBRUJic1FzaUFBQUFBSGlFQUFZQUFBQUFIaUdBQVFBQUFJQkhDR0FBQUFBQTRCRUNHQUFBQUFCNGhBQUdBQUFBQUI0aGdBRUFBQUNBUndoZ0FBQUFBT0FSQWhnQUFBQUFlSVFBQmdBQUFBQWVJWUFCQUFBQWdFY0lZQUFBQUFEZ0VRSVlBQUFBQUhpRUFBWUFBQUFBSGlHQUFRQUFBSUJIQ0dBQUFBQUE0QkVDR0FBQUFBQjRoQUFHQUFBQUFCNGhnQUVBQUFDQVJ3aGdBQUFBQU9BUkFoZ0FBQUFBZUlRQUJnQUFBQUFlSVlBQkFBQUFnRWNJWUFBQUFBRGdFUUlZQUFBQUFIaUVBQVlBQUFBQUhpR0FBUUFBQUlCSENHQUFBQUFBNEJFQ0dBQUFBQUI0aEFBR0FBQUFBQjRoZ0FFQUFBQ0FSd2hnQUFBQUFPQVJBaGdBQUFBQWVJUUFCZ0FBQUFBZUlZQUJBQUFBZ0VjSVlBQUFBQURnRVgraUN3Q0E3T3pzcnE3ckhsaS96Vm83eUZyck04WTRrZ1lHZzhHaDlmdGpzVmhKSkJMWjZYbXhBQUFBYlVBQUE1QncwV2gwbE0vbnk2bmZab3lwLzNaV28vZHlIR2VDcEk4OUtoRUFBS0Jkc0FRUlFNTGw1dVpHckxYTDluUzh0VFkvSEE3bjdNRlFBQUNBcEVJQUE1QU1ZdGJhcDFVVHJtU3RiVEtnZnJ1MTlubEpNZS9MQkFBQWFCc0NHSUNrNExydXE5YmEwajBZdWkwYWpjN3hvQ1FBQUlCMlJ3QURrQlFjeDlrazZlUEc5M3JWRisvTGpjVmlYM2haR3dBQVFIc2hnQUZJQ3VGd2VMdWtSZFphVi9FbGg3WHFMVDIwa2o3TXo4OHZTVnlsQUFBQXJVY0FBNUFzWXNhWVR5Ujl2WXN4WmRiYUpaS3FQYXdMQUFDZzNSREFBQ1NOOHZMeVhFbGYxYjV2dkNHSE1XWmJkWFgxUjRtcUR3QUFvSzBJWUFDU1JuNSsvZ1pKT2MzZEJ4WnZ5MW0rZlBtNlJOUUdBQURRSGdoZ0FKSktOQnFkMlZLZjY3cVBlMXNOQUFCQSt5S0FBVWdxNWVYbDg2MjFteHEzVzJ1L0tpMHRmU014VlFFQUFMUVBBaGlBcEZKWVdGaHBqSG11ZGhtaU1VYkdHRmxyWHk0cUtxcElkSDBBQUFCdFFRQURrSFJpc2RoejF0cksydmZXMmlwSkx5UzJLZ0FBZ0xZamdBRklPdVhsNWFzbExhczNDN2JTNS9NVkpMb3VBQUNBdGlLQUFVZzZydXR1dDlhK1ovL3I0K3JxNnMySnJnc0FBS0N0Q0dBQWtrNWhZV0ZsL0lITFpaS3FyTFZMSXBISXprVFhCUUFBMEZiK1JCY0FBTTB4eHVURUg4cmN6WFhkeFltdUJ3QUFvRDB3QXdZZ0tZWEQ0VUpKcXlSOUhvbEU4aEpkRHdBQVFIdGdCZ3hJTXQ4WWxuRndweFQvc0VUWGtRd3FZemJIa2UyY05qcnczVVRYa2l3cUt5dlhiRmlULzNtaTZ3QUFBSzFEQUFPU1NGcGFJRTBwOWtrWk96clJ0U1NEc21vYjN3WlJweWU2bG1UUk9iWFQyclMwd0JsRlJlR2lSTmNDQUFEMkhnRU1TQ2FwU3BQUmFDTXpzR3VYTHZMNWZZbXVDRWtpRm8ycHZLSkNycldwU2xXYUpBSVlBQUFkRUFFTVNFSmR1M1RSVmIrK1hPbGpSaVc2RkNTSnZQd0NUWi94cUVxM2JVdDBLUUFBb0EwSVlFQVM4dmw5U2g4elNrZE0rR2FpUzBFU1NVbEpTWFFKQUFDZ2pkZ0ZFUUFBQUFBOFFnQURBQUFBQUk4UXdBQUFBQURBSXdRd0FBQUFBUEFJQVF3QUFBQUFQRUlBQXdBQUFBQ1BFTUFBQUFBQXdDTUVNQUFBQUFEd0NBRU1BQUFBQUR4Q0FBTUFBQUFBanhEQUFBQUFBTUFqQkRBQUFBQUE4QWdCREFBQUFBQThRZ0FEQUFBQUFJOFF3QUFBQUFEQUl3UXdBQUFBQVBBSUFRd0FBQUFBUEVJQUF3QUFBQUNQRU1BQXRFcHhjYkUyYnR6WUx1ZmFzV09IbGkxYnBzckt5aVo5SlNVbGV1Kzk5MVJSVWJGSDV3cUZRaTJPTFM0dTFrY2ZmZFNnYmY3OCtkcThlWE1yS3djQUFOZzdCREFBclhMTk5kZm96My8rYzd1Y0t4S0o2UHp6ejllR0RSdWE5SVZDSWYzbU43OVJTVW5KYnMremMrZE9UWmt5UmNYRnhjMzJMMXEwU05PbVRXdlFkdXV0dDZxd3NMQU4xUU1BQU93NWY2SUxRT0tOSGoyNmI1Y3VYUzZUZEtJeFpxU2tucEpLckxWZkdHUG1SYVBSeHlPUnlKcEUxOWxPVEVaR3htalhkZGZsNWVYdFNIUXhIWjB4WnA5Zncxb3JTZkw3ZC85eDlja25uMmpBZ0FFYVBueDRYZHVDQlF2MDFGTlBTZkhadEMxYnR1aTg4ODZyNnk4cks5UGRkOSt0N3QyN1M1Sk9QZlZVblh6eXlmdmdKd0VBQUNDQTdmY0NnY0JaanVNOExLbUhwQXBKZWRiYTdjYVl2c2FZY1pLKzZUak9Wa24zSkxyV1Z2SUZBb0VlMXRyK3hwZ1RqVEhuR0dOR3hHS3hveVN0U0hSeEhabnJ1aTMyclZ1M1RsZGRkVldML2RPbVRkT3dZY1AwNnF1dnluVmRyVjY5V3BMMDl0dHZxMi9mdmdvR2d5b3FLdEttVFp1VWw1Y25TWm83ZDY2NmRldFdkNDcwOUhTTkhUdTJ3WG5mZnZ0dDllclZTek5uenF4ckd6SmtpQ1pObWlSSmV2Lzk5N1Y0OGVLNjk1SjB5eTIzNlBqamo2OExiZlhER3dBQVFIc2pnTzNIc3JLeUxwYjBzTFYycDZSZmYvWFZWNDhYRnhlWDEvWm5aMmQzdGRhZUZBOW1IVXBtWnVaZ244OTNoREZtdkxYMmNNZHhndkdaUFVuYW51RHlPcXg3N3JsSEw3LzhzaVNwc3JKU2E5YXMwZit6ZCtlQlVWVm5HOENmOTk2WlpCSklDQ0FJbWc5VFJKYVFaZTZNaUxKWUZMWHVkYW5hV2pkc1hWcVh0dUpXWEJDbHRtSnA2NzdnYmwyd3VLTlVCWlVpYnBpWlNWaURpRkVqc2dpeWhLd3o5LzMreU13NE0wa2dRSmlad1BQN2g4eTU5NTU1WjBMT1BlKzk1NXc3Y3VUSTZIYkRNREJ2M2p3ME5EUmc1Y3FWR0RObURBNDQ0SURvOXVycWFzeVpNeWM2MSt2ZWUrOUZLQlJDTUJnRUFEejk5Tk13VFJOLyt0T2ZNR2ZPSEN4WXNBQ2hVQWdBOE9pamowYnJxYSt2eHlXWFhCS1hnRzNhdEFsejVzeEJqeDQ5Y05kZGQ2RlBuejV3T0J5NC9QTExjZlRSUndNQU1qTXowYVZMRnh4MTFGSFI0Lzczdi85aDdOaXhPT2lnZzNiak4wZEVSRVRVakFuWVhxcTR1ZWQ2RDRCYUFHUDhmdjluaWZ1VWxaWFZBcGllbWdoM1hHRmhZVVpHUnNieEluSVdBQStBWHFyYVRVUVM1enFxWVJpYW9qQTd0ZUhEaHlNbkp3Y0E4TUlMTDZCbno1NFlPM1lzQU9DVFR6N0I0c1h4TnhXUE8rNjR1R1JuM3J4NW1ETm5UdlQxTysrOEF3RDQ4TU1QY2NVVlYrREpKNTlFUVVFQkFPQ2trMDRDQUV5ZlBoMVRwa3pCKysrL0Q2ZlRHWTBqY1VqaTg4OC9qLzMzM3g4dnZQQUNEam5rRU54MzMzM1J1azQ0NFlTNGhUWSsrT0FEdlBUU1M5SGs4ZTIzM3dZQTdMdnZ2bmoxMVZjNzhCc2pJaUlpaXNjRWJDL2xjRGdtQW5BQ3VLNjE1S3N6S0Nnb2NPWG01dWFxNmhDSHczR1dpSndKb0NkaTVnMGwvaHllc3lTMmJlLyt5VXQ3b05HalIyUDA2TkVBZ0ZtelptSFFvRUc0NUpKTGdQQmNxbVhMbHUzeWU5VFcxZ0lBTm0vZWpENTkrbURUcGsxd3VWelI1Q3ZDTUg3TXE0UEJJRjU0NFFWTW1EQ2gxWGxwalkyTitPQ0REd0FBSzFldXhKVlhYZ2xWUlZOVEUrYk9uUXVYeXhVdEp5SWlJdHFkbUlEdGhmTHo4N05FNUFSVmJReUZRZytuT3A0ZDVMQXN5eTBpdzFWMUdJQmg0WVZESExHSlZxeEloN3kxN1Y2dnQ1dHQyNFdxYXBpbXVhaXNyR3dUQUZpV2RRQ0FnbEFvVkY5UlVmRkplSGZUc3F3aUFIbTJiYThvTHkvL0ZzMXpoakp6Y25JT1JmT0tmWE1qZFJjVkZSM29kRHJ6VlhWVklCRDRQRkp1V2RaUEFTQVVDbjFXVVZHeEZRQ0dEQm5TMStWeURheHRDaDNZRU9vY3VXRlRVeE15TWpLaXIwT2hFRXpUM0ttNnRteHBIaFY2NjYyM1lzbVNKZmpyWC8rS1NaTW1vYWlvQ0EwTkRlalhyMS9jL29aaHhNMUJjemdjZU95eHgrS0dPeWE2L1BMTGdmRHd4VmhYWFhVVkRNTm85ekwzUkVSRVJMdUNDZGhlcUVlUEhrTUF1QUJFRTRCME4yalFvQnlYeTNXMmFacG5xdXJBOEowdWw0aElhNGxWZTFmbnMyMjdVRVFlRkpGTTI3YkhBZmdvdk9rWEluSzFhWnJmQURnRXpZbFdGd0EzaThnSUVia1p3RFFBeU03TzdpVWl6NGVQNnh1cDIrbDBuaThpRjZucVV3Q3VpNG50K2ZDL1IwVVdBbkc1WEVlTHlCMlpEbU41WTFBN3hlTWhhbXBxa0oyZEhYMGRDb1hhdFZKaHhLWk5tM0RmZmZmaGswOCtpUzRicjZxNDhzb3JjZkRCQjJQeTVNbVlQSGt5MXExYkI2L1hHNWZnT1oxT05EWTJ4dFUzZnZ6NDZETDJ0bTNqMTcvK05RQ2dmLy8rNk5XckZ5NjQ0QUxNblRzWGxtWGh6VGZmeE5xMWExRlVWSVJMTDcwVVRxY1RxMWV2eHBOUFB0a2gzdzBSRVJGUlc1aUE3WVZFWkovd3Z5MmVQdXQydTA4eERPUGxoT0l5bjg5M2NOSUNiSU5oR0tLcUxnQVpBQVJ0M05WcVMyeFNGcGtEWnR1MmFacG1wcXE2Yk51T3ZYM2pVRldYaUdSR0NtemJGaEhKQ0pjN1lzdkRjU1Z5aE12anhzNUY5bFZWaWFuRE5BekRaWWc0Z2ZTZm5oWUtoVkJUVTRPOHZMeTRzaDI1QStaME92SEdHMjlnMkxCaE9QVFFRekZqeGd4TW5EZ3hPbTlyMUtoUkdEOStQSzYvL25xVWxaWGgvUFBQeDZSSmszRGdnUWNpT3pzYlc3YzJYenU0ODg0N1VWcGFpc21USjZPcHFRa0FjT0dGRjJMaXhJbm8yN2N2WEM0WERqcm9JRHp4eEJPWVBYczJycmppQ2d3ZE9oU25uWFlhbm5qaUNRd2VQQmhvbmhjWlhheURpSWlJYUhkaEFyWjNxa1Z6QXBDVHVFRkUxZ0I0Szd3OVUwVEdwQ0xBUkpXVmxWc0FQQWpnb2VMRFF1RzhBQUFnQUVsRVFWVGk0a0dHWVJ4bUdNWWhJbklJZ0VJQXJ1M00rNEtxUm4rT3pBRVRrVVcyYlYrb3FvYUlMSW81ZmpxQVQwS2hVSFJjMnNxVks3ZTYzZTZiSWtNUUkrVTFOVFhyOHZMeVRrMk11Ykd4OFRHbjAvbTJxcTZLTFZmVlU5RThiNmtxVWxaZlgvOVdWbGJXcWJWTjlnQVYzTlpCWDl0dXMzbnpaZ0JBdDI3ZG9tVzJiZS9RSGJEczdHeTgrKzY3eU16TXhJY2Zmb2daTTJiRWJROEdnM2o4OGNmUnUzZHZYSFRSUlpnNmRTckdqUnVITjk1NEF6MTY5TUM2ZGVzQUFQUG56NGVxNHZEREQwZGRYUjI2ZCs4T0FCZzRjQ0I2OXV3WkhWNzQ3My8vR3prNU9iajk5dHVCNXJ1T3VQNzY2MUZVVkJUM3ZwTW5UOTZGYjRhSWlJaG8yNWlBN1lWVXRRck55Y2RRQUFhQTZHUWF2OS8vRVlCakVWN0szZUZ3ZkpQS1dGdWhDeGN1WEFaZ1dYNSsvdk41ZVhuN0dJWXgwRFRObndNNFhVVDJ3ellXNFVnVUNBUTJBdml3bGZJcUFGVUp4Y0ZBSUJCSTNMZXFxcW9ld1B1SjVZc1hMMTRCWUVWaWVTQVFhTEZ2WldYbEtnQ3JDZ2E3QVVuL08yQ3JWalhubEQxNjlJaVdOVFEwdEZnb1kzc3lNNXR2TUVhV29ZOWRXR1BxMUttb3JLekVwRW1UY09LSko4THRkbVBac21YSXljbEIvLzc5c1dqUklqUTFOZUc3Nzc1RHYzNzlNSGZ1WE15WU1RUFRwazJMMW5IMzNYZGozMzMzeGFaTm0vREREei9nMkdPUGpXNGJPSEFnMXF4WkUzY1hqNGlJaUdoM1l3SzJGNnFvcUtqMmVEeVZBQWE1M2U2VEFvRkFwMXgzdTdxNnVxNjZ1dm9iQU44QW1BTmdmRWxKeVhFT2grTWNBQ01BZEFPUUhWbUdQaVlSNHpMMHUyamh3b1ZBOCtJaDBiS2RTY0QrK2M5L1J1K0FPUndPOU9yVkM3VzF0Wmd5WlFwZWYvMTFISGZjY1RqeHhCT0I4Rnl1L3YzN0F3Q09QUEpJekpvMUMrZWRkeDZDd1NDS2lvcnc3YmZmdHZvZWxaV1ZtRHUzZVcyVXM4OCtPMW8rYytaTUxGeTRNSzRzZGs0YkVSRVIwZTdBQkd3dnBhcDNpY2o5SXZKUHI5Yzd2NnlzN1B0VXg5UUJtaW9xS2w0RDhGcEpTVWx2d3pCR2hJY29EbGRWYi9oQnpNSmw2SGRkUlVVRjl0bG5IL1R0RzExekJQWDE5WEdySXJiSDRzV0xzWFRwVW5UdDJoWGp4NDlIVmxZVzdydnZQcnorK3VzNC92ampNWEhpeEZhUE8rS0lJM0RpaVNmaXYvLzlMNDQvL3ZodEptQUZCUVVZTm13WTdyampEdnpxVjcrS2xqYzFOU0VVQ3NXVkhYdnNzZmp6bi8rOFE1K0JpSWlJYUVjd0FkdEwrZjMraHowZXp5OUU1RWpidGoveWVEeFgrSHkrdHhDekFvVEQ0WENuTnNxZFYxRlJzUmJBS3dCbUZoVVY5UlNSZklmRGNaU3FuaWtpQjZZNnZzNnNycTRPOCtmUHgvRGh3K1BLR3hvYWRqZ0JlK1NSUjJEYk5tcHJhOUcxYTFjQXdLV1hYb3JTMGxLTUdqVXFidC9ZUlQ1Q29SQ0dEQm1DYTY2NUpucGNXekl6TTNIWVlZY0JRUFJPR01JUGVQN3NzODl3NTUxMzdsRE1SRVJFUkx1Q0NkamVLN1IxNjlaVHNyT3pueEdSa3dETThuZzg2MVYxZVhqSTNnRUErcUQ1YnRtNlZBZTdDNEtMRmkxYUEyQU5nRElBVTBwTFN3dnI2K3UvVG5WZ25kWE1tVE5SVTFPRGswOCtPYTY4cnE0T0xsZjhZcEFyVnF4QVRzNlBhNzBzWDc2OFJYMXo1c3pCcmJmZWl1ZWVldzc1K2ZuNDE3LytoWWFHaG1nQ3BxcTQ2S0tMY1BEQkIrUFNTeThGQUt4ZXZScDMzWFVYdnZycUsxeDMzWFV0Nm16TFJSZGRGUDE1N2RxMXFLbXBpU3NiTm13WUxyNzQ0bmJYUjBSRVJMU2ptSUR0eGNJckM1NXNXZFp4SWpKT1ZROEQ0QVVRVXRWdkFUd25JalA4Zm4rbm5DUFdCaTB2TDErYzZpQTZxOGhxZ3ZuNStSZzVjbVMwdkttcENWOS8vWFZjR1lDNEJUSGE4dVNUVCtMQUF3OUVmbjQrQUtCWHIxNjQ1NTU3Y1BiWlo2T2dvQUFpZ2lGRGh1Q1paNTdCTDMvNVMrVGw1U0UvUHgvanhvM0R3dzgvak9PUFB4N0Z4Y1Z4TVNLY3BHM2V2Qm43N3J0dmRGdnNmSy81OCtkanhZb1ZjV1d4K3hJUkVSSHREa3pBQ0g2L2Z4YUFXYW1PZzlMZjFLbFRVVjFkalp0dXVnbmZmLzg5SG5yb0lYVHQyaFZMbHk3RmxpMWI0SGJIajFxOTRZWWI0cEt5VHovOUZMZmNja3YwOWF4WnM3QjA2VkxjYzg4OTBiSmYvT0lYZVBUUlIvSElJNDlFbDRRLzk5eHo4Y0lMTCtEUlJ4L0YrUEhqQVFEbm4zOCtYbjMxVmR4MjIyMTQ5dGxuQVFBK253OGpSNDZFMCtuRWhBa1QwTkRRZ0lNT09paGFkK3pEbTBPaEVGUTFydXliYjc2QmFab1lOR2hRQjM5elJFUkVSTTJZZ0JGUnU5VFUxR0QyN05rWU5Xb1VUam5sRkRRMU5lRy8vLzB2NnVycWtKR1JnU09QUEJJbm5YUlMzREc1dWJseGQ1VmlsM3hYVlV5Yk5nM0RoZzNEaUJFam91WFoyZGs0N2JUVDhPbW5uNkt4c1JFWkdSbm8zYnMzemp6enpMaEhDbVJtWnVLS0s2N0E3Tm16c1hYclZvd1pNd2J2dnZzdXVuVHBFbjBlMmJQUFBodjNucSsvL25wY2ZEazVPUzNLeG80ZHl3U01pSWlJZGh1dUJFZVVSZ29HdThkQTlMbmNuSncrRDkzelR4eDZ5TUdwRGluT3dvVUxzZDkrKzZGbno1N1Jza2hTRkhuSTlZNzQ0WWNmVUZkWGgvMzIyeSt1dkttcGFZZVh0Ti9UZmZ6cFo3aHkvUFZZdDM3OVJpaE9yVnJXOG5seVJIczd0OXM5eGpDTTUxVFZwYXFudHZiY1JTS2lWT01kTUNKcXQ5aTVWaEU3azNoRmRPL2VIZDI3ZDI5Unp1U0xpSWlJOWxSR3FnTWdJaUlpSWlMYVd6QUJJeUlpSWlJaVNoSW1ZRVJFUkVSRVJFbkNCSXlJaUlpSWlDaEptSUFSRVJFUkVSRWxDUk13SWlJaUlpS2lKR0VDUmtSRVJFUkVsQ1JNd0lpSWlJaUlpSktFQ1JnUkVSRVJFVkdTTUFFaklpSWlJaUpLRWlaZ1JFUkVSRVJFU2NJRWpJaUlpSWlJS0VtWWdCRVJFUkVSRVNVSkV6QWlJaUlpSXFJa1lRSkdSRVJFUkVTVUpFekFpSWlJaUlpSWtzU1I2Z0NJcUtWUU1JUWxTeXRUSFFhbGtTVkxLOUhVMUpUcU1JaUlpR2dYTVFFalNrTjE5Zlc0NTRHSDRYUTZVeDBLcFltbXBpWnMzcklsMVdFUUVSSFJMbUlDUnBSR0d0WCtMa1BrTzF2VnRYSHo1bFNIazFKcUt5VHlNd0F4WkR0SDdDVlUxelNxZnBmcU1JaUlpR2puTUFFalNpT3JLaXMrN3pkZzZEbUd3OWs3MWJHa1dxYkQ2T2R5Nm04TUVXZGRVK2pSaHFCOGtlcVkwa0ZJOVB0Vnl5bytUM1VjUkVSRXRIT1lnQkdsRi92ckZZdVhBRmlTNmtCU3JhU2taTGpEY0F4VVZWZTIwMXhSdWNnL045VXhFUkVSRWUwcXJvSklSRVJFUkVTVUpFekFpSWlJaUlpSWtvUUpHQkVSRVJFUlVaSXdBU01pSWlJaUlrb1NKbUJFUkVSRVJFUkp3Z1NNaUlpSWlJZ29TWmlBRVJFUkVSRVJKUWtUTUNJaUlpSWlvaVJoQWtaRVJFUkVSSlFrVE1DSWlJaUlpSWlTaEFrWUVSRVJFUkZSa2pBQkl5SWlJaUlpU2hJbVlFUkVSRVJFUkVuQ0JJeUlpSWlJaUNoSm1JQVJFUkVSRVJFbENSTXdJaUlpSWlLaUpHRUNSa1JFUkVSRWxDUk13SWlJaUlpSWlKS0VDUmdSRVJFUkVWR1NNQUVqSWlJaUlpSktFaVpnUkVSRVJFUkVTY0lFaklpSWlJaUlLRW1ZZ0JFUkVSRVJFU1VKRXpBaUlpSWlJcUlrWVFKR1JFUkVSRVNVSkV6QWlJaUlpSWlJa29RSkdCRVJFUkVSVVpJd0FTTWlJaUlpSWtvU0ptQkVSRVJFUkVSSndnU01pSWlJaUlnb1NaaUFFUkVSRVJFUkpRa1RNQ0lpSWlJaW9pUmhBa1pFUkVSRVJKUWtUTUNJaUlpSWlJaVNoQWtZRVJFUkVSRlJrakFCSXlJaUlpSWlTaEpIcWdNZ0l2SjZ2ZG0yYmZlS0xWUFZ2cXBxaW9nQm9JOWxXUWZFYmcrRlF0OVhWRlJzVFhxd1JKUVdXbXMzUkdUZlNMc2hJdnV5M1NDaWRNUUVqSWhTTGhnTURqSk4weGRiSmlLeEw1OVBlQTNETUE0QnNDQkpJUkpSbW1tdDNVQjgyOEYyZzRqU0VvY2dFbEhLbFplWFY2anF3dmJ1cjZwTEE0RkFpNDRYRWUwOTJHNFFVV2ZGQkl5STBrRklWZitONWs0U1ZMWEZEckhscXZvQ2dGRHl3eVNpTk1KMmc0ZzZKU1pnUkpRV2JOdCtWVlUzdG1QWHpjRmdjR1lTUWlLaU5HZmI5cXNBTnJkalY3WWJSSlEybUlBUlVWb3dER01OZ0FXSmN6WmloYmVWaDBLaGI1TVpHeEdscDNDN1VjNTJnNGc2RXlaZ1JKUVdBb0hBRmdEL1UxVWI0YUZERVRGRGlCVEF4MHVYTHYwK2RaRVNVYm9JdHhzZnM5MGdvczZFQ1JnUnBZdVFpSHdHWU5NMjlxbFYxVThBTkNVeExpSktYNkZ3bThCMmc0ZzZEU1pnUkpRMjZ1cnF5Z0dzaTd4T25GZ3ZJcHVibXBvK1RWVjhSSlIrUXFIUUoydzNpS2d6WVFKR1JHbGo2ZEtsM3dId3RUYWZJMXptVzdSbzBUZXBpSTJJMGxORlJVVTEydzBpNmt5WWdCRlJXZ2tHZzArMXRjMjI3VWVTR3cwUmRRWnNONGlvTTJFQ1JrUnBwYTZ1N2wxVlhaTllycXJyTm03YytOL1VSRVZFNll6dEJoRjFKa3pBaUNpdHJGaXhva0ZFbm9zTUp4SVJpQWhVOWVXcXFxcjZWTWRIUk9tSDdRWVJkU1pNd0lnbzdZUkNvZWRVdFNIeVdsVWJBY3hJYlZSRWxNN0M3VVpqNURYYkRTSktWMHpBaUNqdDFOWFZyUVN3TU9acTlqTFROQ3RUSFJjUnBhOXd1N0dVN1FZUnBUc21ZRVNVZG16YjNxS3E4L1JIQzVxYW10YW5PaTRpU2wrMmJXOEJzSUR0QmhHbE95WmdSSlIyVnF4WTBSQitjR290Z0VaVi9hU2lvbUpycXVNaW92VEZkb09JT2d0SHFnTWdJbXFOaVBqQ0QxZnRZdHYyUjZtT2g0alNuNGg4eUhhRGlJaUlhT2VJWlZtekxjdGF3THYxUk5ST2JEZUlLTzIxZkd3OEVhWFVmZ2NXL1YrRzAzRmdxdU5JQjlrWk9ONkFadFkweXN1cGppVmRORFEwZlBuZGwwdS9TblVjbEY3WWJ2eUk3VVpMYkRlSTBnc1RNS0kwVWxEZ0xvQkxINGRnY0twalNROGFicU5FVXgxSkd2a2FkWEpXVlZXZ0t0V0JVSHBndTVHSTdVWXIyRzRRcFJIT0FTTktKeTRVUURCWUlIMnlzN0pnT3N4VVIwUnBJaFFNb2E2K0hyYXFDeTRVQUdCSGlwcXgzYUEyc04wZ1NrOU13SWpTVUhaV0ZxNjY4aklVRGhtVTZsQW9UU3haV29sN0huZ1lHemR2VG5Vb2xLYllibEFpdGh0RTZZa0pHRkVhTWgwbUNvY013cUdISEp6cVVDaU5PSjNPVklkQWFZenRCcldHN1FaUit1RUtRVVJFUkVSRVJFbkNCSXlJaUlpSWlDaEptSUFSRVJFUkVSRWxDUk13SWlJaUlpS2lKR0VDUmtSRVJFUkVsQ1JNd0lpSWlJaUlpSktFQ1JnUkVSRVJFVkdTTUFFaklpSWlJaUpLRWlaZ1JFUkVSRVJFU2NJRWpJaUlpSWlJS0VtWWdCRVJFUkVSRVNVSkV6QWlJaUlpSXFJa1lRSkdSRVJFUkVTVUpFekFpSWlJaUlpSWtvUUpHQkVSRVJFUlVaSXdBU01pSWlJaUlrb1NKbUJFUkVSRVJFUkp3Z1NNaUlpSWlJZ29TWmlBRVJFQTRQUFBQOGZLbFNzQkFJMk5qYWlwcVVsMVNGR05qWTJvcXFwQ1hWMWR1L1l2S3l0RFZWVlZtOXMzYk5pQTExNTdEVnUyYk5sbVBhdFdyY0xYWDMvZDV2WjU4K1poN2RxMTBkZGZmZlVWUHYzMDAzYkZTTFFuWUx2UkV0c05JdG9lUjZvRElLTDBjTXN0dHlBckt3dVBQUElJSG56d1FjeWFOUXZYWDM4OWZ2clRuN2E2LzF0dnZZV0dob1lkZW8vUm8wZWplL2Z1MGRkZmYvMDFubnZ1T2Z6aEQzK0F5K1ZxODdndnYvd1NaNTk5TnY3MXIzOWg5T2pSMjMyZmYvempIeGc3ZGl6NjkrK1B0V3ZYNHN3eno0emIvdFZYWDJIU3BFa29MQ3hFVGs1T20vWDg1ei8vUVhWMU5lNjg4ODVXdDk5NDQ0MllNR0VDZnZhem53RUE1cytmajltelorT1FRdzdaYm94RWV3SzJHeTJ4M1NDaTdXRUNSaGc4ZUhEUHJLeXMzd000VGtRR0FzZ0Y4TDJxZmlzaWJ3ZUR3VWNxS2lxK1RIV2NIVVNLaW9vRzI3Yjl6WklsUzlMblVtMGF5TXpNaEtvQ0FDNjg4RUtzWHIwYVYxMTFGWDcrODUvajVwdHZickgvSFhmY2dhMWJ0OExoMkg0ell0czJHaHNiOGNRVFQ4UjFwQ29xS2pCanhnejQvWDVNblRvVisrKy8veTUvanJxNk9peGZ2aHhYWDMwMTVzMmJoMmVmZlJZalJveEFmbjcrTm8vYnRHa1RKazZjaU1zdXV3d0hIWFFRQU9DVFR6N0JyMzcxcTdqOXJyenlTbXphdEFrQVVGdGJpL3Z2dngvUFB2c3NBT0Q3NzcvSDVzMmJjZjc1NXdNQVROUEVZNDg5dHN1ZmlTaGRzZDFndTdHckNnb0tYRjI3ZHYzSm9rV0xLZ0hZcVk2bkkrMWwvU3ZhQVV6QTluSnV0L3Rzd3pBZUJKQURvQjdBRWxYZElpSTlSYVFVd01HR1lmd0E0Tytwam5Vbm1XNjNPMGRWZTR2SWNTSnlqb2djRkFxRlJnSlluT3JnMG9uTDVjTFdyVnNCQUYyN2RzWHR0OStPRVNOR29GdTNibTBlYzk1NTUrR3l5eTdiYnQzejVzM0RILy80eHhibEo1NTRJcnAzNzQ1cnI3MFc1NTU3THU2NTV4NE1IVHAwbHo3SGdnVUxZSm9taGc0ZGlwLzg1Q2VZUG4wNjdycnJMdHg1NTUwNDRZUVRVRmRYaDFBb0JBRDR6VzkrQTlNMDBhdFhMeFFXRnNMdjkwYzdldFhWMWFpc3JFUlZWUldlZXVvcEFFQ1hMbDF3eGhsblJLL2dUNXc0RVljZmZqaEtTMHNCQUI5ODhBRVdMbHlJYzg4OUZ3QmdHQnpsVFhzMnRodHNOM1pWYm03dVBnNkg0eVBMc2xhbzZyOE53NWhwMi9iM2dVQmdDNEJRcXVQYldYdEIvNHAyQVJPd3Zaakg0N2tFd0lPcXVoWEFsZXZXclh1a3VybzZPbGplNi9WbXErcEo0WWFqVXlrcEtjazNUZk5RRVJtbXFzTU53N0RDVjU0QVlOc0QrUGRBYjcvOU5pWk5tclROZlJvYkc2R3FHRGx5Wkt2YkowNmNpR09PT2FiRFl4czVjaVFlZlBCQjNIMzMzY2pQejhkTk45MkVkOTk5TjI2ZnlCWDJhNis5dGtYbnBLaW9DQTg5OUZEMDlYdnZ2WWZDd2tKa1pHUWdJeU1EcDU1NktsNSsrV1dzVzdjT045eHdBMEtoRUZhdVhJbTc3NzRibDExMkdmcjI3WXZGaXhkajJyUnB1TzY2NjdEUFB2c0FBRjU4OFVWMDZkSUZMNzMwRXBxYW10Q3paMC9zczg4K2VQVFJSNlB2OWIvLy9ROWp4NDZGMiswR3duY0RldmZ1amFPT09xckR2eWVpWkdPN3dYWWppUXdSOFFMd3FPcEVFUWxZbHZXSnFuNXNtdVluWldWbDM2VTZ3QjJ4Si9ldnFHTXdBZHRMRlJjWEZ3TzRCMEF0Z0RGK3YvK3p4SDNLeXNwcUFVeFBUWVE3cnJDd01DTWpJK040RVRrTGdBZEFMMVh0SmlLSmx4UFZNQXhOVVpncEVRd0dVVjlmajNQT09RYzllL1pzZForMzMzNGIxZFhWdVBEQ0MxdmRIaGxlc3pzVUZ4ZGoyclJwQUlENitucms1T1JnM0xoeDBlMXIxNjdGRTA4OGdaTk9PZ2tISG5oZ3RIekdqQm1vci8veC9OWFUxSVM1YytmQzYvVkd5OGFORzRkeDQ4YWhaOCtlNk5XckZ4QytVby9ta3lSeWMzTXhlZkprakI0OUdtZWNjUVlBWU11V0xYanBwWmR3MDAwMzRhdXZ2c0lYWDN5QnYvNzFyd0NBbDE5K0dYZmNjVWUwL3JmZmZoc1RKa3pBNnRXcm84T0dJbGUrSjB5WWdKTlBQbmszZld0RXV4ZmJEYllieWFLcUlpSVFFUUdRQjJDTXFoNHVJaHRWZFoxbFdaK3E2dE9Oalkxemx5eFowcGpxZUxkbFQreGZVY2RqQXJhWGNqZ2NFd0U0QVZ6WFd1UFFHUlFVRkxoeWMzTnpWWFdJdytFNFMwVE9CTkFUTVZjK0UzOXVidHNodG0xTFNvSk9zWk5PT2drREJneG9kZHUzMzM2TDFhdFg0N3p6emt0S0xOWFYxWmcwYVJJbVRKaUFuL3prSjNIYjh2THljTlpaWjBWZlYxWlc0b2tubnNEbzBhUGpKdE4vK09HSDJMaHhZL1QxN05tem8vTXM2dXJxb0tySXlzcHFjNkorUTBNRHJycnFLbVJsWldIeTVNbVIveDk0L2ZYWDBiZHZYNHdkTzdiRlhJeFFLSVR6eno4ZkYxMTBFUURnK3V1dlJ5Z1VRbE5URTg0ODgweGNlZVdWY2VWRW5SM2JqWGhzTnpxZWlDZ1N6dGZobGJwN0FPZ2hJb05FNU56TXpNeHZMY3VhcnFyUDE5ZlhyelFNWTB1NkpXUjdRditLZGo4bVlIdWgvUHo4TEJFNVFWVWJRNkhRdzZtT1p3YzVMTXR5aThod1ZSMEdZRmg0WXFzam9lR09pcHdjVzl2dTlYcTcyYlpkcUtxR2FacUx5c3JLTmdHQVpWa0hBQ2dJaFVMMUZSVVZuNFIzTnkzTEtnS1FaOXYyaXZMeThtOEJZTUNBQVprNU9UbUhBb0RmNzU4YnFidW9xT2hBcDlPWnI2cXJBb0hBNTVGeXk3SitpdVlUOG1jVkZSVmJBV0RJa0NGOVhTN1h3TnFtMElFTm9kVGtodG5aMmRHNUhCRnIxcXhCUTBNRCt2WHIxK294VHozMVZIUWkrYmJZZHN0NTFXdlhyc1h5NWN0eHpqbm40TVliYjhSeHh4MjNDOUUzbXpGalJ2VG53dzgvUFBxKzA2ZFB4NElGQzNEdnZmY0NNZjhYTHJ6d1FnU0RRVGdjanVpS1pBRHd6anZ2NFBEREQyOXpMc2FiYjc2Sjh2SnlBTUNLRlN1aXc2L216Sm1ENWN1WHR5Z24ybE94M2VnYzdZYmFDcGRURDdRc1MzZlgrUXZBUnNNd2xwU1ZsVFdoK1U2aFYxVzdBcWp5Ky8xZllSdm4zRml0bmJOamZ0NWZSSzRTa2Q5bloyY3ZWZFZQM1c3M3h5THlxZC92WHdvZ3BhTmJPbm4vaXBLSUNkaGVxRWVQSGtNQXVBQkVHOUIwTjJqUW9CeVh5M1cyYVpwbnF1ckE4SjB1bDRoSWE0bFZwQUhmSHR1MkMwWGtRUkhKdEcxN0hJQ1B3cHQrSVNKWG02YjVEWUJEMEh5aTZnTGdaaEVaSVNJM0E1aUc1ZzVJTHhGNVBueGMzMGpkVHFmemZCRzVTRldmQW5CZFRHelBoLzg5S3JJUWlNdmxPbHBFN3NoMEdNc2JnN3JiWm1DLy92cnJMWVlTOWUvZkg2TkdqVUp1Ymk0YUd4dFJWMWVIckt3c0FNQWpqenlDbDE5K0dhKzg4a3FycTRFZGR0aGhPUExJSTdmN3ZwOS8vbm1MRHBmSDQ4R1RUejZKUC96aEQ3anh4aHNCWUpjNlUzNi9INEZBQUgzN052OEs3ci8vZmxSWFYyUHk1TWtBZ0NPT09BTDkrL2NIQUd6Y3VCRlRwa3lCdytIQTlkZGZqK3pzN0xpNjNudnZQZHgrKysxQWVCaFc3QnlYRVNOR1lNeVlNZWpTcFF2KzcvLytENEZBQUYyNmRFRldWaGFPTys2NDZQTGJUei85ZFBSN0pPck0yRzUwL25aREFHUTZqUE5FWk9EdU9uK3A2b2UyYlY4S1lCMmFrNmEvaVVpUnF2NGR3RlJzKzV6Yk11WTJ6dVBoYzc1TFJDd0FiaEg1TllEdjNXNzNjZ0RQYmR5NDhaV3FxcXFOclI2OG0zWEcvaFdsQmhPd3ZaQ0k3QlArZDMzaU5yZmJmWXBoR0M4bkZKZjVmTDZEa3haZ0d3ekRFRlYxQWNnSW4wOWF2YXZWbHRqR1BESUh6TFp0MHpUTlRGVjEyYlp0eHV6dVVGV1hpR1JHQ216YkZoSEpDSmM3WXN2RGNTVnloTXVkc1lXUmZWVlZZdW93RGNOd0dTTE8zWEVCTHhnTUFnbFhlaEdlTjNIeXlTZGoxS2hSMFhrTzY5ZXZSMzUrUGpadTNJZzMzbmdEQng5OGNLdWRxQ2VmZkJJNU9Ubkl5OHZiN3Z2WDFkWGg5Tk5QajNaeUlnb0tDdkRrazAvaTRZY2ZibGVIYkZzZWVPQUJqQjQ5R2s1bjg5YzliTml3dUtXcisvVHBnejU5K3VDTEw3N0E1TW1Ua1plWGgvdnV1dzk5K3ZScFVkY1BQL3lBQng5OEVBRHcybXV2b2JxNkdyLy8vZThCQVAzNjlVTkdSZ1pPUFBGRW5ILysrYmpoaGhzd2FkSWtiTm15QlgvLys0K0xXVTJaTW1XWFBnOVJxckhkMkxQYURVUEV1VHZQWHlLU0VRd0dvK1Vpa2huZVAvYjkyanJuN3ZDSkwrYjhueUVpT1FENkFNanAwcVZMeXBhUjdLejlLMG8rSm1CN3AxbzBOMTR0bmlRcEltc0F2QlhlbmlraVkxSVJZS0xLeXNvdEFCNEU4RkJ4Y2ZFZ3d6QU9Nd3pqRUJFNUJFQWhBTmQyNW4xQlZhTS9SK2FBaWNnaTI3WXZWRlZEUkJiRkhEOGR3Q2VoVUNnNlUzdmx5cFZiM1c3M1RaRWhpSkh5bXBxYWRYbDVlYWNteHR6WTJQaVkwK2w4VzFWWHhaYXI2cWxvN3R4VVJjcnE2K3ZmeXNyS09yVzJ5UjZnZ3RzNjZHdUxpZ3dSZXZIRkYrTTZEbVBIam8zT2M5aDMzMzBCQU45OTl4M3k4L1B4L1BQUG82R2hBUmRmZkhGY1hRc1hMc1NXTGEwdkpGbFlXSWk4dkR6VTF0WWlFQWkwMkw1cVZmTlhjZkRCQnlNakl3TUl6OXU0OXRwcjQvWmJ1WElsamo3NjZPanJ5SnlJRzIrOE1Yb2N3cFBlQncwYUJJU2ZyVE4rL0hnODhzZ2pyY1ptMnphbVQ1K08rKzY3RDNWMWRYQTZuVGo5OU5Qajlqbjk5Tk54MVZWWG9YdjM3ckJ0R3prNU9kaDMzMzFSVTFPRG9VT0g0dnZ2djBlM2J0M3c5Tk5QWStQR2pWaTBhQkZ1dlBGR3JGbXpCajZmRDlkY2N3MHlNNk01TzQ0ODhzaGQ3aUFTcFFyYmpUMm4zVkFBdFkyaHg3S2R4b3JkZGY1UzFZM0JZSEJqekw1WFJZWWdSc3JhT3VkR0xxb212RmZrbUxqeThPdWdxcTRBc0VCVlB3SHdpZC92RHdBSTd0dzMxR0U2WGYrS1VvTUoyRjVJVmF2UTNCZ01EVTl5alE2MDkvdjlId0U0RnVHbDNCME94emVwakxVVnVuRGh3bVVBbHVYbjV6K2ZsNWUzajJFWUEwM1QvRG1BMDBWa1AyeGpFWTVFZ1VCZ0k0QVBXeW12aWoxcGhBVURyZlFPcXFxcTZnRzhuMWkrZVBIaUZRQldKSllIQW9FVysxWldWcTRDc0twZ3NCdVFqcjhEVmxmWHZQcHQ0bFhuK3ZyNjZIQ1hBdzQ0QUdqK1BPamJ0eStlZXVvcGpCNDlHaDZQSis2WXYvLzk3MWkwYUJGYWMvLzk5MlA0OE9GWXRXb1ZycmppaWpiamVmUE5ONk1kTjRRN1o4MExSelhyMGFOSHE2dVovZXhuUDJ1eG1sbkU1TW1UVVZCUTBPcjdiZG15QlJkZWVDRVdMVnFFZmZiWkJ3TUdER2pSZWZ2TFgvNkNwcWFtNk91TExyb0lFeVpNaUw3ZXNHRURUampoQk15Y09SUFRwazFEVVZFUmV2ZnVEWVMvMTBXTEZzSGxjc1U5LzZpdFNmeEVuUUhialQybjNSQkQwQmlTRmNzWHg1OS9Pdkw4bFZqZTJnSVViWjF6STZzZ29vMXpkc3kySDFSMXBxcE90MjE3U1VORHcvZmhDN1Jwb1pQM3J5aUptSUR0aFNvcUtxbzlIazhsZ0VGdXQvdWtRQ0R3YXFwajJoblYxZFYxMWRYVjN3RDRCc0FjQU9OTFNrcU9jemdjNXdBWUFhQWJnT3pJTXZReGpmcGV0d3o5ZDk5OUI1ZkxGWGRpdDIwYjlmWDEwYVdWZS9mdWpieThQQ3hldkJqdnZmY2VBT0RxcTY5dXRiN0REejhjdDk1NmEvVDFsMTkrR2RmeGlaZzZkV3JjMHM1ejU4N0Z4SWtUNC9iNTl0dHZjY0VGRitCM3Yvc2RmdnZiM3dJN3VacFpXNTBvQU1qSnlVRnViaTZtVHAyS3VYUG5ZdTNhdFNnc0xJemJKM0UrUjF2dXZQTk9iTjI2RmNYRnhUajc3TE9qNVRObnpzVHh4eDhmN1pBaS9KMFNkVlpzTjlodUpJdUkyREUvQTgzbmJBM2ZVZHBzMi9aQ1ZYMTAzYnAxTTFldFdsV2J5bGkzWlUvcFg5SHV4d1JzTDZXcWQ0bkkvU0x5VDYvWE83K3NyT3o3Vk1mVUFab3FLaXBlQS9CYVNVbEpiOE13Um9TSEtBNVhWVy80UWN5eU55NUR2M0xseWhZZGpjMmJOd014ejdaQjh3cFhtRFZyRm9MQklNYVBIOS9xSEE0MEw3T0xuSndmUjFpMDFRbkp5c3FLMjYrMUs3dno1ODhId3MvMDJaM3V2dnR1SU55WisrR0hIekJ2M3J5NDdaRmxxTGZuckxQT1FpZ1V3b3daTS9ENjY2OUh5MnRxYWxvODhIWDY5T210emhVaDZnellickRkU0tMSXRBQUEyQXdnQUdBQmdJOVZkVUVnRVBncTFRRzIxeDdhdjZJT3hnUnNMK1gzK3gvMmVEeS9FSkVqYmR2K3lPUHhYT0h6K2Q2S25RanJjRGpjcVkxeTUxVlVWS3dGOEFxQW1VVkZSVDFGSk4vaGNCeWxxbWVLeUlIdHFHS1BFUXdHOGZubm44Y3RsNHp3OEJ3a0RDOHFMaTdHZSsrOWg1RWpSK0pYdi9wVnRQemFhNi9Gc0dIRG9nOGM3VWdmZlBBQmNuTno0NjU0N3c3cjFxMkxYbG45NnF1dm9oMnJpRldyVnJVcmhtSERodUhWVjEvRnVISGpjTWtsbDBUTGp6enlTRHo4OE1OdFBpK0pxRE5odTlHTTdVYlNxS3BXQUpqUjFOUTB5N2J0NnF5c3JQV1JKZTA3a3oyOWYwVWRnd25ZM2l1MGRldldVN0t6czU4UmtaTUF6UEo0UE90VmRYbDR5TjRCNFJXRm9LcnJVaDNzTGdndVdyUm9EWUExQU1vQVRDa3RMUzJzcjYvL090V0JKY3RISDMyRXJWdTN3cklzQkFJQnJGbXpCbGxaV1hqeHhSZUI4QVI0aEpkUWpxemd0WG56NXJoRlN6NzY2S01XeTFCM2hLMWJ0MkxCZ2dVNDVwaGo0SEIwZkhNVVdjVnQ5cXhsTUpRQUFDQUFTVVJCVk96WmVPR0ZGL0NYdi93RmFGNk5LdnBzbjRqSUExTGI2N1hYWHNObm4vMDR4YUdtcGdhMzNISkwzQkxTdDkxMjI5NTRKWnYyQUd3MzJHNGt5NFlORzliMzdObHpSSGw1K2RMWU9WT2QyTjdTdjZKZHdBUnNMeGFldUhxeVpWbkhpY2c0VlQwTWdCZEFTRlcvQmZDY2lNencrLzE3MGhobUxTOHZYNXpxSUpMcGxWZGVRWFoyTm80NDRnak1talVyMnBsQStJR2krKzIzSHg1Ly9ISGNkOTk5R0Rod0lBNC8vSEJNbXpZTlU2Wk13YlhYWG90dnZ2a0d0YlcxR0RKa1NQUTQyN1pSVy92ak1QeUdob1pXMzl1MjdXaG5CcTA4V1BYZGQ5OUZZMk5qaXhXL21wcWFvaXVmSVh3Vkd1RUo3YkhsYmIxdnhJSUZDNER3YzRuT1BmZGNlTDFldlBQT08xRFZ1TGpReHNSdjI3YlIxTlNFdXJvNmZQTk4vSHpwa3BJU0hIUE1NZEhYeTVZdHd3a25uQkRYY2NyTnpkMW1mRVRwaXUwRzI0MWtDYy9uM3FQT3kzdHAvNHAyQUJNd2d0L3Zud1ZnVnFyam9JNzMyV2VmNGYzMzM4ZVpaNTZKckt3c25IRENDZkI2dldoc2JFU3ZYcjNnY0RodzhjVVh3Ky8zNDVoampzSE5OOStNckt3c3JGKy9Idi81ejMraUhSR0VoOUJFdlAvKyszR1QydHR5K2VXWGIzUDdyRm16a0pXVmhVTVBQVFN1dktxcUNpZWRkRktML1dNbjhFY1VGUlcxV2IvVDZVUitmajRtVFpvRXQvdkhFUjhmZi93eGhnOGYzbUwvZ3c0NktPNzE3MzczTzRnSXNyS3lzSGh4ZlA4Z0dBeWlzYkV4cnF5cHFTbXViTjY4ZVJnN2R1eHV1VXBQdEx1dzNXQzdRUjJEL1N0cUMvKzZpZlpnZmZ2MlJVRkJRZlJob0ptWm1YR3JiUUhBcUZHamNNWVpaOFROOWJqaGhodFFWRlNFWjU1NUJ1dldyY09GRjE0WTl6QlV5N0p3NmFXWFJsK3ZXclVLa3laTmF2SCs0OGVQajdzQ1hsWldoZ2NlZUFBSVA2UEg0WERnaUNPT2lIc0dEZ0RrNStmanBwdHUydTdudS9mZWU3ZjVtSUd6empvTHA1eHlTb3RKL0Y2dkY3ZmRGdis0dGV1dXV5N3U5V09QUFliTXpNem8wS0RObXpmanozLytjM1Q3OHVYTG84dDBBMEJwYVNrKy9mVFRGakdNR1RPR0hTbnFWTmh1c04wZ290MXJyMW9KamlqZEZReDJqNEhvYzdrNU9YMGV1dWVmT1BTUWczZTV6dnI2K2s3MVBLcUdoZ2FvNms3SEhIbDRiSmN1WFZyZEhobk9GTHZxV0dmdzhhZWY0Y3J4MTJQZCt2VWJvVGkxYWxuTDUvSFEzb250QnR1TnRyRGRJRXBQdkx4Q3RJZnJUSjBvaEsrMjc0cTJPbEFSbmEwRFJaUUtiRGZpc2QwZ29vN0VGb1dJaUlpSWlDaEptSUFSRVJFUkVSRWxDUk13SWlJaUlpS2lKR0VDUmtSRVJFUkVsQ1JNd0lpSWlJaUlpSktFQ1JnUkVSRVJFVkdTTUFFaklpSWlJaUpLRWlaZ1JFUkVSRVJFU2NJRWpJaUlpSWlJS0VtWWdCRVJFUkVSRVNVSkV6QWlJaUlpSXFJa1lRSkdSRVJFUkVTVUpFekFpSWlJaUlpSWtvUUpHQkVSRVJFUlVaSXdBU01pSWlJaUlrb1NKbUJFUkVSRVJFUko0a2gxQUVUVVVpZ1l3cEtsbGFrT2c5TElrcVdWYUdwcVNuVVlsTWJZYmxBaXRodEU2WWtKR0ZFYXFxdXZ4ejBQUEF5bjA1bnFVQ2hOTkRVMVlmT1dMYWtPZzlJWTJ3MUt4SGFES0QweEFTTktJNDFxZjVjaDhwMnQ2dHE0ZVhPcXc2RjBwTHFtVWZXN1ZJZEI2WVB0Qm0wWDJ3Mml0Q0twRG9DSTRoajlCZ3dkYkRpY3ZWTWRDS1dua05qZmY3TzBZZ2tBTzlXeFVOcGd1MEhieEhhRG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G9GM2s4bmlFQXBLUHFLeTB0M2Ira3BLUkxSOVVIQU1YRnhkMjlYdS9nam94elIzbTlYcWZYNjkybnJlMXV0N3RnZTNXVWxKUjBhV3UvNHVMaTdyc2FZd3h4dTkwSGRXQjlRUE5uUE1peXJGNGRYUzhSN1JnajFRRVFFUkhSTnJWNXJpNHRMZDFmVlJkN1BKN0pIZkZHWHErM20yRVlDeDBPeDczdDJkL2o4WnptOFhqK3VMMzluRTduK2FxNnRMQ3dzRU1UdXgxaDIvWWJ0bTNQTGl3czdKcTRyYVNreEdNWXh1Y2VqMmZDdHVvd1RmTTB3ekMrYk9WM1lqcWR6aVdXWlUzcWlGZ3R5N3JSTUl5QVpWbUYyOXZYNi9WbVc1YjFvR1ZaQjJ4dlg4TXdGZ0M0cmlOaUpLS2R4d1NNaUlnb2ZUa3N5L3FQeCtPWjB0cEd3ekJPRmhFSmhVS3Zkc1NibFpXVmJWTFZTUUF1OEhnOFI3YmprR01CL05QajhUenY5WHF6T3lLR25lSHhlRjd3ZUR4THZWNXZ0N2IyRVpGL0FDaHh1VnczeDVZUEdEQWcwK0Z3UEttcVB3U0R3YWUyOVQ2cUd1azMyYkhsbG1VZEE2QVBnRG03K0ZHQTV0L3IzYXE2RnNBRDI5dlh0dTJEUk9SMEFMN1MwdEpqZHZXOTgvUHpzendlajgreXJEZllUeVRhUFJ5cERvQ0lpR2hQNC9GNFRsUFY4M2IyK0ZBbzlPdUtpb3F0QUlJQTFnQzR4cktzelg2L1ArNU9sNGljRCtDTDh2THlUOXRiZDBGQmdhdEhqeDUxN2RoMWpzZmphWFdEcXM3MysvMmpmRDdmeFpabGZTTWl0NnJxd01HREJ4KzliTm15OWUyTnBTT0U3OENkcHFwSCtueStUV2hPaVA0dUl1TVQ5eFVSQUxqRzQvRmMwOW8yaDhQeFRlSm5GcEZlWldWbDMwZGVxcXFpT1hITHpjN09EbFZVVkd3Ti94N1cyN2E5eGUxMnU5dUsxVFROTldWbFpkK0ZZL3liaUxSNk4wcFZJN0VXZUR3ZWJhcytWVDNhNy9mUDlucTloNnJxTE5NMDMzUzczYjhMQkFMVHR2R1ZiVk4xZFhWZGp4NDlmbXVhNWtlV1pkM285L3R2M2RtNmlLaDFUTUNJaUlnNm1Lb1dBRGhxWjQ5M09wM1I4N1BmNzcvY3NxeDlSZVEydDl0ZEhRZ0Vua0R6bktOaUFNTUJoQ3pMcXRsV2ZTSnluTS9ubTVkUWZEK0ExeFAzdFczYk1Bd2o5ZzZQTTl4ZmlDWnRvVkRvaDVqNGJyTXNheDJBUTVjdFc3YkJzcXdxQUhGenJWVFZLU0xJek14Y2JWbFc0bHRPOWZ2OUU5dnh0YlJRV0ZqWUI4QmZWZlZ4djkvL3YwaTVZUmdQaEVLaG1UdFRaNkpnTU5qTHNxekgvSDcvS1NKaWlFZ0lBSEp5Y3E0R2NFNWhZZUVJQUQ4SDRESk4wN2V0dW16YnZnUEE5VEZGbXdHYzFjcCtwbUVZb1lUaWJnQTJ4UmJVMWRYNTBYem44b3VTa3BKUnBtbit4ekFNbjhmanVWaFYvOUZLQ0YxRTVFckxzaTVOM0xCbHk1YWVLMWFzYUFDQWlvb0tuOGZqdVJ2QVRTVWxKVTlYVkZSOHViM3ZpWWphandrWUVSRlJCL1A3L2Y4QTBGb0hlR2ZZb1ZEb1BJZkRNZEF3akduRnhjVmxDeGN1WE9oME9xOExKMFhYQUVqc3JBUE5pZGNwQUg3VzFOUzBzWlhOUzMwKzMzOHR5N3BTUkd5ZnozZHZhV25wUU1Nd0ZnSTQyZWZ6dllYbU8wei9VdFdUUmVUM1BwL3Z2MjE4M2djQlBCaCt6NjZxdWtCRVhveHNWOVV4QUU0SGNMT0lOTWFVVHdXUXViTmZUR1ptNXRVQW5JWmgvQzIydkt5czdBdkxzallES04zVzhYNi8vMTBBOXRDaFEzdGtaR1NZZnI5L1hmZ3ovOU8yN2NaQUlIQmRlTkdLRXkzTDhvaUlBMERRNi9WbXErcnZWUFZ1bDh0MUhacVRwbEVpOG04QUMxWDE1dGJlenpUTk5RbEZUVDZmNzcrRmhZVjlYQzdYcmNGZ2NHcEZSVVdsWlZuUHFHcSszKy8vS1pybmVmVlQxUXBWZlY1VnJ3OEVBaTErbnhVVkZXc0IvRFFjLzJFaTBnWEF0YkdKTTRBcHF2cWhpTHdTVXpZV3dDbkJZREJ1Z1pUNit2cXBMcGZyY3RNMEp3QzRhRnZmSXhIdEdDWmdSRVJFYWE2aW9tS3IxK3M5UlZYUFhiaHc0Y0xTMHRLQkFINXAyL2JkZ1VEZ1BqUVBhWHRWVlY4S0JBSlBoZzh6TGN1NkRrQmc0Y0tGQzF1cnQ2Q2d3QVhnRmdDUG92bk9VWW1JWklSQ29lZ2RqMkF3ZUx0cG1qOEJNTXV5cktsK3YvOXFOSGZ5VDFYVnN3M0QrRzFaV1ZuY25Sa1JLZmY1Zk5HRlBEd2Vqd1BBNlEwTkRROHZXYklrZXJmT3NxeTR4R2xIZUwxZXA2cGVCR0JXV1ZuWkY0bmJWWFdrWVJndkE2aU5EQnVNNFJDUnpJS0NncXlxcXFyNnpNek0rMVcxRDRBeDRXT0xEY09vUjNPU3RzN2o4U3hXMWFOczI5NHNJa0VBbDZNNTZYckpNSXd5QUk4SEFvSDVIbytuUVZVM0JBS0J3STU4bHN6TXpQTUJuR09hNWczaG9sSUFGWkh0WldWbFg0ZnZXdDF2R01iUFBSN1BhSi9QdDZLZ29NRFZ2WHYzbDFUMW9VQWcwR0llb0czYjAyS1R0ZkJpTFlIWTM0M2I3WFlaaG5GSzRyRkxsaXhaN2ZGNFhnUndYa2xKeVIvRFEyS0pxQU13QVNNaUl1b0V3a25HTFdoT2xPNEUwQmdNQnU5QU9KRVNrWk1CbEVYMnR5enJEQkVwc0czNzRyYnF6TXZMT3gxQU4xV2RYbGhZMkVkRWhxdHFvMkVZTmVIaGZRZ0dnd2dHZzVka1ptWitKaUx6Q3dzTCs0UkNvYTBBRGdCd3VtM2JYcmZiZmRxT0poMjdTbFVQQlpDcnFtOXZhNy82K3ZvRGx5eFpzanEyek8xMlh5QWlqKy9BMjMwVUhsTDZPb0FtMjdiN0dJYnhGOE13cmduSGNzZk9mbzZ3QzFYMTVZYUdCck9rcENSZlJBYXA2c3pJN3dBQUdob2Ezcy9NekR3R3dGbjE5ZlUxaFlXRmZiS3lzc1MyN1g2R1lid1NUbzZ2YSt0dTZNNVExYmRGNU5lbWFSNE9ZRlpIMVV1MHQyTUNSa1JFMUhsRVZxWDdTbFh2WHJSbzBSb0F5TTNON1JzdWo2NENLQ0lYQVZoZFUxUFQ1c3ArSW5LTWlCZ0FGcmhjcmtnWkFId2JlWjBvWEg2WHorZjdvOXZ0cmhLUmZ4dUc4YUhYNnkxdTdVN1U3cUtxWTBRRW9WRG92VzN0NTNLNXZyQXNxOFVkc0IxNUw5dTIzelFNWTBUNHpsbUQzKysvQ3MyUEFUakNOTTJBMysrdml0bjlJTGZiL2R0V3Fxa05CQUxQSmhhV2xKVDhSRVFHQWhqb2Nybk9qcFNMeUhXUjRZMnRmS2FyMFR3WHIzdE5UYzJJbkp5YzZTSXkzdVB4NVBoOHZrdDI1TE50aTJFWTc0ZHZIdjZVQ1JoUngyRUNSa1JFMUFtVWxKVDBkamdjYzFUMVlyL2ZmMlhzTm9mRE1URDg0K0dSc3JWcjE1N1lzMmZQL3BHRkZWcWhvVkRvRnRNMDcwRnpRdFBWTUl6WkFCNVUxU2UyRlV0VFU5TWFBQWdFQXErVWxKUWNicHJtOFQ2ZkwybkpGNW9UbFA4RGdOcmEycSszdFo5dDJ4ZUl5QSt4WlNKeVRIanVYTHNFQW9GWEFMeGlXZFlrVlkzT3FTb3ZMMzhQUUdJQ2VKaGhHTU1UNjFEVjFRQVNFekN0cmExZGxaT1RNeXdtdGo4QU9EMFlEQjVobXVZMjcyWUZBb0V0NFR0ZUoxcVdOVmxFSG0zdloycVBzckt5YnkzTHNrVmsvNDZzbDJodnh3U01pSWlvRXpCTjgwOEFpbFMxS0R3a0xrcFZoNGZ2WEhrdHl6ckE3L2QvVlYxZFhWZGRYYjA0c1I2WHk5VUZ6WW5KMXZEcWRsK2llVmplcndHWW9WRG9SUkZaMFZvTWRYVjFvY3JLeWkyeFpSVVZGVDRBaWF2L1hXUloxaTlqWG1lamVhNVQ0dDJvWFhsMldDOVZiVml4WXNYbVhhaGpSM1VYa2UzTmhYcks1L05kMEk2NnVxanExbkNDL0ZtazBMS3M0U0l5enpDTXlwWlQxNXFacHJtMXJLeXNLYVlvNVBmNy81eTRuNGhVeG43ZnFwb3JJcit6TE91Y21IMjI5VHNJaFpQWFh1MzRQRVRVVGt6QWlJaUkwdHpRb1VON2lNanZWWFZ4SUJCNExIRzdpSnlpcW5NQURBYndHd0N0cnNJSEFGbFpXVjNSUEx3c0xuRXhET09YYU83Y3Y5dldzZG5aMmVVQTRwNXpOWFRvMEI1T3A3Tm5JQkQ0UEZLbXFwOG1yb0lZZmxqd0hhMnNncml6bk9IbnBHMlRZUmhQSkM3Q29hcU9jTUlhZVYyZnNGcGdxMFNrOTg2SDI2S3VydUZsNktNOEhvOFh3RUVBRGpJTTQ0ZTJqZzJGUXFjQ2VDWHhXSi9QVng3N25ZakkzMXRaQmZHajFsWkJiT3U5Vk5XVzJDK0xpSFlaRXpDaVRxeTB0SFIvd3pBY2ZyLy9xdzZveml3c0xNeGFzbVJKTFFDN0hmc25qZHZ0enJOdE83K2lvbUpSZS9iM2VyM09oS3ZEZXpweHU5M2RhbXBxNmhLSG13MFlNQ0N6YTlldVdZRkFZQk9BTmgvb1N1a3RJeVBqbXZDQ0V5MFdXZkI0UEljQ3NGVDFZaEU1RU1EbHhjWEYvMXk0Y0dHckhYamJ0bnVZcGdsVjNSUlR4eEJWUFY1RVZxdHFnNGljYnR0MjlIME13OGhYMVJjQnRGaUdQak16OCtlcStvaGxXVWRFbnNXVmpGVVFBYXdUa1M0RkJRV3VxcXFxK3JaMmFtMFJEc3V5TG95cy9Jam1sUTdqN2xpSnlMNnF1anl4TGxYMWlzaUE4QU9LSnlkdTN4R3Eya05FTmlXVVhRMWdJNEFzRWJuTnR1MDNZcmNiaG5HenFoNWhtdVluclZUNWttVlpuL3Y5L3VqejUzWmxGY1RJV3dMb0NXRGRybnhXSW9ySEJJeW9BM2c4bmtOVk5UKzJ6TGJ0cFNLU0Y1bW5zRDBpc3RYbjg3MGVydThXQVAveitYeHRYb2xHODhuNFBoSEpCM0J3Vy90NHZkNXVvVkJvUW1OajQyMnhIWjlXUHNQUjRXV21oL245L3M5YTIyZkFnQUdadWJtNWYydHNiUHhiWlBKL1lrZ0RCZ3pvbXBPVDA5VzI3YTRBOGt6VDdLNnFQUUQwQ25kcTF2ajkvcnZ4WTZmdnQxdTJiSm13alhrcUFIQ0t3K0Y0SEVDN3JzTGF0djBQeTdMT01neWpvS3lzckRaeHUyVlp2eENSLzlpMmZVUWdFSGkvUFhYR0VMZmIzYTBkK3lFUUNOUzA1d3I5cnZKNnZUMVZkVjFPVHM2ZkFjUjFhSE55Y3Y0a0luLzFlcjI5eXNyS3Z0L2RzVkRIS3kwdDNWOUVybFRWL3dVQ2dUY1NOZ3VBS1FDK3QyMzdXUUM5SFE3SEh4d094NVMybnQxa0dNYmc4TCt4ZDZ4dUZwRXRBRVlEV0tDcVJ3Y0NnY2ovSmNPeXJIK0p5SmNiTm15NEpiRytjT0xXV0Y5ZnY4MkhFSGMwVlYwdElwRUZTTGI3b0dDdjF6dFlWVThEVUF2Z2x3Q2FxcXFxbXRBOHY2N0lOTTFIQVd3V2tSN2hvWjV4ODdYQ2R5RUhBRmdKNEZiTHNpcjhmdjlyaWU4aklvTmFlOUJ4Mkd0K3YzOVYrT2ZCQU9aSE5vVGJ3ek1CVEJLUlRBQ1hoVUtoK3lPSnRHVlpSNm5xS1NMeW03S3lzdTlpS3kwdExSMEtvSitxUHQzZTc2ODl2Rjd2dnFwcWhPZXZFVkVIWVFKRzFBRlU5ZXJ3RUtESVZkaHN3ekQrSWlLOVZmV0VkbGJ6RFlEWEJ3MGFsQVBnSkFBM2VqeWVDVDZmYjhvdXhqYmFNSXlyTWpNelQvQjZ2VC9mbFZYS2NuSnlCcXZxQlU2bjh4ZWxwYVVubDVlWCt5M0xtaThpeGFxYUtTSVprWDFOMDR3ZUZ4NjlVcWVxNndINEFkeU41a1JwcElqOE1UYzNkMlJoWWVFcFM1WXNXZTEydS9OTTA0eHJtMVMxSzVvN0Evc2t4clJtelpxdDFkWFZjVU9IUkdRa2dLOWJTNzdhbzZTazVDZUdZZnkwdFcybWFjNVQxVmJueHlTeUxPdG92OTgvRzgyZHE5TnMyL2JzVER4aG40VVhBcUM5akdFWWZ3R1FyYW90NXZpRW4vTTFXbFYvSDM1TzA1Y2VqK2NPRVpub2RydmZhMjNWUFZVZEtpS2J5OHJLdmtaejUzMFVnRE1CM09yeitWYTQzZTVyRE1ONHdMS3NLc013WHJSdCt5a1JzUUFjMmNxZEpvZUlISzJxNzJ6ckFzOXU4aEdhL3laSHRaR0FOUUhZNUhBNGJEUXZwMjhiaG5HTmlHU29hcjJJM0I2NW0xaGJXL3QxYm03dXhuQ3lzVVpFSm0zY3VQR2ZzWlZsWm1hZUVmN3h6UEN4LzdZczYxQy8zNzhrNFgwUEJsRGNXc0Fpc2hqQXF2QmpBL3FyNmtPUlRRRCtCV0JqTUJpOEp5TWpvOEcyN1RNY0RzZk1BUU1HSE5lMWE5ZGlFWmtCNEZtZno5ZGkrWHpUTkk5SCtMbGtPL05GdGlVWURJNDJUUk1pTXI4ZHV4TlJPekVCSStvNC8vWDcvU2NXRmhaMnpjek1YQTlnc2MvbnUybEhLNm1zck53U1hsWHNPUkc1dzdLc3dzVGhNVHZDNS9QTjlIZzhKd0tZb2FxZmVEeWVVOWV1WGZ0WnIxNjlGb2pJMzN3KzM3L2JXNWZmN3kvM2VEd2pBTHhsR01ZOGo4ZHp1bTNiOXdINFB4R3BzVzI3eGpDTUxiWnQ5N2R0ZTU3VDZkd0VZTlA2OWV0L3lNdkxLd1pRRUFnRVprVHFDd1FDajFpVzlZT3FQcE9abWJtZ3FLaG9oR0VZNzZqcW9OYmVYMVZiRElQcDFhdlhUZFhWMWRHaFFBTUdETWdGVUFMZ0h6djNqUUdtYVhvQVJJYm9aSW1JcmFvTmFPNlFuQlFldm5XVGJkdnZvN21EZkJ1QXJyWnQveWw4L1A0QW5rK0kvV1RETU03ZjJaaFU5VkVBcjVTV2xnNFZrVi9GYnJOdE8wdEVJQ0xIdU4zdXJySGJSR1JFZUo4L3U5M3V1b1E2bnlzdkwyK3hTQVB0bWdFREJ1UjI3ZHJWYU1ldTI5VFkyRmpyZERvUEFYQ2VxcjRaQ0FRK2pOMXVXZFo1QUc0SDhKYmY3Mzh3VXI1aHc0YS85ZWpSNHpRUmVjenRkbTlLdkd0bUdNYXhxcm9BQUFZTkdwUmpHTVpUSWxLMVljT0dPL0RqMytVQkl2SnYyN2JIaDU5SjlUTy8zMStHQkpabGpRay9SNnhETy83dFVWdGIrMTZYTGwyQzRSVU5XOXo1Q1FRQ2I3amQ3akdtYVI0SzRJM3k4dkxsZ3dZTjZwZWRuZTN5Ky8zUnRxU2twR1E0Z0VVK24rOW40YzkwbUtyK09UYzMxNHl0VDFVdkJiRFk3L2VYRFI0OCtPeXNyS3d5QUs4V0Z4Y2ZFanZjVTFXZjJWNmIzYU5IajZNQU9HemIvaFRORjJndUEzQ01xbDRjYzhmcmFBQWY1T2JtemdmUVgxVmY4L3Y5cmJZaHF2cHpBRitGRjBUcE1LWnBIZ1VnWk52Mk5wZjZKNklkd3dTTXFJTmxaR1FjSmMxbW9ma2tlbVc0azdRdDUvdjkvdWlFOWZDVjdOTXN5M3BVVmVlSGg2WXNTRHhJUkZ5cUtwWmx0WGJsK1pUSTNSZWZ6L2RXU1VuSlVhWnBQbWZiZGsxdWJxNHBJa01CdExpakZLdTR1TGkvdytFWTJkRFE4RTVrRG9YUDUxdHFXZFpvQUU4QitFSlZWVVF1M3JCaHc3RlZWVlgxbG1XZExDSlRUTk1jV1ZaV3RpeGNsZW54ZUI1UzFmMktpNHRueDNaVy9INy9pNVpsYlFKdzhxSkZpNnE5WHU4eHFocTVrK1pVMWRzQW5CcCtWdEY2MjdaL1p4aUdQM0o4TUJoY0h4dHoxNjVkZndiQVZOVmdPUEdNcXErdi95eHhMa2hyd3IrTEY5SGNNZnBZVlpkRk9sUnV0enN2dk51eTh2THlEOUQ4TzE0UElCUjU3ZkY0QnJSUzV3VUFXdTJVZVR5ZWN3QThiZHYycWR1N3kyVVlSajhBNThTV2hiOGJxS29sSXYxanQ2bHF0M0J5ZGtiaTNMN3dWVzBtWUIwc0p5ZW5Ra1FPMk5WNlhDN1hGZUhrQnFvYU8vVFA4SGc4ZjFiVjIwUmtvWWljRlR1L3I2cXFxajQzTi9kNDB6US9OZ3pqWmN1eXJvNE0reTBwS2ZrSkFDK0Ezd0Z3WkdkblB4TWVKaDI5dStYMWVyUERkNnR0RVRrWXdFTGJ0bk5haTFGRWZnMGcyTlRVbERnVUw5ZnRkaGRFWG9Ubk95RXpNN09mMisydWpUbGUybHJwYjNzcUt5dTNlRHllRjFYMWxLRkRoL1pZdkhqeGhsYmlteEorWVBSTUFPalNwY3VuQUJhRzcvaEZsdlovVDFYdkJuQTltaTlXYkRaTjgxalROTzhFOEhzMC80My9Ta1RjdG0yUEE0Qmx5NWF0THlrcE9jMDB6ZWNNdzlnUFFKc0xaclJHVlg4aEl0K1ZsNWQvNkhhN3h3QzRVMVZuQlFLQlIySjI2eVVpWDRhSGhVSlZ2L0I2dmQwVGh4S0h2K2NScXZxdnhQY3hES05mVEpzRkFJYUl4UDF1RE1QbzNscU1Bd1lNeUZYVk13QzhFanVQakloMkhSTXdvZzRtSWljQ2VLK3NyR3dUbWsrYUdTTFNwS3BISk81ckdJWUo0RE5WZGJaU1ZUQnl0Yk9rcEtUSTRYQjBBVEFOUUVYTVBoZUpTQjZBTzJQSytvV2ZieFAzOS8zLzdkMTduQnRWK1Qvd3ozTW11OW5lbHJiUUFySnEwY1dXMEUzbVRPUW1JUFRMUlVBUUVCVVVGRlFVQVFGQkJMNklvTndFRVFHNUZQMnFDSUlDZ2lpZ1JSQkVGTHlSbVNRdGE1RUNWWXJjb1JUYTdYYVQ4L3oreUtTbTJldzlDei9vNS8xNjlkWHV6Snd6WjJaSm1HZk9PYzhwRm90L3pXYXpzNk1vNmt1bFV1djBrc1R0ckNhNk9zeGFlMm84akc4VEFHaHBhWmtMWUczZ0VpZjkyRGx1VzFsRXRwazJiZHE1UzVjdS9YSVVSYmRiYXg4U2tjdmpvVGhxcmYwU0FBdmdvNDBTQThTQjR1OVFXWGZtMzZnOFZHd2hJdGZHbWNMT0FIQU9nTThiWTM3a25MdGd6Wm8xRjNWM2Q2K3ByOHNZczEvOGUrZzNYQ3NlUW5Sei9mYlJVRlUvQ0lKcTRMdXhxazRPZ21EUCtPZE5CeWs2SmxFVUxRQXdxM1piTnB2ZEtPNGR2Q0NLb25YbWdGbHJUd1h3VFJFSndqRGtITERYeDN4VmJmaFFPMEs1S0lyKzNOWFZkZHZDaFFzWG92TDdUQUc0QXNBdUFCN3M3ZTNkOStHSEgzNmx2bUN4V0Z5V1RxZjM5RHp2dHlKeXFiVjIzMVdyVm4wNGtVaWNFZmZtM21LdC9ZbUk3QXZnMkRBTUg0aVRlZXlycXArUGh6eWVMeUwzcWVwRm51ZjkxbHBiRUpHYlNxWFNQY1ZpOGFGWnMyYTFBUGl3cXY2aFFmRHphV1BNcCt2YkpTSVBOek9oWHFsVU9zZnp2SThsazhuakFLd3pQODMzL2ZlSnlPNEFQbFB6OHVIN0FMNlR5V1MyS1JRS2Z5c1dpODhGUVhBeGdKTzZ1cnErdjNEaHdzY0xoY0xEdnU5L1MwUk95MlF5UDErOWV2VkRJbktacXY0OW44K3ZYZFE2N20xSzFTZEZHVXI4Z3VZVHpybkxneUN3cW5xN3FqNVpLcFVPc2RadUJHQ3ZPTERkQThCZlZYVTNBTHVLeUVtcWVtSVFCRGVxNmwxOWZYMzNMbHEwNkZsanpDY0F5QURERHd2RzlPdU0vWnd4cHVIOHdGcVRKMDgrUmtTbWxzdmxjMGR5ZlVRME5BWmdSTTNsaWNoK0FFNnYzU2dpNVNpSzhnMk9Ud1RCdXRPQ3JMWGZCckFpenJDMVRvK0ZjKzQzdFQwazF0cmRSS1NqTnFPVnRmYTlJdklWVklLalNaN256UytWU2w5ZnVIRGg0dzB5QTJaOTM3OGdEcmJlRzdmMUNGWDltNnIrUUZVbkdXTk9TQ1FTcTFGNWNMaEVWZjhTUmRIYTRYWEZZdkVKYSsxWkFNN05aREszRmdxRlA2bnFWd0hjYUszZFVrUVNxbnF1cXY0c2lxSzF3YytzV2JQYXBrK2YvczFTcWZUTllySDRYSFY3T3AzdVNDUVNYd2J3ZVZXOXI2K3Zidy9QOC9ZenhpQU13MS80dnYrc2lOeVlUQ2FQOW4zL1N1ZmNEZkZhUnVqbzZKZ0FZQjlWdmMwWWMwcTF6bks1dktNeDV2OGF2S1YrV3hBRSs0UmhlTWVndjlVR2pERW54eG5MRUtmRGhxcFdmemV2YTlibTFhdFh1MlF5K1lxSU5Nb0V0MFpWVjY1YXRZb1pFRjhuVVJSZDBNejZxc0VYNGg0ZFZkMFp3Q1c5dmIybk5Ib0pVVlVzRmhkbHM5bjNxdXF0QUpZODhzZ2pLNjIxNzFQVlMvUDUvUE8rNy84UlFMNWNMbDhkQk1HajhUQzM1MFRrT2xXOXNDWlpSQkFFd2Y0QWpsSFZjeEtKeExsQkVKeGNLcFZ1QS9Cb281Y2FxbnFMcWw3ZXYxWHJNc1lzR01PdFFiRllYQlFFd1h3QUozUjFkVjI3Y09IQ3gvOTdxK1JpVlgwMGlxSzF3eE5GNUh1cWVwcm5lV2NEK0FBcVF4bS9NMkhDaE9OYldscStCdURUQVBEQ0N5K2NPMlBHakVNOXo3djBrVWNleVFSQmNMa3g1aWNOTXNTT0tQaEM1WHQ4VzJQTTZsS3BkRUV5bVN5cjZ1L0w1ZkxSbnVkOUhFQjFVZXo3QVh5MDVqdnpIbXZ0NWM2NTQwWGtNQkU1dkxXMTllbHNOcnVsYzI0Q2dPNUNvZkJnZzlQdDY1d2JkRzZlaUJ3a0l1c2tEY2xtcys5d3puMUZWWDlVS0JTaWdVc1QwV2d3QUNOcW9uZyt4RVpyMXF5cEgwYTI0UUREQk90NUl2SU9BQisxMXU3VTA5Tno4T0xGaTE4Y1JybUdqREZiaU1qZWlVUmlIOS8zRDgzbjg3OEpndURjZUZnSkFCd3FJcy9GazlsdkF2REpjcm04YzZGUStCditPOGNFcFZKcDlheFpzOXBVTlNVaXh3ZEJzRzBZaGwrcFp2Z3p4bHlrcXVYVnExY1hVSmw3Y1hjcWxYcEhkM2YzYTF0dHRkWDBaREk1M3puM2pkcTJ0YmUzWjFUMWlFUWljWkR2K3gvTjUvTVBCRUZ3SVlEakFmUTQ1NzZTeitmbkExRGYvKyt5US9sOC9nSGY5K2VLeUhuR21MT05NZWRaYTNlSm91Z1BHMjIwMFVFQU5oQ1JYOWNNZjZ6K1hnRGdIM1gzNXd3QUZxRFNXZ0FBSUFCSlJFRlVzNE1nK0g2cFZEb3hIdm81TEtyNmllckRrYlgyWmdCVHErbWY0emZjanc1WnlSakU4NHpXRGpkMHp1MkN5bHYvZGRab1V0VjdBZHpiMXRiMjlxNnVycmZWUHN6VG00K0lISzZxVzRSaCtPZGhISTVjTHZkMFoyZm56cTJ0clZyNXo4VHRtMGdrbmtYbHMzUmw5VGhyN1pFaWtvaWk2TzRHUVlXR1lYZ3JnRnRUcWRRbXlXUnlYaFJGTjhYSDljdkFXaXFWM2xrcWxmb0dDdzVyVEJqT2RReG14WW9WSjdhM3QyK1hTQ1IrbHMxbWQ4emxjbjNaYkhaRDU5elRJbkpCYlNiU1hDNjN5bHA3WE8zTGlzV0xGNzhZQk1HQklySjJqdHV5WmN0NlpzeVk4WEZWL1U5OC9mMnlQellTaHVHY29ZN0o1L1BYKzc3L3o1cE1zaDlDNVRQOXcvYjJkbE1xbFg1WkxCYVgxWmVMQStKVEFKd1dCTUg3VkxVbkRNTlhBSHd0L3JPV2lIeXZwNmZueDhOTWpISmZQQ1MxeW9zemF2N0hHSFBzTU1vVDBRZ3hBQ05xSW1QTVU2cTZ1cVdsNVFBQTFVbngvMUxWMjFUMXpQcmpuWFBHODd4djFhVDRMWWRoZUZBUUJJK0t5R2tUSmt5NFAwNG9NU3I1ZkQ2ZnpXYTNCZkJyQUhmNHZ2OUZWZlhpZ0dzTFZUMGppcUt6VVFrYTlnVHdTV1BNMmplODhmQkpsRXFsbnFWTGw2NWV1blRwWGtFUWZCZkFsNElnNkF6RGNGOXI3ZmJPdWJ0UldhVDFUR3Z0MnZOWC82MnFFSkhQV1d1WFIxSFVnWGhJWkNhVDJjNFljNGN4NXZmVzJzUGlkclVBNkJhUkZkYmFnL0RmN3FRVHJMVUgxMXplL1FBV0FIaEhGRVYvaU8vL2tmRytUTjJ0eUtqcVN6VnY5Q3MzdTF3K3poanpRUkU1enZPOFhkTHA5SUhGWW5HUjcvdFRSZVRndU8welJVU3JhYVdOTVRlUGRzNUtNN1czdDc4ZndPMGpLV09NZVFYQTFHRWNTditmaXVmL2pHZ29hZTBTRDRWQ29kL2FWdmp2TU9BaHhYTW9memJZTVNONWtkRU1TNVlzNmUzczdKelgzdDQrODhVWFgvUUE5TVgzcWVIYVZsRVU5V3QvR0lhL2JYRGNzSUxjMGNqbjgvM205TWEvcHlGN0RlUC9UL3h4c0FQaTBRNmpXZ3V4czdNeklTS0hpOGp6bzgwa1MwU0RZd0JHMUVTNVhHNnh0ZlppQUdkMWRIUmNNMlBHakpraThtUThCNmV0L3ZoNGJQN3BJb0owT3QwUnYvWFVNQXkvYXExZHJLcXZqbWFJUzEyYkhwc3paODRPRXlaTXVGcFZmNWZQNS8rWlNxVW10N1cxZlNwZTkyZEFJaklCQUZhdVhGbjluM0E1RE1OanJMVlBWbE5BOS9iMlBwRk1KazhhcUE1Vk5YRmdsRmJWZFhxZ0NvWEN3NmxVYXZ0a01ubTFxajRVUmRHajhXS2l6d0JvRlpGMTVwWFVEdXRUMWMxVjlhdlZPVS9XMnQwQWJBZmdSVlhkbzY3Y0xuRlBVUDMxclltaTZQZ2dDTzRUa1dzU2ljUmZneUE0MGpuM1Z4R3B6cVdhREtCRFJMWkU1ZTMrN1hGYTVoMnN0WW00bmc0QWs2b0Jvbk51NHdiekxwcHF4WW9WOTArZVBOa09kb3lJcEVYa3pIaG8yY3Z4ZWxGRWJ6bExsaXhaQVdERkc5Mk90NEk0RUJ6V1VodEVORG9Nd0lpYXJLK3ZiMzVyYSt2L2JyVFJSdnVJeUE2cWVpeUFuaUdLVFV3a0VtZWhaaEo1N2J5RktoRzUybHA3VmMybXFRQzhPR0NwSHRQdmN4MFBZL3pRU0s5RlJEWUVzTHArN1ovYVJBL3hHL0dyR3BYUFpyTnpuSE0vakNlcW45ZmIyL3VOK21QaThuczFPUGQzQnh2MkV3VEI4cnFlcUZOVTlXVlZQY3dZYzRlMU5oTkZVU0ZPV2pCSFZRZE1TeCtHNGEzcGRQcFJ6L051QjdCTlBwKy9ydHBUTkVnV3hDL1VMSFJiRGE1L2dFcGdQZTRUd09JSHprYnpDcXZaSzg4RmNGRDhVUG9OWTh6RjFjUXdSRVJFOU1aaEFFYlVaSXNXTFhveUNJSi94d3VYUWtUK0hvYmg5dGJhSzhybDhqWEZZdkd2K08vOHFsbFJGSjBWQk1IaStuclM2ZlJzVlgydU5tdWdpUHk4UGdzaWdLa2kwaWdMNGpxc3RlK01zeGNPU2xXVHZ1OS93aGl6QXNEQmpkNkVWb09id2VvSmd1QUU1OXczUmVTZnBWSnAyOEhXcDVrelo4NkdEZWE2emZGOXYrRVFvdGc2bVNORjVGTG5YRmMrbi8rTnRmWXBFZms4Z0dNQWZEWU9nSDgrV0h1THhlS2lPWFBtdkhmU3BFbUR2a1gzUEcrTmMrNGFBSmRIVWZRUUdzd0JTNmZUTXozUCt4YUEvd3hXVjdObHM5a05WUFYwVlQwT2NSQzdhdFdxczhjeWo1Q0lpSWlhaXdFWTBmaDRFY0NVbXVHREtpSVRQTSs3dXJPenN6cHM3Q3dSK2ZWQUZYaWVkNXFJN0pkT3B6ZXJiaHRwRnNRYUNRQjVhKzJ2aHJHbzh4cGp6SHdBN1FES2NVcnF0ZUlFRS9rZ0NFNG9sVW8zSnhLSmZrTXJVUW5ramhLUmJsVTlOSkZJcktsZEcydk5talc5aXhZdGVySmFuNm91c3RZZVhwdGRFY0RlSXJMalFJMVUxWFVtNzhlWkRIOGQzK3RyQUh6Sld2dDlBRWNDdUhFNDY5Z01KMUNKNTBRTWVnL2pySTZqWGp4N05IemZQOFE1ZDVHSWJBemdsbEtwZEhKTlJqaWk4ZWJGR1FMZitBbVNyNVBaczJkUFNTYVRyc0djTjgvMy9TbWU1NjFza0htV2lJZ0JHRkd6cUtvQmdLMjIybW82Z0hlSnlNMEFadGJzUHhuQS9DbFRwbXdJNE9NQXZKVXJWNTQ2UUhVQ1lFOVZYVlFzRmxlbTA2UE93d0ZVZ3B6dDR5RjFReTRXS2lKYUtwVzJFWkdKdmIyOS8yNXRiZDNJV251MmMrNnFRcUh3VkR6UENxcTZLSkZJL0RKZTFMVlJQZFcvK3kzMDI5TFM4akNBdWFnRWxUc1lZNUxPdWZvRmtyOFRSZEZJaGlDaSt2RG5uTHRRUkk2S3MzdTE5UFgxblQzVWRROVhWMWRYbCtkNTI5WnVFNUZacWpyUjkvMGo2clkvRVVYUlBjMDZkeU56NTg1OWUwdEx5dy9qOVk0ZWNjNTlNcC9QM3oxWW1TQUl6Z1R3dHBGbWZpUWFpTFYyZnhHNVZsWDNpcUxvL3ZyOU5XdlZmV080R1FWcnpaNDllOHFFQ1JPOG9ZNWJ2bng1dnlIVDQyWGl4SWwvRnBGbEFQYXMzUjRFd2RZQS91eWNhOXE2ZzBUMDFzSUFqS2g1dHJUV3ZoUW4yMURuM00rTk1jZWc4bkJ5cVlnY0V4KzNmelZZbXpScDBzdlcybjZMWFBxKy8xNFJtYW1xVFZsUFNGWDNFaEU0NTM0MW5PT0x4ZUlqTlczWlNVUk85end2QkhBcmdKMVVkYzN6enovL3dJd1pNejdybkp2U3FBNWp6TFVBSG5mT05YcllXdnZRTHlJN3FtcnY4dVhMLzFMWDVuZkZpVFVHdXFZQnY3L3krZnp5SUFoK0NPQWtBRGMxcXlkb3E2MjJtcDVJSkhZSGNGYmRyclk0NEx5a2RxT0kzQXBnM0FJdzMvZjNOOFpjQTJDU3FuNnp0N2YzNjhOSi9hMnFjMFhrZ0phV2xpK09WOXRvL2FLcU80aEkwaGd6Nk5Ea2dYUjBkRXlJbDVGb1ZQZmZqVEhYaTBoOWR0TitwazZkZW01MUhjWk1KbU5GNU1EUnRBZVY3N0FYd3pDOGVMVGxpWWdHd2dDTXFFbEU1R0huM0FOeHI4ek4rWHorMGVvaXkzMTlmZWNsazhuNXFQVE96QmVSWjBYazYzRzVGMVMxL3NGalAxUWVQSDdScE9idHA2b3Y1L1A1UHczUy9xV3FlbWxmWDkrenRkdU5NVnZFKzZzWkRIY0c4TkN5WmN0NmxpMWJOdUREbHJWMmxZaThVQ2dVQmp4blhPK09BUDdXNEszMXgwUmtzTVFoa3daS0I1L0paQ3lBSTFYVkFmaUl0ZmFvS0lybUQ5YU9SckxaYkl0ekxpa2kyd1ZCOEdkVjNjWTVseTRVQ3VzazlLaWZBL1o2Q0lKZ3UzaGUyMytjYzdzMVNtczlpRm1xK2tRWWhod2VSVTBSdjBnSjQzV3BSbXo2OU9sVFJPVHl1SzdXK0FYTHF2am4weEIvSHpybkxvNjNmZGdZYzF5NVhLNnU4UWRqekRyZmx5S1NNY1o4ZFF5WDlSaUFpN1BaN01SeXVYeGFnLzB6QVV6d2ZmK2N1dTNWWWVNSDE2L0xaNHo1eTJnV2ZpZWl0eFlHWUVSTmxNL252OWxvZTd6ZzVyT29QRGl2Vk5YbFlSaldMaFFzdFNuV1JlUVRBS0o4UHIrMHRoNWp6RXpmOTJmVmJKb0lvTFYybTRoc1dsc21uVTRISXBJQ2NGMTFRZElKRXliME91ZGM3UkRKZU9IaUx6Vm8vdnNBdkpyTDVmNlp6V2Jmb2FxekFaemY0TGgxaU1pUXc0WGlkczl4enQxU1Z6WVA0QmRoR0g1L29MTFcyZ1dxK21TRE9yY1FrUVdxV2lxWHkxdDdubmVHaUZ4cHJUMVFSQzVjc1dMRmZhVlM2WkZFSW5HUjUzbjl5c2QxN3dYZ3k2cTZ2WWhNVk5WZUFQOFdrWk9jY3lOT3JCRUV3WGJPdVUwR09TUWJYL2UyZGM5cjlaNnFCbHFxK2prUlNUam5QakdTNEN1ZWk1ZFIxVnVHY1RqUmtPYk9uYnN4Z0t5SS9DWUlnbjFxOTVYTDVTY0toVUsvWWNqMTRubVRrMUg1L0owUDRPQW9pdForcjFsclB5TWlUMWRmNkFSQjRLT3lsTVdmYW81WnAvYzNuOC8vR01DUEc1MHZuVTUzSkJLSkp3RmNHb1pobysrOXRkYXNXWk5NSkJLSDFtOFhrYWtBcG9oSS9iNWsvUGY3UldTZGhhcFZ0UXlBQVJqUmVvNEJHTkViSkpQSjdHR01tUTFna29pOHV6b3N6L2Y5OTRuSTVxcjZ0UWJGdnRkb2ZTbGp6Qk1EblNlUlNId1NsWjYzMjZyYmNybGNYeEFFQlZVOXpsbzd1WDY5cmFvNDJOb2Z3TldWS3R6ZUlnSlY3YmNJYUJBRUgxQlZLeUt2cWVwTVZYMFBnTHNHdXdmR21BL0cvL3dES2c5RmN4T0p4R1RFNmZqalhwNkJmRU5FRUFUQmRpTHlqMXd1OTByY2hwK0p5SVJ5dWJ4N25IbnhnQ0FJUGdmZ0RBQjN0cmUzcjFiVnh3SDhXMVhQdGRhK0ppSk9WVjM4NWoxWkxwZHZUQ1FTbXdPNDJqbTN3UE84MytkeXVWVkJFR3puZWQ2QjlVSFNRSFBBNHZzZUFqaTk1bG9ISkNLbjFnYmk5ZUtnNlNQeGowL0VaYzZ4MXQ0aElxL0ZRYlgrdHpyeFJNUnp6aVZFcEIzQUZuRnZxS2VxM3h1cVBVVERrVWdrOWhVUkEyQ2YrTTlhbnVkZEFhQXBRMTFWOVIzeGd2RUFzS1dxU3MzUEFKQWNqMFhTNDB5MHMrcTNXMnNYaWNpeUtJcnE1NEJ0RjYrVGVIUVVSWndEUmtUOU1BQWplb01ZWTJhTFNIWCtWMTVWYjBMY2c2V3FUd0RvTi94UVZiK21xb01PNll1RHVxdHF5bGdBYTNwNmV1NnNQYTZ2cisrd1JDSnhHWUJEVkRYWnNETGdOVlc5UVZWUGpPdWFKaUt2QUhpd3diR3pST1NiOFRXVUFVUjlmWDJYRHRaV1ZmMmdpSlNjY3craThpRDM0NEdTZWd4UnoxNUJFRXhVMVo4RGVNRTV0MitoVUhpZ3VqdnVTZnVSNy92elJPVDk4YnBrMWQ2OHlRQ1NJaUtxV2dMd1VMRll2QTNBYmZYbmNjNGRVRE9Yci9iOGlLLzdrdnA5aVVUaVBCRTV1cSt2cjMyazE5WGcvR3VIZC9YMjluNHJtVXkyQURoWVJNNEIwRExRNHMvR0dLanFhZ0RQQWJnVHdCWDVmTDVmb2dTaTBSQ1Jqd0Y0UmtUbVZiZkZRM2Z6OFFMZ3FObWU4SDMvc0hpdHZSRXRNaThpZTFjWFdZOWZMaGhWL1dYTi9vRyt4OGJMQ2xWOXJYNmpjNjRzSWl2ajd4TWlvbjdHZmJGUW92VmNJcFZLbWVFa1JoaUNTYVZTRTd1N3UzdEcrdEFDUUt5MTJlcWFWVTJRcUE1bEhJQ0plMkdHZkJVZDkzaHRIWWJoMVdOdFZDcVZhbTF0YlQzYjg3d3Jjcm5jdjhkYUh4RU5MWjFPYis1NTNtTUFib2lpNkJQVjdkbHNkbzZxL3NNNWQwZytuLzlwVFJiRVJ3RE1CdkNuT0dQbjB2bzZCeGlDbUJlUlA0VmgrRVZVZXBtK0NPQ1NNQXdUTmNjc1U5VWY1L1A1MDRmUjdtRVBRYXhoZk44ZmNVcmFGMTU0NFpGbHk1YjFqTFFjRWIxMXNRZU1hSHlWdXJ1N20xR1A2Kzd1N3ZlbWRaaTBpY0VYaGdpK0VLOEZOQ3pGWW5FUmdFVmpieElRQjdtbk5LTXVJaG9lei9PT2pIdVAxOGxRV1AyNVhDNHZyQ3R5QTRCL0FiamNHRk93MW40bWlxSmI4Ti9GNlNlS2lLK3FVNnkxWDBDbEIvYzNsZEcxYjZ4VUtqWFJHQk9OdE54R0cyMWtseTFibGgrZlZoSFJteEVETUNJaUlocXhycTZ1YWZGNmV5K0tTQ3FkVG5jVWk4VmxxQVJndXdCNGZ1SENoZjFlc0lSaGVIVW1rL21iTWVZWEluS3o3L3NYNS9QNWt3RjhWVVEyVnRVMkFLMGljbjVjVjNXTzZ4Ylcyb1BqZndlcUtqVS9BOENFK25NMVUzZDM5eXJmOSsxZ3h4aGpObGJWMCtLaHppVlZ2ZGJ6dkFIbjZCTFIrb2tCR0JFUkVZMVlTMHZMMFFEYXkrWHlCNHd4dHhoakRnUndLUUJQUlBaVDFic0hHb3BjS0JRZTluMS9Xd0EzaWNoT25aMmRYaFJGczFFekJERU13OW9oaUJjQW1BZGdCMVNDc3BaNER0Z1BhcXFkT002WDdQTDVmTU9lckhpaDZGTlU5VXNpMHFhcTF4aGp6ZzdEOExGeGJoTVJ2UWt4QUNNaUlxSVJjODVkTHlKYkZRcUZ1NnkxdDR2STV3QmNHZ1RCM2dBMmRjNWRNMWo1ZkQ2L0hNQmUxdHJwUzVZczZSM2lkTGNCK0hZVVJkZWhaZzVZRkVXVHF3ZjR2djhkWTB6WXJPc2JKaThJZ2lOVTlTd1JtUm1ubUQ4NWlxSi9ES01zRWEybkdJQVJFUkhSaU1VSk5BNUJwVWZxYW1QTVhkYmFENm5xNlNMeWVLRlF1SHNZMVpTaktIcCtxSU9pS0RwakdPMDVjYmh0YjRaTUpyT041M256QVFSeEp0dVBSbEhFN0tKRU5DUUdZRVJFUkRSYWlrcndjN2UxOWo0QTE4UUxGSDl5T0psUWh5T2J6VzVVTHBmM1grZWtxdHNEa1BxMTk0d3hxOE13dks0WjV4MUlSMGZIaEprelozNVRWWTlWMVJVaWNtd1VSZk1IeTFBYkJNRStxbm80Z0RPaUtHcEtaaVlpZXZOaUFFWkVSRVJqcHFyZk5zYmNBZURwTUF4LzJvdzZPenM3aytWeWVXNkROZlphNHNXZjE5bXVxaThBR0xjQUxKMU96L1k4Ny9aNFVmTmY5ZmIyZnFHN3UvdVpZUlI5cDRnY1dDNlhyd0RBQUl4b1BjY0FqSWlJaU1iRTkvMnB4cGp6VmRXSnlLWkJFUHpncFpkZU9ucnAwcVdyUjFIZEpCR1pacTM5dFlqc0F1RGtNQXduMXg3UWFBN1llTXRtc3hzNDUrNFJrUTJkYzRmbjgvbEI1N2pWcVNZVStlYzROWStJM2tRWWdCRVJFZEdvcGRQcFNjYVkyMVYxSzFVOVZFUm1xZW81MDZaTjIySHExS25mQlBCTEFLdFU5U0xuM0lPTjZzaG1zKzkyemwwQTRQMGlNa05WTlU1Si81MXl1Znk3a2JZcENJSk81OXpjZ2ZhTHlJYnhQOS90Ky83K2d4elhHMFhSQWxTU2pueElSRFlEY1BwSWdxOVpzMmExcWVvSFJlU1pRcUh3MUFndmhZamVndVNOYmdBUkVSRzlPV1d6MlhlcjZxMEF1cHh6WDhubjg5OUdKVzM4emlKeUVZQnMzQ3UyRk1CU1ZYMUpSRjZOMThoeThWREM1Sm8xYTM3UTB0SnlIWUQ3QWR4WkxwZnZMQmFMejFscjM2bXF1OWVmVjBUbUFUaFlWWTlzMEt5bkFXeHBqTG13Q1pmNFloaUdHNkdTZEdOSHovUCtxS3BMQUZ3RDRBVVJjYzQ1cmM1M004WjR6amxQUkR4Vm5XeU0yVXhWOXhHUmQ2cnFHVkVVbmQyRU5oSFJteHdETUNJaUlocXhkRHE5dWVkNU9SR1o0cHc3UHAvUFg5bmdtQ0NSU093S0lLMnE3d0l3QThBR0FGcmpVVGdsQUt1TU1hbGNMdmRLZmZrNGVjVU5JMnphSDN0NmVnNXRiVzNkZEV3WFdGbnJySlRMNVJaWGYvWjkveEFST1Y1RTVneTE3cGlxbGdDOEFPQWZxbnA5UHAvLzhWamJRMFJFUkVSRTY3RWdDTDZZeVdUbXZkSHRJQ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bW9hOFgxL2k1RVdTcVZTcmRsc2RzNzROR245MDlIUk1TR2RUbmMwb3k1cjdhNUJFQnpRakxwbytES1p6R2JXMnZlKzBlMTRxOHRrTXB1bDArbEpiM1E3aU9qL1Q0azN1Z0ZFUkVPeDFwNHVJcWRhYTdlT29xaDd1T1dTeWVTK3FucXo3L3VINXZQNTY4ZTNsVzk5TTJmT3ZFTlZOOGxtczF2bmNybFZZNmxMUkU0QTBBbmcxdWExOEswbG04MU9kTTd0UGRneEl2SnNHSVovSEc2ZHhwaGpSZVFVQU5LVVJyNUp6SjA3OSsydHJhMmJqYVdPRlN0V1JFdVdMT2tkNnJoc05ydUJjMjZoaVB3S3dLZkhjazRpZW10aUFFWkVRT1dob2FWY0xoOG1JZ2VJaUZYVkRVWGtWVlY5VmtUKzVKeTdOcC9QUC9CR3RNMFk4MTNuM0djQXpBZXc4M0RMaWNpbkFmUVpZeGI2dmo5cnVPV2NjNlZpc2JoczFBMXVJSjFPZHlRU2lTY0I5S3hZc1dKYW93YzUzL2YvMXhoem5xcitJb3FpQSt2M1cydG5BSGhXUkZhRVliZ2hnSEl6MnpnVVZUMUZSQjUwenAwQzRNelg4OXpORmdUQllnQ3pWYlc3dDdmWGRuZDNyMmwwbkxYMmx5S3luNnB1SFVYUlE2OW5HOHZsOGt4anpNOEJQS0txcSt2M2k4aG1xbG9Bc0Z1OHlWaHJneUdxM1FTVjZ4cXFGK3hmVVJROVArckdEOEphdXl1QW8wVmtld0F6QUpRQVBLV3F2NDZpNlBqeE9HZExTOHN4QUU0WlN4M3Q3ZTFiQUZneTFIRzVYTzRWMy9lL0lTS1hCRUh3a3pBTTd4M0xlWW5vclljQkdCSEI5MzFmVlc4MnhyeGJWWjJxTGdid1R3Q1RSZVE5QUQ1dmpOa013RDdqMVFacjdmbnhtL2wrVkJVaUFnQ3pnaURRZ2VwUTFkMmpLUG9kS2tPQXRsTFZ2YVZTc0dDTUdYWmJST1JmQUlZZHNBMUhzVmhjRmdUQlFnQmQ3ZTN0T3dEbzkxQW1JbnZHLy93ZkFGNTlnT1djbStkNW5zUmx4eVg0Q29MZ0x3QzJIZXdZRVRrakNJSXpCdG9maG1GTC9GQTlLRlZ0MkF2VDBkRXhZZG15WmIwQTNEQ2JQV29pa2tvbWs2Y0FPSHU4ejlXSXRUWUZJS3piUER1S29uOVZmeWlWU2g4cEZvdUw2c3NHUVhBSmdMblZuMU9wMUVRUitmdHd6anVNNDQ0RmNQbHc2aG9KYSsxNUl2Sy9xUHorSHdYd0NJQ05SV1J6QUFjQkdKY0FMRDdmOG5LNXZGT2pmY2FZVFVYa3RYSzUvR3FEZmU4M3hseFJ1MjNXckZsdDA2ZFA3eG5HYWU4SmdzWXhzYW8rRUVYUmpzTy9BaUo2cTJBQVJyU2VTNmZUZ1lqY0QyQVNnQ3Q2ZTN2UDZlN3VmcWJtRUdPdDNWRlY3ZXZRbkJYeFE5ZzZuSE9lTWFZKzROZ0F3Q3UxRzNwNmVxTHF2ejNQKzVxcTlxbnEvaUx5OGtnYTRad2JjcGpSYURqbkZoaGp1bFIxdC9vQWJQYnMyVlBpSG9IVklqSTFrOGxrQzRYQzMycVBNY2JNaS8vNTIvRm9YNDAvQVRpM1FmdUg5WHNZUVhEWWFhMTlaMjJ3a2MxbVc1eHp2NWc1YytZS0VUazBsOHYxamVvS2hrRlZWVVNXQWZocUpwTzVzVkFvL0hPOHpqV1FjcmxzRW9sRVVsVjNFWkYyQUxjNTU5WUpUQk9KeEZiVzJyYjZzcW82cy9ibjd1N3VsYjd2Yno3WStVVGtGQkg1Z25OdTBPTjZlbnBlSFBuVkRDNmRUbThySXYrcnFpK0x5SDVSRkswZE9qbDc5dXdwa3laTitraXp6MWxMUk1xTkFsbFVndG43VlBXU1lyRjRUb045ZzcyTXVSTEE3ZlViblhQR0dGUDdBcUVsZnVaYUc3U1Z5K1VSZlM4UjBWc0hBekNpOWRpc1diUGFQTS83aFloTWNzNGRrOC9ucjJ4d21JdWk2SDRBOTc4T1Rlb0x3L0RPVkNxMVNWdGIyMW1sVXVtaVlySDRpTFgyZWxYdGlLSm9aMVFlMHQraHFrVlZ2VUZWVDgzbjg4dHJLN0hXdmo4TzVDNktvbWpCNjlEdTRWb0E0T1I0eU5ocHRUc21UWnEwVy95UWRnZUFBenpQMngzQU9nR1lpTXhEcFVma3J2RnNwS28rRzBYUm5iN3Y3MjZNMlYxRXZwN0w1VlpaYTU5VTFSOUhVZlExVkhwTzl6ZkcvQitBTThJd3ZLdzI4UEo5LzJoanpNd0dkVDhlUmRHMThmVVlBSjhIOE5YcUphcnExWEZQNEkyNVhHN0EzczVtRUJGeHpwMXRqUG0rTWVaN0FPWU5vOWk0S0pmTGp3R1lta2cwL04veTFZMTZBMFdrVlZWclA1ZWF6K2VYRG5ZZWErMHJBRERVY2VQQjg3enEvZjFKL2J5MVJ4NTU1Tlg0T3NkZE9wMmVXU3FWMXVrU2ozdGpKNmRTcVUzcURuOXRpT3IrRVliaG5kYmE0MFRFaFdGNGVTYVRlWTh4WmlHQUQ0VmgrRnZFdlpXcStpRVJPVG9Nd3p1YmZsRkU5S2JDQUl4b1BUWjkrdlFqQUx4VFZXOGJJUGdha3UvN1J4aGpqZ0x3cFpFa0F4aE1NcGs4RE1DaG51ZFZIOHd6QUlyVi9ibGM3dC9XMmk4QXVOSVlzMThRQkR1RlliZ0VBRG83TzVNQTVxdnE4OGFZc3djYnNqaUFZOE13N0RmMHFxdXJhMW9pa2ZnNWdHVlJGSDBhd0lpREE4L3pIbERWVndGa3U3cTZwaTFjdUxEMkRmaWVxTHc1bjIrTU9TRHVKVnZiQzVYTlpqZFYxZG1xK21peFdIeWl2bTVyN1ZVQTV2VDE5UjIwYU5HaVowZmF0a1pFNUVSVjNTZ013NVBuekptem9ZaDBBSGl5NW5wK1hTNlh2MnVNK2JhMTltUEdtSjJyUFZZaWNyaXFwdXFxbkJEMy9GMWJzKzNJZERwOVhyRllYQjBFd2Y4Qk9BVEFkV0VZSHQ2b0o4MzMvYTJOTWZOVjlab29paTRiNnpXdVdiUG1aOGxrOG1NaXNsc1FCSjhPdzNCRVFjQjQzUGNxRVZtcHFyZjA5Zldkc0dqUm9pZnI5L3UrZjdpSXZLUEI5cE9NTVJjT1Z2ZEFud3RWL1ZjVVJmMTZmSnAwMzFmR2YyODBra0xOL283eFBPL3hSQ0xSS0VQaEtXMXRiZXNNZzFiVkMrSWU0UUhObWpXckRjRFhBZndRbFo3cXRJaTBsc3ZsdFovVFVxbDBudWQ1bXdOWVlLMjlLSXFpazhaNkhVVDA1c1VBakdnOXBxb2ZpZWRXamZwQlZrUU9CeEFBK0RDQXBnUmdBRDZqcXJmMjl2WjY2WFM2UTBSbXErb2R0VytuZTN0Nzcwc21rM3NBT0dqMTZ0V3ZwVktwVGJxN3U1K2RNbVhLSlNLU2NzNGRtc3ZsWGdtQ1lOK1JuTmc1MTNDSVVpS1J5SXJJcnFxcVhWMWRKOVFGVDhPU3krWDZnaUQ0bllnYzBOTFNNZy9BTDZyN1ZQVURJdko0UHArL093aUN4d0M4TDV2TlRxeG1HeXlYeS9PTU1SQ1JmcjFmczJiTmFoT1JJd0I0aVVSaU93Qy9HbW5iNnMyZE8vZnRBUFlRa2VQaUhzbnQ0M1krVS8wOTlQVDBBTURseVdReUx5S2I5UFQwYkRobnpweSt4WXNYdnhoRjBUYTE5YVZTcWRhMnRyYm5WRFZYczNtRnFrN3pQTytFb0RKUjVnQlZ2VHhPeEREUS9LLzlBR1RqT1hKakRzQlFlV0QrZ3FvdVZOVnZXMnZ2R0c3eWlmRzQ3MVcrN3g4RzRBcFVFa2pzYWEwRmdPT2pLUHBoRUFUTFZYWHQvNytESURneERNT3BOZGZ6UytmY2tNa2lHbEhWZ2JKYk51TyszNmFxM3dad3NMWDJyMUVVWFQ2Y2VYN04vbzV4enUxa2pQSHF6dkU3VmYwcGdCL1ZIZnUwNTNtRERyK2VPblhxZ1FBMlVOVWJVNm5VSmlLeXJhcXVNY2E4VnYyc2xFb2xsRXFsSTVQSjVFTWk4a0FxbGRxa1hDNnZqSHYraUdnOXd3Q01hRDBtSWdFcUQvZC9IbTBkcXZwRkFCL3U2K3U3WWhpSER5bWRUbThlSi81NFQxdGIyeWRxMnRydjdYUlZXMXZiU2FnRURTa1IrWUtxZnErYWRqNE13enVhMGE0b2l1NE5ndUJFNTl4VG93bStxdUo1WU5VZXJsK2c4Z0M5WmR3VE9SK1ZlM3FYaUJ5bHF1OEhjQ2NxMS84LzFYMzFkUzVkdW5UMTlPblRQd3FnTTUvUC8zcE1GeHByYlczZERZQUJjSGxiVzl2YUhrRVIrVlZiVzcvcFNFRGw5M0JabkpYUHI5K1hUQ2IzQkxDQmlQeThadlBUY1RLSXMxWFZBVGdwaXFLTEJtdVg1M21YT09mS2plYmRqRll1bDN2TVd2c05FVGtmd01VQURoMU91Zkc0N3pWYVJPUVo1OXhIVUxudk44WkRWQUZnc3FvZUFTQVB3QmVSSDlRV0RNTndTU2FUNlJHUmxvWTFEK0tWVjE1NXB0SDJadHozS0lyK1phMzlISUQvRTVGTHJiV2ZVZFV6OC9uOG9JRnJzNzlqQ29WQ1ZMOHRDSUlTZ1A4MHluUVpCTUdnQVppSTdCRVBwLzE3OWJNUnY5aDZhcERQQ2dCY0N1QkxvNzhTSW5xellnQkd0SjVLcFZLdEFLYW9hbSt4V0Z4WnU4LzMvYW5HbUg1Qnh1clZxNmQwZDNldk15Y2luOC9uNHdmQlp0QlZxMWI5WjhxVUtWdFhONGpJOFFBT0xKVks4enpQR3pTNXc2SkZpLzVwcmYwUmdKdXR0VVBOM2VoL2N0Vmo4dm44TlFQc2RtRVlYanpTT3Z0VlVnbkFBR0QzbXMxN3h1Zi9MZFlOd0hhckNjRG1BZWhidFdyVjd4dlZHNFpoTTlmVFVoRzUzVG0zZGMyMmEwWGtGVlU5ZG9peURYdFE0aUdKVDBSUmxLdmIvblZWUFZoRTdnM0RjTkRnQzVWZzZZWHhTSUVmUmRGRjF0cURSZVNRVENaemJhRlFHTlk4dXliZjkzV282dXI0OHdWcmJVL2R2aVdGUWlHZnlXUW1OeXJyZWQ0OUFHYVA5SnhUcDA2ZEIrQysrdTFsYVhVbUFBQVBHa2xFUVZUTnV1OVJGRjJiVHFkRHovTXVGcEhkUk9TWDF0cUhuSFBIMUNlZHFXcnlkd3dRTCttZ3FqdlViR29Gc0tYdisvdWo4dC9sYTlXTXFrUFFjcm44ZGMvekxrUGw5ekxaR1BNN0FGZXA2bzhISzlqWDE5ZlVJYXRFOU9iQkFJeG9QZFhkM2IwbUNJS1NpQ1N6Mld4TGJiWTU1MXlmTWFZMjA5NU9BQ2FPYzVNbXFlcktlSDJzdFcraHJiWGJpc2dmalRHUHFEYWVkdVY1M3NwcSs2TW8rbXdxbGRxa3RiWDFpeU00OTBiR21BdFZkY1E5QmlNVnA2TmZKQ0p6YXpJQTdnbWdyNmVuNTE0QWVPMjExKzV0YjI4dmljanUrRy9Ta1hlcDZ2MnZ3NUNsU1FCV3hnL2NMeUJldzh6enZEbXFlcWFxRGppMExaL1B2OUpvYnB5MU5oTm5vL3h5L2I2NDkrbFNFZm15dGZiZ0tJcHVHSWRyR280U2dNOEIrSXZuZWZNN09qcm1MbHUyYkRocHhzZlRsalV2RWliVTd2QTg3eTVycll0N1hnWnlWL3dDWXkxVlBSSEF3U0t5emhEUmNya2NHR05lbDhYSzQweUV1d2RCc0pPcW5pVWl1M2llOTRDMTlyUFZCQzJ2ZzR3eDVsWUFxN1FDQVBZVGtmMUVwQlhBditPRndodHFhMnViaE1wMzVjcDRUdVlUcUx5OE9nU0FWeTZYYnhHUmhwK1ZucDZlTW9jZUVxM2ZHSUFScmQvK0JlRGRxcG9Hc0xabkl1NFJxNjVKaFNBSWxnQjQ5M2cyUkVRbXgybm8xd3FDSUF0Z0N3QmJOT3FScXlxWHl3Y0ErR1gxNXppTi9xQnZuMnVsMCtrT1k4eUY5Zk5DeHRHQ2VQMm0zVG82T240SzRQMnErdWZxUTltU0pVdFdCRUh3RjFYZElaMU96NnlaL3pYZTZlZWhxdjErRDU3bkhSU3ZwM2FXaUp3MVVGbmY5NmZWWjZTTW5TVWlMNVpLcGU4M0t2Znl5eStmUG0zYXRMMUU1S3BNSnJPd1VDZzgzSXhyR2Frb2loNEtndUF5QUYrYU1XUEdtY3VXTFR2MWpXZ0hLcCtINVFEdVZkV3ZvREt2NndoVjNUUk9Qbk1MZ090VTljbDRmdVRYR3RXaHFxK0dZYmk0ZHB1MTlpVVJjYmxjYnAzdG1VeG1SSWt4bWlGT3FESFBXdnNwRWZtUmlGemwrLzc5cjJlR3hsS3BOTHQrMFhYZjk4OHh4aHc4V0xrSkV5Wk1SdVgzc3M1bnBWck84N3dCRjErZU9IRml3Mkc2UkxUK1lBQkd0QjVUMWQrSnlMdmpPUys1WVJRWno3Wk1GNUZYNnJhZEJHQTVnQWtpY3JaemJwMTVOc2FZTTFSMW51ZDVmeDNMdVZ0YVdsYXJLcHh6alNkc05GbTVYRjdnZWQ1WEFPdzJZOGFNL3dCb3F3K3U0bUdJTzNxZXQyczFQWHFqK1YvTkppTFRWSFh0N3lGZWwrdFlBTS9FMmVzT2NNNHRxemsrQWVBbUFNL2s4L2tWOWZVRlFYQVFnQStwNnFuMVExMnJsaTVkdXJxOXZmMlRudWM5NkhuZWdrd21zMzJoVUhocUhDOXpRS1ZTNlhUUDh3NFFrUzhIUWZEVDEyTXg2RVplZmZYVjIwdWxVdTM4eFpPbVQ1OStxcXFlOE5KTEwyVnF0aThHOEt2NlhteFZiUVBRNHZ2KzFOcDZSU1FKUU9xM0cyTWFEbVY4UFVSUmRLMjFkbWNSK1l5STdOdXM1Q3JqeVRrMzNmTTgxSDVXZ2lEWU1sNzgvUmxWN1JXUkErTjVjMERsSG5lbzZpM1ZZY1ZFdFA1aUFFYTBIblBPWFdhTStUeUFvNjIxTjBWUk5PcGtIRTB3QjhBRDFSL2loNW1QQWZoRy9OQjRUTGxjdnJLYUFNTmF1MXM4ck8yenVWenU2YkdjdUtlblowVXltVlFSbVk0NDVmekNoUXVYMXcrbjYrcnFtZ1lBWTBuQ2dVcEd4VC9GNmVoM1V0V240d243NndSZ3pybmZlcDUzRm9CZEFid2Z3SXRSRklWak9lOVE0bFQzR3dCNHRMcE5WVDhqSXUrTUZ3bytKNTRudDFkMXY3WDJiQUJ2TThic1hSK3NaTFBaVFoxelY0cklRbVBNZHdZN2Q3RllERE9aektlTU1UZDRudmVIZERxOWU2TjArd0JNTnB1ZDN0UFRzN3ArUG1JekZJdkZsZGJhb3dEOEJzRDM0MTZtWnArbW4wUWkwVkV1bDl1clAwK1pNdVV4RWRtcy9qZ1J3ZlRwMC9zTmpYVE8zUUxnSXpYSHpRVHdvWUVXSVIrc1Iza0E0M3JmQVZUYnM4RTQxRDBnWTh5dVFSRFVMem85NE5ERG1uSno0cjlyUHl0bmlNaXI4WkR0djZ2cTd2bDgvdnhxRVd2dEpTTHl4RXN2dmZUMVpsOEhFYjI1RERaMm5JamU0dUtoWG1mSGN4N3V0dFllRmE5cHMxWVFCSjN4c0xTQmVPbDBldk94dENOTzUvMHVWYTJtZ0JjQWx3QllYaXFWTGhPUmMxWDF0VVFpY1VkbloyZTc3L3M3aU1qTkl2TFRrYTdiMUVoM2QvY2FFWGxHUk42T1NvL1lHVUVRckJPTXpwbzFxeTJSU0R6VDB0THlrN0dlTCs2cHVFZEVOaE9SUFFDOEVJYmhPc0ZWb1ZCNFNGVmZFcEZkUkdSelZiMTdzTjZZVkNvMU9adk5ianFXZGpubnRrS2xoMjRSQU15Wk0yZERBR2VxNm4xUkZQMEJ3REVpc3JPMTlqSUFZcTA5RnNCcEluSmMvWkMyam82T0NjNjVXMFJrQTFYOVRHM3Z6RUFLaGNKTkluSWlnSGNuRW9rSGZOOS9YLzB4MXRwNXF2cDhhMnZyRjhaeXJZT0pvbWlCcXQ0QVlGc0EvelBZc2MyNDc3RS9lNTYzTmdnWGtWTlY5YWo0ejFrQVZzZnoxTXJ4bi9OcTloK2xxdCtybHUzcTZucFhQR2ZzMjZxNjlURC9IREZZNDVweDM0TWdPTUgzL1NPeTJlekV1dTFiaXNnaHFBUXhqZGJjR3ZOM3pFQ01NVmZHQzdxdi9ST251eCtVcW00RllFVXVsL3MzS2tNNGR3VHdNUUFYaDJHNFJGVy9JaUpuVzJzUHptYXpMZGJhNjBYRUFqaGs2ZEtscThmaldvam96WU05WUVUcnVTaUt2aDZ2TVhTNmlGdzVmZnIwaTZaUG45NE5vQWZBMndDOFMwU2dxaSt2V3JXcVZGL2VXbnUxaUh6U1dudDhGRVhmSFUwYnBrK2Z2aHVBaEhQdWI2ZzhrQjBEWUE5Vi9YeE5qOWZ1QVA3VTN0NytBSUIzcWVwdFVSUWROdlk3VUJFSGY5VjAwek1BcktuZFAyM2F0RzFGcEZWVm01WDFiZ0dBL1VWa3EzajlvZnJrRlU1RTdnSHdVVlFleUFjYmZ1Z2xrOG1GcXJwWkVBVGJoMkU0MnVHa2U2cnF5bFdyVmoyTXlqeVhxd0JzNUp6YkhaVTVPMFZyN1lFaThpdHI3VFlBdGhhUlk4TXdySi9iWldiTW1IR2RpR3dQNE1SR3FiMEhFb2JoSmRiYU1vQkxqREYvQ0lMZ1k3V1pCa1ZrUjFUbTJJeGI5a0ZVZ3REalBjL2JvOW9yT29CbTNYY0EyTjQ1OXd3cXlVeVdBYmdPZ0FtQzREQUF4OFR6dnY0RjRFQlZ2VWxFamhDUkk4TXc3SmNXUHBGSTdCUC84NWJoM3Z0c05sdm82ZW41TllDWEd1MXZ4bjFYMVkyTk1kOXh6bDF1clYwb0lpK3A2c2FxbWhZUlVkVWY1ZlA1ZmhrWW0vRWQwNkF0cTBUa3NkV3JWKzhZenhsZEt3aUNFd0RzTTNCcHdCaXpwNnIrSFFCbXo1NDl4Umh6cllnc2ZlbWxseTVBNVhmNEEydnRPMFhrT3VmY2wrTzVlaCtvendKS1JPc245b0FSa1VaUmRLWnpMcTJxVjZucWt3QzJWTlZ0VkxWTlZSYzQ1NDU1OWRWWFp3M3c1blpDM2Q4amI0RHFSd0E4WFNnVUh2UjlmeGNBRjZycWdudytYN3UrMFF3UmVTSk9YakZSVlIvTFpyUFRSbnZPZWlKeW40aDBXV3ZmRmljbWVhUnUvNDd4V2xXM05lTjhhOWFzV1ZEOTkwQnp1NnBwNlZFSkNBWUx3RVJFMmxRMW9hcXRvMnlTQWZCaEVibGp5WklsdmRiYVUwVGtJNnA2UmsxU0RCR1JDUUNlaWJQb0xYZk85WFoyZGlacks4cG1zeHZIaS9aZU9WRHFmbFhkREVERG9XeFJGRjBXTDhyOGh3Wno0M1lFc0RDWHl6MDJ5dXNjbG1LeCtKeUluRFRFWVdPKzd5MHRMVStxNnNlZmUrNjVRajZmWDFwTlFPSDcvaWVDSUloVTlRSlZQVFlNdzBOVnRRZVYrM05HbkhqanBpQUk3ZzJDWUo5c050dUN5cjJmQ09BcnF2cVBNQXovTXR4MjVISzV2dTd1N21lNnU3dlhOTnJmalBzZXIxZDJxWWgweDBPTy93ZkFKZ0FXcU9wSG95ajY3QUJGeC93ZFV5K2Z6ejhZaG1GbmZmQ0Z5a3VBaThNdzNIV2dzbkZ2WEJiQXpRQVNFeWRPdkQ3dVBUKzgraDJaeldZbmlzaUw4WXVVOXdKWTZweWIwcXoyRTlHYjIvZ1BiQ2VpdDdUT3pzNWtlM3Y3N0RBTWk2TXBId1JCSjRCdTU5emx4cGpyVmZVK0FFK1hTcVZ0RTRsRUFzQmU4ZkNrUFFEOFZWVy9HcytMT2xGRUhJQWJWZld1dnI2K2V4Y3RXalRxZFhVeW1jeG1udWM5b2FxM2k4aWVBTDVZTzd6Uldyc0F3TVFvaW5ZZTdUbkcwNXc1Y3phY05HblMxTkUrSVB1K2Y1Z3g1c2VxdXArSWJCcXZZM1J6RkVVZnkyUXlXM2lldDdlcWZnN0FsZ0IrQnVCeUFDZUp5SWNCUEEzZ2VnRDNsRXFsUDhienFONFdSZEd6OFhBNXhQT3F0Z2V3RXNBV0lyS3JxbDRWUmRGUkkyaW1aNjFkRHVBN1VSUTFmUzJ3MFJqcmZhL24rLzdoSW5LQmlMUTU1eTU3N2JYWHZyVmt5WklWcU56RDAwWGswREFNNXlBZWF0alMwdkx0ZUM3a1hXRVk3aDBFd1RVQURuWE83VC9VQXNjajhJYmU5N0YreDZCeTc4NFhrVk5VdFdFaW1NR0lpQWVnRGNBV1lSZ3VDWUxnYWxYOU9JQzNBL2l1aUJ3TTROZ3dESzhNZ21BYkFQc0MrSHo4b3VnaUVia3YvdHRYMVlLSTNGUXFsZTRwRm9zUFZUOGZSTFIrNFJCRUlocVRlTjJ1VVQ4WU9lZTJOY2FzTHBWS0Z5U1R5YktxL3I1Y0xoL3RlZDdIcTluUVZQVitBQitOb3VqbXVOZzkxdHJMblhQSGk4aGhJbko0YTJ2cjA5bHNkc3RjTHZmSzRHZHNyRkFvUEJVUFBUcGZWUjk4K2VXWGYxYXoyOFRENmY2L25UeS9lUEhpRndIVUp4TVl0bmlJMlYraktMbzlrOGxzYll6NWFXOXY3NmVESUxnaG50dlNJeUszQWZoVXpWQzdBK09sQXI0VUQ1TTd5Zk84M3dENFlCUkYvNms3UlF1QVErTjA5cStxNnE4QW5ER1NOcWJUNll5SVRIYk9qZXZ3dzVFWTYzMXY0SmNpa2x5NWN1VlBoMW9yYXVIQ2hZOEQrSEE4aDJxbDcvdFpWVDBFd1B3bUJsOXYrSDBmNjNkTWxhcXVGSkhUUjFFMEZhOFJCd0JHVmQrbnFwZm04L25uZmQvL0k0Qjh1VnkrT2dpQ1IrUGgwYytKeUhXcWVtSE41eUFJZ21CL0FNZW82am1KUk9MY0lBaE9Ec1B3d3JGZUZ4RVJFZEdJK2I2L2RmMjJ6czdPWkJBRVgweW4weDFERlBlQ0lOakpXdnZlOFd2aFcxODJtNTJZeVdTMnF0OGVCRUdudGZaVHMyZlBIblQ0VkNxVm11ejcvdjVOU2toQm8rVDcvZ2M1dmFBaEE2QXA2L3hsTXBuM1pMUFpmdGthcmJXN0JVR3c1MURuU2FWU20xaHJQOTZzOWhB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MWZwLzZWRENucnlRbHNVQUFBQUFTVVZPUks1Q1lJST0iLAoJIlRoZW1lIiA6ICIiLAoJIlR5cGUiIDogImZsb3ciLAoJIlVzZXJJZCIgOiAiMjExOTAwNDA1IiwKCSJWZXJzaW9uIiA6ICIxMjgiCn0K"/>
    </extobj>
    <extobj name="ECB019B1-382A-4266-B25C-5B523AA43C14-3">
      <extobjdata type="ECB019B1-382A-4266-B25C-5B523AA43C14" data="ewoJIkZpbGVJZCIgOiAiNDkyMTkzODk3MTc5IiwKCSJHcm91cElkIiA6ICI5NjIxMzYzNCIsCgkiSW1hZ2UiIDogImlWQk9SdzBLR2dvQUFBQU5TVWhFVWdBQUFrRUFBQU9FQ0FZQUFBQ21WdVVlQUFBQUFYTlNSMElBcnM0YzZRQUFJQUJKUkVGVWVKenMzWHQ4Rk9XOVAvRFBkM2FUeUNVaDNJV0RQMUZUZ1FESlByTmlPU3BhckZTcmVFR3dDQ29vNHVWNEE4cnhWbTIxcmNVcUZWRkVyWmVxRk5SaUJVUVJ2SExVVTQ4WGRtZVRZQWcxdFNpb0lDZ1FBaVFrTzkvZkg5bU5Td1ROWlpOTk1wLzM2OFZMWm5ibW1XZFducG5QUHZQTURFQkVSRVJFUkVSRVJFUkVSRVJFUkVSRVJFUkVSRVJFUkVSRVJFUkVSRVJFUkVSRVJFUkVSRVJFUkVSRVJFUkVSRVJFUkVSRVJFUkVSRVJFUkVSRVJFUkVSRVJFUkVSRVJFUkVSRVJFUkVSRVJFUkVSRVJFUkVSRVJFUkVSRVJFUkVSRVJFUkVSRVJFUkVSRTFINUljMjlnK2tmRi93UElTYzI5SFNLaWh0TzM1ZzdPL1VsajE5NWNmTjMvQ0k5dlJNMUNvVzhkbW50L285dG5mVmpOV1hnTkhpQ0lxTFZxMnZHSkFZaW8rYlJFKy9JMzl3Ymk1ZzRlMU95OVRrUkU5VFg5bzNXYXJMSjY1OTdINHh0UkVtMHBucGEwOXZsOVdxQW5pSWlJaUtqMVlRZ2lJaUlpVDJJSUlpSWlJazlpQ0NJaUlpSlBZZ2dpSWlJaVQySUlJaUlpSWs5aUNDSWlJaUpQWWdnaUlxSUdDUWFESFJPbkE0RkF3TGJ0LzJ0b09ZRkE0UFQ4L1B3VERyS05Mb0ZBNEk1Ky9mcDFPTUJuUFd6YjN0YlE3UkhWMVdJUFN5UWlvdFluRUFqMHR5enJCODhGcnV0dWkwUWlPMnpiUGsxVlp3VUNnWk1qa2NnT0FCQ1I4MVcxNFB2Vzc5Ky8veUhaMmRtSDFwbWRiVm5XZzBPSERqM1o1L081OFprK244L2R1WFBubHN6TXpBRzlldlg2Ui9mdTNjOHNLQ2o0dkFtN1NYUkFERUZFUkI1bVdkWWJxdHI3aDVZVGtWOEJ1RDhjRHE4eXhweHRXZGJ5bkp5Y1VhV2xwZFVBemdld3p4anp2M1hYMjdwMTY2aE5temJ0emM3T0hpNGlTd0FVMWxsa2c5L3YvMHZpRE5kMTk1YVdsdjRjd0hoanpOMEFldG0yL1RpQWJBQlFWVCtBTHJadHZ4ZGZSMVhEanVOYzFiUnZnN3lHSVlpSXlNUEM0ZkJSRFYzSGNaeHJqVEVyczdLeWpqWEcvRWhFdm5SZGQ0S0lIS09xcFFCMnFPcXhsbVhkdFduVHBzcjRlaUx5UVVWRnhWa1pHUm0zT0k1enV6Rm1kalFhZmE2d3NQQjkyN1p2VWRVTXk3TCtHQXFGOXVUbDVRMEI4Ry9IY2Y0YkFHemJQaVlhalk0U2tlMnEyalVXM3M2UGxYc01nR3VTL05XUUIzQk1FQkVSTlZTMTR6Zy9xNmlvZUIvQWIxelgvVTBrRXRrZ0lqZFpsblZJSkJMWjRQUDV4Z0o0QUlDYnVHSjZldnA1SW5JWUFBVnd0bVZaV3dDZ29xSmlOZ0JFbzlFeEFPRDMrNmY2L2Y0MXdXQndZSHhkdjkrL01SS0piUEQ3L1J0RnhJMUVJaHNpa2NnRzEzVTN0L3hYUU8wQmU0S0lpS2pCYk51Mkt5b3FQZ2Z3MzVGSTVEWFVYSkxxcDZwSEFYaGZWYjlXMWNmcnJpY2lOb0FUYmR2K1RGVjdXNWIxdW0zYmlaL0RHRE0rSEE2ZlpZejVMWUJaQU01dDRkMGpqMkFJSWlLaUJsUFZCek15TWw1MEhPY08xSVNpSEZYdEtTS2pBU3lxT3o1SFJId0FxaHpIbVFsZ3BtM2Jsd0FZR1E2SEp4MXNHNDdqM0paNG5uSmRkNEV4WnAvcnV1a0FNbzB4eTJKbGQxTlY5MkRsRUIwTVF4QVJFVFZJN0E2eHd5c3JLK2NtekI0RDRCRVJPVDB2TDY5ZllXSGhwc1IxVkRVVHdLNkVXUmVKeUFqYnRvOU5tTmNkd0V2aGNQZ1NBQmd5WkVodnY5OC9OaEtKUEJqNy9CNEFPd0YwRVpIalZQV09XTm41QUM1cXpuMm05b2toaU5vckFlRDducytyQTRIQUJaWmxmUmtPaDkrcys2RnQydzhBS0FtSHd3OGt6amZHL0RvYWphNG9MQ3dNMTFsK05JQXJ3K0h3NkxwbDVlZm5uMUJaV2JtdXBLVGs2M2pkZ3NGZ0J3QWRYZGZ0RkkxR3U0dElEeEhwQWVDTFNDVHlQN1p0WDFGUlViR291TGk0dk01MmNnQXNESWZEd3h2K2xSQWxoYWpxN3dIOE52N3ZjK2pRb1YxVjlYclhkVThWa2E5OVB0OHNBSFY3ZVBxS3lCYlUvRHNlcnFxOVJHU1ZxdDduT003ckF3WU15T3pVcWRNSEFPNk5yNUNXbGpZYXdJVUFIa1RObld3Rm9WQm9XekFZN0tHcTFZN2pyRUZOR3p2RXNqakVsUnFPSVlqYUJkdTJiMWZWSzBWa0I0QytydXYrVWtTKzcyNlJpYXI2dWFvdU1jYmM1ampPdlBwc1IwVFcrbnkrTjJ6YnZ0SjEzZmRGNUVUSGNSWjgzenFXWlIzYm9VT0hKNExCNEptcU9sdFZqM2RkZDQrSTdBS3d5K2Z6bFFIWUlTSzdWUFhOV0lDek16SXlKZzhZTU9EVTlQVDBuaUxTRVRXL2VBOFRrUTZ4TzJjQUFQdjI3ZnN5SVdBUk5hdEFJREFKUUEvTHNoNUR6WU1MMDFSMWdhbytYMUJRNE9UbDVmM1Q3L2NYMjdZOVBSd08xL1lVV1phVnI2b2Z4SDZjekJXUm02cXJxei95K1h3cmJOdStRbFYvcDZyM080NVRld3Q5N05MYUs2bmFWMnIvR0lLbzNSQ1JPd0M4cmFwL2lrUWlqeGxqRGdjdzhnRExYUndPaDBzQkZBY0NnWk1CVEFvRUF1ZFpsalV6dm95cTlnZXcxN2J0QytQenFxdXJyd3FIdzB1Tk1kK282aUFBL1dPL2RtdEQwTUNCQTd0MzdOanhSQUQvRWU5RmNoeG5UaUFRS0ZQVksxVDFUNnI2eDBnazhnOWp6TU9XWmMwTmhVSWx4cGkrQU42TFJxTTNBdEJ3T0h5bGJkdC83dENody9tV1pmMEhnQnhWOVluSUdRQXlmVDdmc3lJU1FjMGRNMy9saVlJYXc3YnRrS29PcU8veUluSXBnSE5VOWZlaFVLaHE4T0RCM1ZUMUtWWE5qTGVmd3NMQzNmbjUrZWY0Zkw3L3NXMjdTemdjdnFPbVNlbnBxbnFuTWVZUHF2cTE0emd2eGVxd0VNRGJBRjdidW5YcmsvRnQ1ZVRrWktqcUtBQjNOOVB1RXpFRVVmdWlxdWVMeURPeHlVR3U2OTVVVUZCUSt3QTMyN1pYdWE3YkdZQ1ZuNTkvVENRUytRQkF4TGJ0YTFSMXZhcmVocHFEL1c4Qi9NdDEzUVd4NllXV1pSMW1qTWx3SE9jdEFHOEZBb0dmaUVoblk4eUUyUE5LUm5YbzBPRkRWUzBWa1E2eDI0TXhkT2pRcnBGSTVMSFk5b01BbnMzTHl3dW82dHV1Njk0UDRHY0FIbFRWUllXRmhWOEI4QThlUERnckhBNWZIcXUyenhoekJvQVpxbnFyaUV3QzhEcUFmdEZvOU9HQ2dvSUd2NjZBQ0RXOWlLZGJscFZXMytYVDB0SytDWVZDendHUW9VT0hEdlg3L2ErcDZ2OUdvOUh6SGNmWkUxK3VvS0RBQ1FRQ1B4ZVJwWUZBWUxlSWZBV2cxTElzRzhEUFhOZWRZb3o1cFloTUJMQXRHbzJlYkZuV0wzcjI3Rm5hcTFldnBhN3JyclFzSzZxcVZZN2pmQkF2MTNYZGo0d3g2cm91QUZRYlkrSzN4cWNCS0VyeTEwTWV3QkJFN2MxWUVha2RhR2xaMXIzR21KMEpud2RRMDRWL2hPdTZMeGxqSG5JYzUzYlVCSjFkanVOc1FFMVkyUVhnbS9pME1hWUN3SCtJeUdPMmJjK0tScU1maWNnakFMSkZaQlNBamFyNnB1TTRQemZHbktpcXY0NXQ1LytwNnZ2R21Dc2N4MWtlRG9kRHRtMC80dlA1RG5jYzU1bEFJTEExR0F4MmNWMTM5NjVkdTI2UGJlc2tBSThaWXk1VDFiMGk4aXlBTjZQUjZFVnBhV2xSVlQzQ2NaeWJqREVuV3BiMUc5dTJEdzJId3daQXRLVy9iR3JiMXE1ZHU2V3g2NmFucDVkRW85RXJJcEhJQ3dmNlBCS0p2R3VNTVpGSTVDdmJ0bk9ycTZ0blZsZFhyODNJeUhnbkZvYjZ1SzQ3TlJLSlJHS3JyQTRHZzc5VDFiR1daWFdOUnFPZlc1YjFiT0svYTh1eUJvZENvZSs4TXl3L1AvOEV5N0x1YU95K2tIY3hCRkc3SWlJZnVhNDdDc0RmUmVTK2FEVDZ5YzZkTzJ2SHkzVHQydldFYURUNmFTUVMyUjRJQkk2M0xHdTViZHZMNjFsOGNUUWEvWWxsV1kvNmZMNVZxbnF6cWw3cU9NNFUyN1pIaThpVnNUcDBVTlc5QUJBS2hUNnpiWHRNN0JmeFo1WmxEVkRWbVFCbUdtT0FtbCszQUpDV21abjU5Y0NCQXc5M0hPZU4vUHo4aXl6TGVsaEVSb3JJWkFCMysvMytaYW9LMUlTME5hanArWXBVVkZTY3l3QkVMUzBVQ2xVQk9HQUFpbk1jNXd2VVBKVTY4VlVaVzJPWGI3OXpDVGNVQ24wWjcwR05XUjMvU3pnYzduMndmK2V4M3Q2Zk5HNVB5TXNZZ3FoZHFhNnV2c1BuODgwTEJBSVpxdm9ybjgrM3QxdTNidnN0NC9mN0R3RXdKQktKZkF4Z0tJQnEyN2IvVTFWUGp6OTNSRlh6UkdTRU1lYVUyR3A1cURuWWZnVGdPTlFNRU8wdElnZXFSbDhBTytJVDRYRDR2UUVEQmh5OWZ2MzZYUUFpQVA2V3NLd1lZeTRSa1JzQTNGdFNVdklOdmoyb0R3V2d3V0R3QzFXdHJudEhXRjVlM2hDZnovZHczVHZJaU5vcEJuMUtPb1lnYWxjS0N3dkR0bTBQQUpBSjRCa0FQdGQxWDQ4TlJIN2FkZDNyTGN0NlA3NjhNV2FpaUx5TG1oNmNEMVYxZHV6djF3UDRGTURpMktMekU5WjVTRVR1aWZYZzdNZTI3WmNBbktpcTF5WE83OWl4NC9XNXVibDNIK0NXOTJkVjFWWFZFWTdqYkUzOExCQUkzT1B6K1c1RlRTZ2JFdS85aVZQVlF4TERGaEVSTlF4REVMVWJxaW9EQmd6SWpMMlRDS2g1RDlIZmZUN2Y1RUFna0FhZ1UwRkJ3ZWZ4eTFDSTNWRVdqVWFuK253K0FOZ2FmKzZJYmR0YkFYd1duemJHN0VMczRXMEFydGkzYjk4c3YvKzd6VWRFcm9yOTkzaGp6Rm1PNHl6UHk4dnJCZUNHOVBUMHpiWnQvNjdPS2wxRVpEZUFkUW12RHJna0dvMkdSZVN5VUNqMDM4RmdFQ0t5OW1BOVFVbjhDc25EaGd3WmNsaGFXdHJ4anVNOEc1K1hsNWZYeStmem5SOTdoSVFtTG0vYjlyOUVaR2dvRk5vVG0vNnJxajd0T003SyttNHpFQWljcnFwbGlUY3Z4QVdEd1M3UmFQVDZiZHUyL1dIVHBrMTc2M3pXUTFWTHd1RndqMGJ2TUJGREVMVXoxM1hxMU9rT1ZaMkxtbERVemJLc1B3UG9ZRm5XRkZWZGI5djJyK0xqYW93eCtRQjY3dHk1OCsxdTNib2RYWjhOcEtlbm53N0FXYnQyN2NaQUlGRDc5dTNxNnVxdGxtVkZJcEhJWjZnNUlkd0M0RE1BeTMwK1gxQkVJbzdqUEJoLzZGdWNiZHZ2QVpnZURvZmZTNXh2akRrTFFDais4a24yQkZHeUJBS0JxMFJrdU9NNGsySkJvMnZzbzc0aThuQitmdjQzSXZKUHhHNHNpSzJ6SERYL3pxTnIxNjdkaUpwL2Y5WTMzM3pqQWtEc3g4ZVoxZFhWMXgxc3UvMzc5ejhrT3p2NzBEcXpzeTNMZW5EbzBLRW4rM3krMnE1Vm44L243dHk1YzB0bVp1YUFYcjE2L2FONzkrNW5GaFFVZkY2Zi9iTnQrd2tBYThMaDhQeDZMRTRleHhCRTdZYUkzQmQvTm84eDVrb1IrY1p4bkJOaVBTWjNPSTV6VHV5eitEdU56Z1R3OW9ZTkd5cnFqaHM2R0ZXOUlENFlWRlgzaU1pUmVYbDVuUW9MQzk4SDhENEE1T2JtZGxiVmtTSnlYYXhleDZycWh3M2NseDhEaUsrekU4QmQ0WEQ0OTRuTHhKNHR4RmNGVUwwRkFvRWZXWloxYTFWVjFXRFVETW8vM2JLc3lRbUx2T2Z6K1g1WmR6M0xzaDVHelkrQW5iWnRoOHJLeXU0RElOMjdkOC9vMnJYcmk2cTZWRlV6MDlMU1BrNThHU3BxMnNuTGp1Tk15czdPSGk0aVN3QVUxaWwrZzkvdi8wdmlETmQxOTVhV2x2NGN3SGhqek4wQWV0bTIvVGlBN0ZpWmZnQmRZajhpNHRzSk80NXpsZXU2TTBUa28vejgvTmNLQ2dyK21hU3ZqdG9waGlEeWxHQXdtT2E2cmgreHA5R3E2dUtFank4eHhveER6UUVWcUFrYXQ4WSs2NnFxblMzTE9qRjJkeGY4ZnIvanV1Ni8vSDcvTm1OTTRxQk52NGo4ajRpOEVTdHJKSURFZzd3UGdKdVRrNU1ldTAyNG9tNDlWZlVucnV2ZWgyL3ZtUGw5M1dWaWQ5N2NsWnh2aHJ6QXNxeWJBZnk1cUtob08ycitEVDJUbjUvL3RjL24yNjhuMUhYZDhrZ2s4bVNzdDNTSDR6aWZHbU1lZGh6bkttUE1nNW1abVNNQXBLbnFKU0xpaU1oTnJ1dU9BTERFc3F3aEI3cU5IVFZ0N29PS2lvcXpNakl5Ym5FYzUzWmp6T3hvTlBwY1lXSGgrN1p0MzZLcUdaWmwvVEVVQ3UySlBSWDkzNDdqL0RkcWVuaU9pVWFqbzBSa3U2cDJ0U3pyamRqenVTQWl4d0M0QmpXMzV1K3diZnRCbjg5M000QkxXdVNMcFRhTElZamFQYi9mWDZHcW45cTIvVGRWUFUxRVhrRk4wTmprdW03aWJicFBPSTV6d0ZkdEdHTmVGNUZ5VmYyUjR6aWY0dHRiaEVmOXdPWXRFVG1zdXJxNjlsMWpnVUJncUdWWkh3S29WbFZuMzc1OXhZa3JCSVBCanFvNlRGVS90RzE3dktyZS9BUGJxSFFjNThjLy9FMlF4L2tCaksydXJrNThZU2w4UHQ4VVZTMFdrVEJpbDFsRlpDNkFKMFhrRXRkMUl3Q2VqTDNENnhvQWI0bklxYXJxVjlWdUFMYUl5THJZYzRGK3NCTHA2ZW5uaWNoaHNURkdaMXVXOVFBQVZGUlV6TTdJeUxnMUdvMk9BYkRJNy9kUEJYQnFNQmdjRXdxRlNsRFRsamZHM2gxV3JxcHUvRGxlK2ZuNS9STGZIZWE2N21MTHN0WUF1QXhBZGZLL1Ntb3ZHSUtvWFFpSHc3Y25UanVPODJqQ1o2VUFwdFZkeDNHY2NRbkx6SSs5cyt1QUhNYzU1V0NmL1FBM0hBNGZsVGdqOW5DNE5BQldmTXhQb2xBb3RDYy9QLy9IaFlXRi93Ync3enEzMUJNMVNsNWVYcDZxVmhZV0ZxNnYrNW1JVEZiVmMyTi90K0k5b1FkaVdkYkxydXUrQzJDUzR6aS9DUWFEYVh2MzdsMFUvMXhWVnlmMmpFYWowU3RpbDR2ajI3SUJuR2piOW1lcTJ0dXlyTmNUTDZHSkNJd3g0OFBoOEZuR21OOENtQVhnM0lic2F5UVMrZGdZc3pjUUNBeEplQmdqMFhjd0JGRjcxZEJuaW1qZHUxOWF3SGZ2c1k4cEtDaHdXcllxMU41Wmx0VUh3QmNIK2ZocXgzRldJVGFtTFNNam8rUmc1WVJDb1owQXltemI5dUhiSHRINDZ5dFFWVlUxVVVTMng2ZjM3Tm16RlRYaHhnZWd5bkdjbVFCbTJyWjlDWUNSNFhDNDd0dm1hem1PYzF2aWVjcDEzUVhHbUgydTY2WUR5SXcvMTB0RXVxbHEzZmEwMmJLc3VnT3hpZmJERUVSRTVBMStFVG5ZcGFINThjZEExT2tKK2x4RXZvbk5yKzBwSFRwMGFMYXErdnIxNjllaDd1M3I2ZW5wWHg1b1RKQ3FaZ0xZbFREckloRVpZZHQyNHVXNTdnQmVDb2ZEbHlEMlNBcS8zejgyRW9uRTc2cThKM2FqUUJjUk9VNVY3NGlWblYvM0pnRVJjVlgxb0wyN1JJaDF4eE1SVWZ1M0ZVQ3ZnM3gydGVNNEFRRFhBYmd0UG81R1ZSZUx5R0cyYmQrbXFoWHgrWDYvUHc5QXgxNjllajFZdHlCVnpRa0dnd01UL3NTZjVkTlhSTGFnWnBEemNGWHRCV0NWcWw0VERvY0g3dDY5ZXhpQWJRRHVqWmVWbHBZMldrUXVqRTlibGxYZ09NNGF5N0lLQUZRN2pyUEdjWncxcnV0KzV4S2ZxdmFLdmJpVjZLQVlnb2lJUE1EbjgwVlV0VmZzMFFxSnd0WFYxZkd3Y0ttcVRoV1JPd0dnc3JLeTBuWGRvd0IwVnRYYW5oWVIrUW1BUDZqcVlHUE1wWFhLbSt1NjdtTUpmODVDVFlESlY5VzFzYnNqNTRySVRiSG5DdDF2Mi9hSWpoMDdMbGZWK3hQZk15WWlvK00zTWpSRVhsNWVQeEhwV2xaV3RyYWg2NUszOEhJWUVaRUhoRUtoUGJadHZ3WmdUT0pyWUVSa3VkL3ZudzNnVEJINUNNQ3FjRGhjYUl5NUNFQ2E0emkvdEcxN2RPejIrbFVBUkZVbkF4aHRXZFppMTNYZnpjdkxlek0ya0I4aU1qb2NEdGU5SEdhcDZ1bXFlcWN4NWcrcStyWGpPQytocGxkb0lZQzNBYnkyZGV2V0orTXI1T1RrWktqcUtBQjNOM1JmZlQ3ZkdGVmRWVnBhV3RtMGI0M2FPNFlnSWlLUFVOVlpBQmJsNXVZK1dseGN2QzgyNzNaVmZRMDFBNCsvc2l4ckZvRFJxdnFlaVB4dklCQllFZzZIWHpMRy9MY3g1cHJZZWFQRWNaeGkxTnllZmxvOEFCMk1NZVpDQUtXV1pka0FmdWE2N2hSanpDOUZaQ0tBYmRGbzlHVExzbjdSczJmUDBsNjllaTExWFhlbFpWbFJWYTF5SE9lRGVEbXU2MzVrak5IWWUvdXFqVEh4QWRscEFJb1FDMDhBZmduZ3ZPYjhMcWw5NE9Vd0lpS1BjQnpuLzBUaytZeU1qRHNSZStxNHFnN1l0V3ZYbjFGemEvbENWZDJiazVPVEZZbEVQbGJWMlQ2ZjcxRFVCSkNyQWFTSnlQWm9ORG9qWG1aQlFjRUgzN05Kb0taM0tCS05SbWRXVkZTOHBLcW5XcGJWVzBUNnVLNDdOUndPbjFaUVVMRGFjWnovc2l6ckdBQWxsbVYxalVhamxRQ2VUYnpUMDdLc3dZN2pIRnIzait1Nlo4ZVh5Y3pNbkEzZ2IvSDMvaEdsMVBTUDF1bjBqOWExOUszSFJFVGZLeG5IcGkzRjAzUkw4YlMyZG56ekhXQmNVRnZncTg5QytmbjUvMUhmWmFuMWFxbTJ4Y3RoUkVUZUVvMjljcVd0cWRlenYrcjdvbFVpOEhJWUVSRVJlUlZERUJFUkVYa1NReEFSRVJGNUVrTVFVUk1aWS9LTk1mbXByZ2RSYThUMlFhMFpCMFlUTmQzYzJIOUhwcmdlUkswUjJ3ZTFXdXdKSWlJaUlrOWlDQ0lpSWlKUFlnZ2lJaUlpVDJJSUlpSWlJazlpQ0NJaUlpSlBZZ2dpSWlJaVQySUlJaUlpSWs5aUNDSWlJaUpQWWdnaUlpSWlUMklJSWlJaUlrOWlDQ0lpSWlKUFlnZ2lJaUlpVDJJSUlpSWlJazlpQ0NJaUlpSlBZZ2dpSWlJaVQySUlJaUlpSWsveXA3b0NSRzFOTUJqc282cVh4NmRWdFQ4QTJMWjlXM3llaUR3U0NvVytURlVkaVZLRjdZUGFFb1lnb29iYnBxclRSU1FiTlFmMCtQemJVWFBRM3lFaXMxSllQNkpVWXZ1Z05vT1h3NGdhS0JRS1ZRRllycXBRMWRyNUNkUExZOHNRZVE3YkI3VWxERUZFamFDcVN4Sis0ZFlTRWFqcWtwUlVpcWlWWVB1Z3RvSWhpS2dSeXN2TFY2bHFlZDM1cWxwZVhsNitLalcxSW1vZDJENm9yV0FJSW1xRTB0TFNTaEY1R2Z0MzgwTkVYaTR0TGExTWRmMklVb250ZzlvS2hpQ2lSb3BHby90MStjZit6cTUrSXJZUGFpTVlnb2dhcWFxcWFnV0Fpb1JaRlJVVkZTdFNXQ1dpVm9QdGc5b0NoaUNpUmlvdUxpNEhzQXJmRHZoOE5UYVB5UFBZUHFndFlBZ2lhZ0pWWFJydjh1ZGRMMFQ3WS91ZzFvNGhpS2dKVkhVNWdHak5FSWpvOGxUWGg2ZzFZZnVnMW80aGlLZ0pJcEhJRGxWOURjQWJSVVZGMjFOZEg2TFdoTzJEV2p1K05vT29pV0lQaHVNUENxSURZUHVnMW93aGlGcVZJd1lHTGxOZ1lxcnIwUkE3S3pRTmlLTC93TUQ1cWE1TFF3anc5TDlMSW8rbXVoNVVmMndmTFlmdHd4c1lncWhWVVdCaVZsYm5uK1FPSEpEcXFyUnJ4U1hyVVZaV0RnQTh5TGNoYkI4dGcrM0RPeGlDcU5YSkhUZ0F6enoxV0txcjBhNU5tRHdWNzMwUVNuVTFxQkhZUHBvZjI0ZDM4RG90RVJFUmVSSkRFQkVSRVhrU1F4QVJFUkY1RWtNUUVSRVJlUkpERUJFUkVYa1NReEFSRVJGNUVrTVFFUkVSZVJKREVCRVJFWGtTUXhBUkVSRjVFa01RRVJFUmVSSkRFQkVSRVhrU1F4QjVValFhVFhVVmFsVlhWNmU2Q2tUN1lmc2dyMkFJSXMrNDhzb3JVVlJVQkFCWXZIZ3hicnp4eHU5ZGZ0KytmWGoxMVZkcnAxOTg4VVZzMmJMbGdNdFdWMWZqNmFlZmJ2REpJeHFONHF5enp2ck9lbDkvL1RWT09lVVUzSERERFEwcWo2aXgyRDdJaXhpQ21va3g1aVJqekFwanpOZkdtRXBqekVaanpKTk5MUE4xMjdhckFvRkE0QUNmbGR1MlBicEpsVDQ0dnpHbVp6T1ZuUkt2di80NmpESGZ1OHg5OTkySGQ5NTVwM1phUkRCLy92d0RMdXYzKy9IdXUrOWkzcng1QUlDUFAvNFl3NGNQUCtDZjAwNDdEUUJRVVZHQnRXdlhvbS9mdnRpelp3L0t5OHVCMk1ubDVwdHZ4cFFwVTdCNTgrYjlUalJFTFlIdG8rWEVqcTIrWnQ1R2V6b2ZKWlUvMVJWb2o0d3gxNHJJWFFEdVV0VmZXWlpWNmJydTBTSnlRUktLM3kwaWp3QVlEc0JOUW5rSDFMOS8vME95czdOUEZaRXhBTTRFTUF2QVBjMjF2ZVpTVmxhRzY2NjdEazgrK1cxNzM3WnRHd29MQzNIOTlkZGoyN1p0K3kzZnFWTW5kT2pRQVcrKytTYVdMRm1DbzQ4K0dwTW5Ud1lBYk42OEdZY2Nja2p0ZE56OCtmUFJ1WE5uM0g3NzdSZy9manlDd1NCR2pCaUI5OTU3NzN2cnRuanhZano3N0xOSVQwL0h0R25Ua0ptWmlidnV1Z3MzM1hRVFRqamhCRXljT0JFbm4zd3lycjc2YXFTbHBXSGt5SkZKL1c2STJENWFoVW0yYmQrc3FpK0l5Tkt5c3JMWFNrdExLNU5WZUhzNEh6VW5ocUFreTh2THMwWGtYbFU5MDNHY2xRa2ZsUUJZM3RUeVZmVnBBT2NhWTY1eEhPZitwcGFYNk1namoreVNsWlYxUml6NG5DWWluUk8ycThuY1ZrdHhYUmViTjIvZWI5N2YvdlkzZE96WUViLzYxYTlxNTMzeHhSZm8wYU1IcGt5WmdxeXNMTng1NTUzbzBLRUR6am5ubk5wbFhuLzlkZlR0MnhlNXVibTE4L3IxNjRmT25XdStwaDQ5ZXVDQkJ4N0FFVWNjVWErNlRabzBDWVdGaFpneVpRcHljM094YWRNbVRKMDZGZHUzYjhlMmJkdjIrNFY3NzczMzR2MzMzOGVNR1RPUWtaSFJwTytFS0k3dG85WG9MaUpUQUV6Snlzb3FNOGFzQUxBa0dvMnVMQ3dzM04zWVF0dnkrYWlsTUFRbG1jL251d3JBVzNYK3dTVlRtWWhNQS9Cb1hsN2Vrc0xDd2sxTktTd3ZMNitYWlZsbng0TFBUMFVrUFo1MzR2OFZFUUNRcE5RK3hYYnYzbzNGaXhmajJHT1B4ZXpaczJ2bm4zNzY2WGpzc2NkdzZLR0g0cTY3N3NKRER6MkVxNjY2Q3IxNzk2NWRwbVBIanNqS3l0cHZYcGN1WFFBQVc3WnN3ZDY5ZTJzUCtIZmRkZGYzMW1QUW9FRVlQWG8wU2t0TFVWWldoc0xDUXF4Y3VSS25uWFlhSms2Y0NOZjk5a2VWaUtDc3JBeUxGaTFxcXdkNGFpUFlQbEluNFhkbWxvaE1BRERCNy9mdnNXMzdGUUJMUk9URlVDaTBzeUZsdHJYelVTb3dCQ1daaU5pcXVxSTV0eEVPaC85bTIvWkZQcC92QVFEbjFHT1YvY1NDenpqTHNpWUErRThBdnNUZ0V3czl0ZE9KYk51K04xYUhHYWpwYWwydHFrOUdJcEduakRINUFPWUNtTzQ0VGtFZ0VKZ3NJaGM3ampPeXZ1dVdWV3FuSm40OTMydjU4dVhvMDZjUE5tellVRHR2Mzc1OTJMRmpCM3IwNkFFQXVQSEdHMUZkWFkzZHUzZGp3WUlGdGN0dDNMZ1JuMzc2S1Q3NjZLUGFlY09HRGNQUlJ4K05oUXNYSWh3TzQ4c3Z2OFFycjd5Q280NDZDZ0R3ajMvOEExOTg4UVhPTysrOC9lclJ1M2R2UkNJUkRCa3lCUC84NXorUm1abUpHMis4RVhQbnpzV1NKVXRRVVZHQjNyMTdvMCtmUHFpc3JJU3E0c2MvL25GemZqVkViQjhKZkJZNkdXTldOK1Y0VnQ5MTR3NXc3TzBJWUl5SWpIRmRkNTh4NWcxVlhTSWlMemlPcy9XSDlxRXRuSTlTalNFb3lWUTFIVUJhZkRvL1A5OVlsbFU3ZXRCMTNSRUZCUVZPVTdjaklsZXA2a2UyYlo4YkRvZVhOR1JkbjgrbnFscWxxcnRFeEZYVmd3N0tTMmlVUDNnNVRGVkZSS0NxRGU0MWlxOExiZDRlcDVFalIyTEtsQ200K3VxcnNYWHJWdlRzMlJOcjE2NUZUazRPL1A3OW0wTzNidDN3d0FNUDFFN2ZmLy85R0RSb0VFYU5HdldkY21mT25JbHQyN2JoRjcvNEJkTFMwakJ1M0RoVVZWWGh5U2VmeEc5Lysxc01IVHEwOXRkeldsck5QNCsvL09VdldMZHVIZGF0VzRlMHREUlVWbFppeFlvVmVPMjExK0E0RGw1OTlWVU1HalFJNWVYbDhQbDhpRWFqR0Rac1dITitQZVJ4YkI4SllzZWlwaHpQNnJsdWZZNnRFQkdmcW5ZQ2tCNk5SdXRWcDdad1BrbzFocURrKzBSRUJzY25kdS9lWFp5VmxSVndYYmVyWlZrZldKYVZsTHNBUXFIUVo4YVlXMVIxWGs1T3p1c05XVGYyQytKUkFJOEdBb0ZzeTdKR0F4Z0w0RlFBSGVyMi9pUmVEcXY3eXlYK3l3WUFJcEZJQkVEaTlGTUFub3BQMTJmZC9nTURxeHV5THcxMTZLR0hJaWNuQnllZmZES2VmLzU1WEhubGxWaTVjaVZPT09HRTd5ejc5ZGRmNC9MTEw5OXYzdHExYS9IY2M4L3ROKytlZSs1QjE2NWR2N1Arb2tXTE1HVElFQVNEUVFEQWwxOStpYmx6NStMNjY2OEhBSXdiTnc2alJvM0NzbVhMMEtsVEo1eDY2cWw0NktHSE1HM2FOSlNWbFdIZ3dJRkozbnVpNzhmMjhhMm9vcnpPTWFyQng3TjZydnZ0TDgyRUlRaXhFRlVKNEUxVlhScU5SbDhvTEN6OHFvRzcwZXJQUjZuR0VKUjh6NmpxUW1QTU1ZN2pySW1OOGk4TkJvTTlrajIyMkhHY0I0d3hGMlJsWmMwQzBLZ25pa1Vpa1IwQUZnSlltSnViMnprOVBmM25JakpHUkVZRHlFeW9jNXNjR0IyTlJsRlZWWVhaczJkanpabzF0Zk1uVHB5SWl5NjZDTUZnRUsrKytpb1dMMTVjKzludTNidXhkKzllM0hycnJSZytmRGdRRzBBNmMrWk0zSHZ2dmQvWlJueWNRNktQUC80WWl4WXR3dno1OC9IcHA1K0RINHR3QUFBZ0FFbEVRVlNpckt3TUo1NTRJbTYvL1hZY2YvenhPTzY0NDVDVmxZV3NyQ3gwNmRJRmUvZnV4ZWVmZjQ3MDlIVGNlZWVkS0N3c3hGdHZ2ZFZzM3dzUjJENWFpOXBqYXl6NGxLdnFLbFZkV2w1ZS9sSnBhV2xaRThwdVUrZWpWR0FJU2pMSGNaNDF4cHdMWUlWdDI3OFdrVGRRay9CUFRGeHV5SkFoaDYxZHUzWmpFemZuVmxkWFQvWDcvUi9XdEorbVhVa3FMaTR1Qi9BY2dPZHljbkl5c3JLeWZxYXFZMFRrckxZNk1McTR1Qmc3ZHV5QWlDQXZMNjkyL21HSEhZYnp6anNQVjExMUZTNisrT0w5Qm5PdVdyVUtxMWV2cnYzNzl1M2JVVkpTQWdBNDlkUlRZZHYyZmdNd3I3MzJXZ3dZTUdDLzdUNzY2S01RRWZ6bU43OUJkblkyTWpNemtaV1ZoVFBPT0FOMzNIRUhsaTFiaGdVTEZtREpraVhZczJjUCt2YnRpMjdkdW1IZnZuMjQ3YmJic0hQbnp0cHhFMFROaGUyalZSQlYvUWJBaTY3ckx0MnhZOGNyR3pac3FFaEd3VzM1Zk5SU0dJS1NUeDNIR1crTXVRYkExYXA2bjZydUJmQXZFYmt4R28ydTY5ZXZYNGUwdExTM2pURVBPNDd6L2JkSi9JQ2lvcUlpMjdidkFmQ3JlaXhlYjdGZkRDL0cvdmlEd1dCMk1zdHZLY2NlZXl6bXpadUg0NDQ3RGxkZWVXWHQvRzNidGlFVUNxRkhqeDU0NTUxMzhQT2YveHhISG5ra0FHRHMyTEVZTzNZc1hOZkZraVZMc0dEQkF0eDk5OTJZUFhzMkxyendRaXhmdmh6VHBrM0Q4Y2NmWDF2ZTVzMmI4YnZmL1E2Wm1abVlQMzgrWnN5WWdVTVBQUlFIT2hCczNyd1o2ZW5wR0R0MkxDNjg4RUlzWHJ3WW1abVpHRE5tREI1NTVCSE1uajI3ZHN6RDZhZWZEZ0I0L3ZublcrVDdJbTloKzBnOXk3S2VDb1ZDOXpWVDcwbTdPQjgxSjRhZzV1SEducGx3ME9jbWRPM2E5YWQrdi84TlkweFh4M0Z1cWsraGp1T2NjcUQ1NFhENEZnQzNOS1hDUDZBNkZBcHRxOGR5clU1R1JnYU9PKzY0Mm1uWGRiRnMyVExNbXpjUFk4YU13WC85MTM5aDBhSkZ1UERDQzNIR0dXZmdnZ3N1UUVaR0JsYXVYSWxWcTFaaDBLQkJlT0tKSjlDbFM1ZmFnL3l3WWNOdzk5MTNZOTY4ZVRqenpETXhZc1FJUFBQTU16aisrT054N3JubjRzOS8vak9tVHAyS25UdDNJaU1qQTM2L0gzNi9INVpsb2JLeUVoVVZGUmcrZkRqdXZ2dnVnOWE3dXJvYUlnTExzbUJaRnZidTNZdEREam1raGI0MThncTJqOVJyZ1dOcmV6c2ZKUlZEVUlvVUZSVjlrcGVYTjhMbjgzSDBhd3Q2NVpWWHNIYnRXc3lkT3hkRGh3NEZZZzlsTytta2svRGdndytpc0xBUWtVZ0VYYnAwd1p3NWM5Q3ZYeitnemtzY0J3d1lnTWNmZnh6aGNCaExseTVGejU0OU1XUEdES1NucHdNQXBrK2ZqdW5UcDlldUY0MUdhNTlyRWo5dzE3M1RKaTQ5UFIyclZxM0NTeSs5aFBIangrUE5OOS9FckZtenZ2ZVZCRVRKd3ZiaFRUd2ZOYVBwSDYzVDZSK3RhNU9EYXFubDlSOFlXSDMrcEV1MU9ibXUyNnpsdHdYblQ3cFVtL3RPdk5ZdUdjZW1MY1hUZEV2eHRCWTd2ckY5dEF5Mmo5UnJxYmJGRjZpUzU3U1ZBWHRFcWNEMlFWN0NFRVJFUkVTZXhCQkVSRVJFbnNRUVJFUkVSSjdFRUVSRVJFU2V4QkJFUkVSRW5zUVFSRVJFUko3RUVFUkVSRVNleEJCRVJFUkVuc1FRUkVSRVJKN0VFRVJFUkVTZXhCZW9VcXRUWExJZUV5WlBUWFUxMnJYaWt2V3ByZ0kxRXR0SDgyUDc4QTZHSUdwVkZQcGlXVms1M3ZzZ2xPcXExSnZQUWljQWlMclluZXE2TklqbzhsUlhnUnFHN2FNRnNYMTRBa01RdFNxZmxoVE1BVEFuMWZWb0NHUE1hZ0J3SEdka3F1dEM3UnZiQjFGeWNVd1FFUkVSZVJKREVCRVJFWGtTUXhBUkVSRjVFa01RRVJFUmVSSkRFQkVSRVhrU1F4QVJFUkY1RWtNUUVSRVJlUkpERUJFUkVYa1NReEFSRVJGNUVrTVFFUkVSZVJKREVCRVJFWGtTUXhBUkVSRjVFa01RRVJFUmVSSkRFQkVSRVhrU1F4QVJFUkY1RWtNUUVSRVJlUkpERUJFUkVYa1NReEFSRVJGNUVrTVFFUkVSZVJKREVCRVJFWGtTUXhBUkVSRjVFa01RRVJFUmVSSkRFQkVSRVhrU1F4QVJFUkY1a2ovVkZTQnFhNExCWUI5VnZUdytyYXI5QWNDMjdkdmk4MFRra1ZBbzlHV3E2a2lVS213ZjFKWXdCQkUxM0RaVm5TNGkyYWc1b01mbjM0NmFnLzRPRVptVnd2b1JwUkxiQjdVWnZCeEcxRUNoVUtnS3dISlZoYXJXemsrWVhoNWJoc2h6MkQ2b0xXRUlJbW9FVlYyUzhBdTNsb2hBVlpla3BGSkVyUVRiQjdVVkRFRkVqVkJlWHI1S1ZjdnJ6bGZWOHZMeThsV3BxUlZSNjhEMlFXMEZReEJSSTVTV2xsYUt5TXZZdjVzZkl2SnlhV2xwWmFyclI1UktiQi9VVmpBRUVUVlNOQnJkcjhzLzluZDI5Uk94ZlZBYndSQkUxRWhWVlZVckFGUWt6S3FvcUtoWWtjSXFFYlVhYkIvVUZqQUVFVFZTY1hGeE9ZQlYrSGJBNTZ1eGVVU2V4L1pCYlFGREVGRVRxT3JTZUpjLzczb2gyaC9iQjdWMkRFRkVUYUNxeXdGRWE0WkFSSmVudWo1RXJRbmJCN1YyREVGRVRSQ0pSSGFvNm1zQTNpZ3FLdHFlNnZvUXRTWnNIOVRhOGJVWlJFMFVlekFjZjFBUUhRRGJCN1ZtREVIVXFod3hNSENaQWhOVFhZK0cyRm1oYVVBVS9RY0d6azkxWFJwQ2dLZi9YUko1Tk5YMW9QcGorMmc1YkIvZXdCQkVyWW9DRTdPeU92OGtkK0NBVkZlbFhTc3VXWSt5c25JQTRFRytEV0g3YUJsc0g5N0JFRVN0VHU3QUFYam1xY2RTWFkxMmJjTGtxWGp2ZzFDcXEwR053UGJSL05nK3ZJUFhhWW1JaU1pVEdJS0lpSWpJa3hpQ2lJaUl5Sk1ZZ29pSWlNaVRHSUtJaUlqSWt4aUNpSWlJeUpNWWdvaUlpTWlUR0lLSWlJaklreGlDaUlpSXlKTVlnb2lJaU1pVEdJS0lpSWpJa3hpQ2lJaUl5Sk1ZZ29nTzRyNzc3c1AyN2RzYnRNN2t5Wk94WWNPR0EzNjJjZU5HbkhmZWVVbXFIVkZxc1gxUWU4QzN5RGNUWTh4SkFHNEFNQnhBWndCZkFYakRjWnlMbTFEbTZ5SnlrdXU2d3lLUlNLVE9aK1VpY240NEhINHBLVHV3UDc4eHBxdmpPRnVib2V4VzZlMjMzOGFycjc2S2NlUEdZZS9ldmJYekt5b3E4TkpMKzMvRlYxeHhCWll0VzRaeDQ4YlZ6bnZwcFpkd3pESEhJQndPSXljbkIwY2ZmWFNMMXArb09iRjlKSTh4cHFmak9OOEFpRGJqTnRyVCtTaXAyQlBVREl3eDE0cklTaEg1QU1ESmxtWGxBN2hhUkRva29mamRJdkpJYy8rLzY5Ky8veUdCUU9Cc1k4eVR4cGd0QUNZMTUvWmFrNHFLQ3N5Yk53OWR1blRCRlZkY2dRc3V1QUEzM0hBRGJyamhCcFNVbE9EZGQ5OUYzNzU5MGJkdlh6ejc3TFBZdDI4ZjFxMWJoM2ZlZVFjQVVGVlZoUWNlZUFDZE8zZEd6NTQ5TVgzNmRMejg4c3VwM2kyaXBHRDdTTHBKdG0xdk1jWThidHYyNkp5Y25JeGtGdDRlemtmTmlUMUJTWmFYbDJlTHlMMnFlcWJqT0NzVFBpb0JzTHlwNWF2cTB3RE9OY1pjNHpqTy9VMHRMOUdSUng3WkpTc3I2d3dSR1FQZ05CSHBuTEJkVGVhMldyUGYvLzczc0cwYk45OThNNVl2WDQ0UFB2Z0FkOXh4QndEZ25YZmVRZCsrZld0LzFjNmJOdzhBOE5PZi9oUkxseTRGQUx6Nzdyc1lObXdZT25mdWpHSERodUdoaHg3QzBxVkxNWFRvMEJUdUZWRnlzSDAwaSs0aU1nWEFsS3lzckRKanpBb0FTNkxSNk1yQ3dzTGRqUzIwTForUFdncERVSkw1Zkw2ckFMeFY1eDljTXBXSnlEUUFqK2JsNVMwcExDemMxSlRDOHZMeWVsbVdkWFlzK1B4VVJOTGplU2YrWHhFQkFFbEs3ZHVBQVFNR1lQRGd3U2dxS3NLbVRadXdZOGNPRkJVVkFRRDI3ZHQzd0hWKy9PTWZvM2Z2M3ZqREgvNkFJNDg4RWllZGRCSUE0UFBQUDhmaGh4K082ZE9uWStQR2pTMjZIMFROZ2UyamVTVDh6c3dTa1FrQUp2ajkvajIyYmI4Q1lJbUl2QmdLaFhZMnBNeTJkajVLQllhZ0pCTVJXMVZYTk9jMnd1SHczMnpidnNqbjh6MEE0SnlHcmg4TFB1TXN5NW9BNEQ4QitCS0RUeXowMUU0bnNtMzczbGdkWnFDbXEzVzFxajRaaVVTZU1zYmtBNWdMWUxyak9BV0JRR0N5aUZ6c09NN0krcTViVnFtZG12ajFOTm5XclZ1eGFORWlBTURtelp1eGZmdDJQUEhFRXdCUWUvQ3VhOHFVS2RpK2ZUdTJiZHVHTys2NEEzNi9IMy82MDU4d2UvWnNISFhVVVpnNWMyYUw3Z05SYy9GSysvQlo2R1NNV2QyVTQxbDkxNDA3d0xHM0k0QXhJakxHZGQxOXhwZzNWSFdKaUx4UW56R2FiZUY4bEdwdDlqcGVhNldxNlFEUzR0UDUrZm5HR0ZNZS81T2ZuMitTc1IwUnVRckFUMjNiUHJlaDYvcDhQZ1ZRcGFxN0FMamZkNlVyb1ZIKzRPVXdWWlhFL3paRTdUcWEraDZubVRObjR2REREOGRkZDkyRjg4OC9IOEZnRUhQbXpNR2NPWFBRclZ1M0E2NnpjT0ZDekpzM0Q5WFYxWmczYng1V3JGaUJRWU1HNGVHSEg0YnJ1bmpvb1lkYWZEK0ltb05uMmtmc1dOU1U0MWs5MTYzUHNSVWk0Z1BRQ1VCNk5CcXRWNTNhd3ZrbzFkZ1RsSHlmaU1qZytNVHUzYnVMczdLeUFxN3JkclVzNndQTHNuekoyRWdvRlByTUdIT0xxczdMeWNsNXZTSHJ4bjVCUEFyZzBVQWdrRzFaMW1nQVl3R2NDcUJEM1ZDVWVEbXM3aStYK0M4YkFJamRJWkE0L1JTQXArTFQ5Vm0zLzhEQTZvYnNTM05adkhneExydnNNZ0RBNnRXcmNkcHBwd0VBcGs2ZGV0QjFubnZ1T2FTbHBlSFh2LzQxcnI3NmFweDQ0b2xJVDAvSHIzLzk2OXJCb1h2MjdNR0tGU3NRalVaeDFsbG50ZGorRUNXVEY5cEhWRkZlNXhqVjRPTlpQZGY5OXBkbXdoQUVFWUdxVmdKNFUxV1hScVBSRndvTEM3OXE0RzYwK3ZOUnFqRUVKZDh6cXJyUUdIT000emhyU2t0TEt3R1VCb1BCSHNrZVcrdzR6Z1BHbUF1eXNySm1BYWh1VEJtUlNHUUhnSVVBRnVibTVuWk9UMC8vdVlpTUVaSFJBRElUNnV5WmdkRjFqUnc1Y3IrQm4zRlZWVlhZdDI4ZkxNdkNsaTFiVUZSVWhLT1BQaHBYWFhVVlpzMmFoZXJxYWp6NzdMUDQ4c3N2c1gzN2RtUmxaYUc4dkJ5TzQyRElrQ0VwM0NPaTVHSDdhTExhWTJzcytKU3I2aXBWWFZwZVh2NVNhV2xwV1JQS2JsUG5vMVJnQ0VveXgzR2VOY2FjQzJDRmJkdS9GcEUzVUpQd1QweGNic2lRSVlldFhidTJxU01CM2VycTZxbCt2Ly9EbXZiVHRDdEp4Y1hGNVFDZUEvQmNUazVPUmxaVzFzOVVkWXlJbk9XbGdkRjE3ZGl4QTZ0V3JjTDY5ZXRyRDg1WFhua2xObTNhaE1NT093eWRPblhDYmJmZGhuUFBQUmN2dlBBQ0RqMzBVQ3hjdUJCVlZWWG8yYk1uK3ZUcGcrN2R1MlBUcGszNDVTOS9pVnR2dlRYVnUwU1VOR3dmVFNhcStnMkFGMTNYWGJwang0NVhObXpZVUpHTWd0dnkrYWlsTUFRbG56cU9NOTRZY3cyQXExWDFQbFhkQytCZkluSmpOQnBkMTY5ZnZ3NXBhV2x2RzJNZWRoem5ycVpzcktpb3FNaTI3WHNBL0NwNXV3REVmakc4R1B2akR3YUQyY2tzdjdXcXFxckNFMDg4Z2FxcUtreVlNQUZmZlBFRk9uYnNpR2cwaWlGRGhzRHZyMmt5Tjk1NEl5b3JLOUcvZjMrb0t2eCtQODQ1NXh5ODhNSUxBSUNzckN3QVFQZnUzVk82UDBUSnhQYVJmSlpsUFJVS2hlNXJwdDZUZG5FK2FrNE1RYzNEalQwejRhRFBUZWphdGV0UC9YNy9HN0VuTWQ5VW4wSWR4em5sUVBQRDRmQXRBRzVwU29WL1FIVW9GTnJXak9XM0dtbHBhWEFjQjJlZmZUYUdEaDJLSVVPRzRJZ2pqcWdkSUI3djdqL2lpQ1AyVys4UGYvZ0RMSXYzR1ZEN3h2YVJmQzF3YkcxdjU2T2tZZ2hLa2FLaW9rL3k4dkpHK0h5K2dhbXVDKzJ2TVhlcStIeEpHVjlJMU9xeGZiUS9YajRmTVFTbFVPekJVbTN1NFZKZU5tTEVDSXdZTWVLZ256LzExRk1IL2V5d3d3N0RjODg5MTB3MUkwbzl0bysyeTZ2bkkvWlBFaEVSa1NjeEJCRVJFWkVuTVFRUkVSR1JKekVFRVJFUmtTY3hCQkVSRVpFbk1RUVJFUkdSSnpFRUVSRVJrU2N4QkJFUkVaRW5NUVFSRVJHUkp6RUVFUkVSa1NjeEJCRVJFWkVuOGQxaDFPb1VsNnpIaE1sVFUxMk5kcTI0WkgycXEwQ054UGJSL05nK3ZJTWhpRm9WaGI1WVZsYU85ejRJcGJvcTllYXowQWtBb2k1MnA3b3VEU0s2UE5WVm9JWmgrMmhCYkIrZXdCQkVyY3FuSlFWekFNeEpkVDBhd2hpekdnQWN4eG1aNnJwUSs4YjJRWlJjSEJORVJFUkVuc1FRUkVSRVJKN0VFRVJFUkVTZXhCQkVSRVJFbnNRUVJFUkVSSjdFRUVSRVJFU2V4QkJFUkVSRW5zUVFSRVJFUko3RUVFUkVSRVNleEJCRVJFUkVuc1FRUkVSRVJKN0VFRVJFUkVTZXhCQkVSRVJFbnNRUVJFUkVSSjdFRUVSRVJFU2V4QkJFUkVSRW5zUVFSRVJFUko3RUVFUkVSRVNleEJCRVJFUkVuc1FRUkVSRVJKN0VFRVJFUkVTZXhCQkVSRVJFbnNRUVJFUkVSSjdFRUVSRVJFU2U1RTkxQllqYW1tQXcyRWRWTDQ5UHEycC9BTEJ0KzdiNFBCRjVKQlFLZlptcU9oSVIwUTlqQ0NKcXVHMnFPbDFFc2xFVGVPTHpiMGROS05vaElyTlNXRDhpSXFvSFhnNGphcUJRS0ZRRllMbXFRbFZyNXlkTUw0OHRRMFJFclJoREVGRWpxT3FTaEI2Z1dpSUNWVjJTa2tvUkVWR0RNQVFSTlVKNWVma3FWUzJ2TzE5Vnk4dkx5MWVscGxaRVJOUVFERUZFalZCYVdsb3BJaTlqLzh0Z0VKR1hTMHRMSzFOZFB5SWkrbUVNUVVTTkZJMUc5N3NrRnZzN0w0VVJFYlVSREVGRWpWUlZWYlVDUUVYQ3JJcUtpb29WS2F3U0VSRTFBRU1RVVNNVkZ4ZVhBMWlGYndkRXZ4cWJSMFJFYlFCREVGRVRxT3JTK0NVeDNoVkdSTlMyTUFRUk5ZR3FMZ2NRclJraUZGMmU2dm9RRVZIOU1RUVJOVUVrRXRtaHFxOEJlS09vcUdoN3F1dERSRVQxeDlkbUVEVlI3TUdKL0VGQlJOVEdNQVJScTNMRXdNQmxDa3hNZFQwYVltZUZwZ0ZSOUI4WU9EL1ZkV2tJQVo3K2QwbmswVlRYZzRnb1ZSaUNxRlZSWUdKV1Z1ZWY1QTRja09xcXRHdkZKZXRSVmxZT0FBeEJST1JaREVIVTZ1UU9ISUJubm5vczFkVm8xeVpNbm9yM1BnaWx1aHBFUkNuRmNReEVSRVRrU1F4QlJFUkU1RWtNUVVSRVJPUkpERUZFUkVUa1NReEJSRVJFNUVrTVFVUkVST1JKREVGRVJFVGtTUXhCUkVSRTVFa01RVVJFUk9SSkRFRkVSRVRrU1F4QlJFUkU1RWtNUVVSRVJPUkpERUZFRGZEVlYxL2grT09QeHllZmZQSzl5NTEyMm1uWXNtVkxpOVdMaUlnYWptK1IvNVlZWTZhSXlHV3FPa1JFQk1CR0FBK0h3K0c1alMzVXR1MXFWZDBValVZSEZ4WVc3bzdQTjhZY0l5SWZWbFJVWkJZWEY1YzNwdXpjM056MGpJeU1XMFZrb3FvZUJxQmNSQjRPaDhPM05MYStCK0UzeG5SMUhHZHJrc3R0bFhiczJJRlJvMGFoZS9mdUtDOHZ4NlJKazNENTVaY0RBTzY1NXg1VVYxZGo1Y3FWdVBycXEydlhxYTZ1UmxGUlVlMTBSVVVGMXE5Zmp5KysrS0oyWHQrK2ZkRzdkKzhXM2hzaUlqb1locUFhbG0zYno2anE4YTdyM3E2cWI0dElSd0Q1SWpLb3FZV0xTTGJQNS9zZGdKbkpxVzZOakl5TXVRQk9VZFVyQUpTS3lQOXpYZmVvWkpUZHYzLy9RN0t6czA4VmtURUF6Z1F3QzhBOXlTaTdMZWpidHk5ZWVPRUZUSnMyRFFNR0RBQUFMRm15Qk8rKyt5NmVmUEpKM0h6enpUajY2S014YXRRb0FFQmxaU1grK3RlL0FnQ3FxcXF3Wjg4ZUxGdTJyTGE4VHo3NUJHZWZmVFl1dWVTU0ZPMFJFUkhWeFJBRUlCQUlYQXZnNUtxcUtudnQyclViRXo2S0pLTjhWYjFQUkc3T3k4dGJWRmhZR0U1R21hZ0pWNk1CekF1SHcyL0VabjBLNEozR2xuZmtrVWQyeWNyS09pTVdmRTRUa2M3eHoxUlZrMUxwTm1UZnZuMVl1M1l0N3JyckxxeGV2UnAzMzMwMzdyenpUZ3dhTkFoejU4N0ZGVmRjZ1MxYnR1Q0NDeTVBcDA2ZE1HZk9IQURBMy8vK2QwU2owZHBwQUxqLy92dHIvNzVtelJyczNic1hJMGFNU01sK0VSRlJEWTRKQW1CWjFyV3FlbitkQUpRMEl2Si9xdnE0Mys5L0JJQXZXZVdxNm5wVnZTQXZMNjlmWTh2SXk4dnJGUWdFTGpQR3ZOeWxTNWV2TE10YUJHQWNnTTZxaW9Uc0k4bXFkMXNSQ29WZzJ6WldybHlKRzIrOEVXUEhqa1dQSGoxUVZGU0VYYnQyNGJycnJzTmYvL3BYWEhMSkphaXFxb0txWXRteVpaZzNieDVtekppeFgxbVdaYUdxcWdvQThPR0hIK0xqano5TzBWNFJFVkdjNTN1Q2NuSnlzZ0FjQmVEZDV0eU9aVmszdWE1YmJOdjJkZUZ3K040a2xYbXBxaTd6Ky8zcmpUSDNXNWIxeDFBb3RQT0gxc3ZMeSt0bFdkWTR5N0ltQVBoUEFMNTQyRkZWMUF5SFF1MTBJdHUyN3dXQWNEZzhBelZqbTFhcjZwT1JTT1FwWTB3K2dMa0FwanVPVXhBSUJDYUx5TVdPNDR5czc3cGxsZG9wR2Q5Tk1uejIyV2ZvMnJVclZCVXpaODdFbWpWcnNHREJBcno3N3JzWU5td1kwdExTTUdmT0hIejIyV2Q0OWRWWHNXREJBbFJYVitQaGh4L0dqMzcwSSt6Y3VSTXZ2UEFDSmsyYWhNR0RCMlBXckZuNDE3LytoVFZyMXVDaGh4NUs5ZTRSRVhtZTUwTlFseTVkMG1Nbi9yVDRQR1BNZGJFeE1BQlE3ampPb1UzZFRpZ1UybW5iOWpXcSt0ZGdNUGk4NjdwTkxSS2hVT2d6QU1NQ2djQWxJbktiNjdwVGJOcytPeHdPdi9kOTYvbDhQbFhWS2xYZEpTS3VxaDYwZHlvaEVQM2c1VEJWRlJHQnFqYTQxeWkrTHJUMTlEaU5HVE1HNTU5L1BzYVBINCtqampvSzQ4ZVBCd0NjY2NZWnVQMzIyNUdkblEwQUdEeDRNRDcrK0dOY2VlV1ZPT21razJCWk5SMnNaV1ZsZVBycHB6RnAwaVNNSERrU09UazUrT2FiYjNEampUZWlXN2R1S2QwM0lpSmlDRUlvRlByR3R1MmRxam9Zd0NyVW5KQVhXSmIxTW9EVFZQV1B5ZHBXT0J4ZWF0djJxNm82SDhCdmsxUnNOQktKUE5hdlg3OUZQWHYyZkI3QVlnQ0hmMTlvaWQzbDlTaUFSd09CUUxabFdhTUJqQVZ3S29BT2RYdC9Za0ZJa05DTGsxRFd5UGpmSTVGSUJFRGk5Rk1BbmtyWS94OWN0Ly9Bd09xbWZCbkpsSjZlanROUFB4M1BQLzg4M256enpkcjVYMy85TmNhUEgxOGJFQys4OEVLOC9QTEwyTHg1TTM3Lys5L1hMdWU2THNyTHkzSHl5U2QvcCt5bFM1ZWlTNWN1TGJRblJFUjBJSjRQUVFCY0FIOERNQ00zTi9mUHhjWEY1WkZJWkFlQUhjYVl6Y25lbUtwZUl5TEZzY0hIU2JOcDA2YTl2WHIxZWhEQWl6azVPWm1scGFWbDlWa3Z0cThMQVN6TXpjM3RuSjZlL25NUkdSTWJkSjJaRUlnOE56QWFBTHAyN1lwdnZ2a0d5NVl0UTBWRkJiS3pzM0hHR1dkZzBhSkZzQ3dMV1ZsWlFDd0l4WldWbFNFckt3c2JOMjdFWlpkZGhsV3JWcUd5c2hJWkdSa3AzQk1pSXFxTEE2TUI3Tm16NTFjQWRoOXl5Q0Z2MjdaOVpqQVkvSC9HbUZ3QUp5VXUxNVFCeUhHTzQzeWhxamNCMks5WEpEOC8vejhhT3ZqWXR1Mi9CZ0tCTTR3eGg5dTJuYWVxVjZ2cWgvVU5RSFhGQXVCemp1Tk1MQ3NyNnduZ0xGVjlBc0RYWGhzWXZXL2ZQbHg4OGNXWVAzOCtoZzhmamtXTEZ1MTNoMWRWVlJVbVRKaUFjSGovbS8yZWUrNDVYSERCQmFpc3JOeHYvdno1OHpGanhneVVsVFhxZncwUkVUVURoaUFBSlNVbFgxZFhWdzlYMWRXcWVyK3Fsb3JJNndBR3hwN0JnMEFnRVBENWZPRkFJRENxcWR0ekhPZlBxcnJmMmRQbjg5MXJqSG11WDc5K0hlcGJqcXBXaU1oOEFPdFZkU1dBcjF6WFRVb1BVMmxwYVdVNEhINHhFb2xNQ1lmRGgxcVc5VlE5Vm1zMzB0UFRNWFBtVEN4WXNBQzV1Ymw0NXBsbk1IWHExTnJQMDlMU2NQUE5OK1A2NjYvSHA1OStDZ0I0L1BISDhkaGpqK0crKys3N1RxL1A1WmRmRHN1eU1HSENCUHp6bi85czhmMGhJcUx2NHVXd21LS2lvdTJ4aHhrZThJR0drVWdrRWdnRUxyWXM2Ky9HbUlzY3gxbGVuM0xENGZDQnZtTjFIT2VFeEJsZmZmWFY1RjY5ZWkzdDJiUG5xa01PT2VSbnBhV2xsUWRZYnorTzQxeFduem9rUVhVb0ZOcldRdHRxTllZT0hRb0FtRDU5T3NhTkc0ZGV2WHBoNzk2OTJMVnJGL3grUDA0NDRRUk1uRGdSOTk5L1B6cDI3SWhJSklMSEgzOGNmZnIwZ2FwaTgrYk5TRXVyR1cvZnVYTm4vT2xQZjhJRER6eUFTeTY1QkgvLys5L1JwMCtmRk84aEVaRzNNUVExUUNRU2Vka1ljMVoxZFhYU255ZTBhZE9tdlZsWldXZWxwNmVmVjU4QVJDM24wa3N2eFlBQkEzRHBwWmRpM2JwMUdENThPRHAzcm5tTzVKUXBVN0I3OTI2ODk5NTd1UGJhYTlHclZ5K0VRaUZjY2NVVlNFdEx3MFVYWFZSYmpvamcybXV2eGZEaHd4bUFpSWhhQVlhZ0JuSWM1NjNtS3J1NHVIZ2ZnRVhOVlQ3VlQyWm1KdWJPL2ZaMWNmRWVvU2VmZkJLcVduc0xQR0xCcG5QbnpqamxsRk5xNXdXRFFheFpzK2FnNVE4Yk5xelo2azVFUlBYSEVFUlVoOC9ud3hGSEhQR2QrU0t5MzRNa2lZaW9iZVBBYUNJaUl2SWtoaUFpSWlMeUpJWWdJaUlpOGlTR0lDSWlJdklraGlBaUlpTHlKSVlnSWlJaThpU0dJQ0lpSXZJa2hpQWlJaUx5SklZZ0lpSWk4aVNHSUNJaUl2SWt2amFEV3AzaWt2V1lNSGxxcXF2UnJoV1hyRTkxRllpSVVvNGhpRm9WaGI1WVZsYU85ejRJcGJvcTllYXowQWtBb2k1MnA3b3VEU0s2UE5WVklDSktKWVlnYWxVK0xTbVlBMkJPcXV2UkVNYVkxUURnT003SVZOZUZpSWpxajJPQ2lJaUl5Sk1ZZ29pSWlNaVRHSUtJaUlqSWt4aUNpSWlJeUpNWWdvaUlpTWlUR0lLSWlJaklreGlDaUlpSXlKTVlnb2lJaU1pVEdJS0lpSWpJa3hpQ2lJaUl5Sk1ZZ29pSWlNaVRHSUtJaUlqSWt4aUNpSWlJeUpNWWdvaUlpTWlUR0lLSWlJaklreGlDaUlpSXlKTVlnb2lJaU1pVEdJS0lpSWpJa3hpQ2lJaUl5Sk1ZZ29pSWlNaVRHSUtJaUlqSWt4aUNpSWlJeUpNWWdvaUlpTWlUR0lLSWlJaklrL3lwcmdCUld4TU1CdnVvNnVYeGFWWHREd0MyYmQ4V255Y2lqNFJDb1M5VFZVZWlWR0g3b0xhRUlZaW80YmFwNm5RUnlVYk5BVDArLzNiVUhQUjNpTWlzRk5hUEtKWFlQcWpONE9Vd29nWUtoVUpWQUphcktsUzFkbjdDOVBMWU1rU2V3L1pCYlFsREVGRWpxT3FTaEYrNHRVUUVxcm9rSlpVaWFpWFlQcWl0WUFnaWFvVHk4dkpWcWxwZWQ3NnFscGVYbDY5S1RhMklXZ2UyRDJvckdJS0lHcUcwdExSU1JGN0cvdDM4RUpHWFMwdExLMU5kUDZKVVl2dWd0b0loaUtpUm90SG9mbDMrc2IrenE1K0k3WVBhQ0lZZ29rYXFxcXBhQWFBaVlWWkZSVVhGaWhSV2lhalZZUHVndG9BaGlLaVJpb3VMeXdHc3dyY0RQbCtOelNQeVBMWVBhZ3NZZ29pYVFGV1h4cnY4ZWRjTDBmN1lQcWkxWXdnaWFnSlZYUTRnV2pNRUlybzgxZlVoYWszWVBxaTFZd2dpYW9KSUpMSkRWVjhEOEVaUlVkSDJWTmVIcURWaCs2RFdqcS9OSUdxaTJJUGgrSU9DNkFEWVBxZzFZd2lpVnVXSWdZSExGSmlZNm5vMHhNNEtwQUV1K2c4TW5KL3F1alNFQUUvL3V5VHlhS3JyUWZYWE50dUhwZ0ZSdGc5cWxSaUNxRlZSWUdKV1Z1ZWY1QTRja09xcXRHdkZKZXRSVmxZT0FEekl0eUZzSHkyRDdjTTdHSUtvMWNrZE9BRFBQUFZZcXF2UnJrMllQQlh2ZlJCS2RUV29FZGcrbWgvYmgzZndPaTBSRVJGNUVrTVFFUkVSZVJKREVCRVJFWGtTUXhBUkVSRjVFa01RRVJFUmVSSkRFQkVSRVhrU1F4QVJFUkY1RWtNUUVSRVJlUkpERUJFUkVYa1NReEFSRVJGNUVrTVFFUkVSZVJKREVGRXpjMTAzMVZVZ2FyWFlQaWlWR0lLSUR1RGpqei9HUng5OWhLS2lJa3laTXVXZ3l3MGJOZ3lWbFpVQWdKS1NFZ0RBbWpWck1HM2FOQURBLzJmdnp1T2pLTzgvZ0grK3M1c0RDSUdBS0QrS2lwZ1dER0d6ejZ4VlViUWlxS0Nnb2xTOEN0WkNENG9IWHFpb2VPRFZGbEZFMm9vWGlyZEZoRUt4aUNqZTRzNHpTU0NBalRZVlBCRGtDQnZJc1R2ZjN4K1pqWnNRSk1kbU55SGY5K3VWVnpMUFhOK1oyZU9iNTNubUdXYkdwRW1Uc0dyVnFnUkZMa1RMay9lSE9GaTBxYWZJOSt2WHIzUEhqaDF2SUtKZk12TlJBUFlDK0F6QU5LMzFtMDNZcEh1emRvOEFBQ0FBU1VSQlZLR1Uya3BFOTF1VzllZG9vVkpxQkJFdEEzQ0taVm52eHBUL0F3QnJyY2MwSlg2bDFKdEU5QXZIY1g1dTI3WmRaMTZJaUM2eUxPdWZUZG0ydTQxZkVkRVVBUDJZMlNHaU5aWmxuZGJVN2NYd0txV3l0TlpiNDdDdE51SDU1NS9ITWNjY2cyT09PV2FmZWUrKyt5NjJiOStPYzg4OXQ2YXNxcW9LVTZkT3hhMjMzZ29pcWlsLzVaVlhzR2JOR3FTbXBtTFJva1UxNVZPbVRFR2ZQbjBTY0NSeDFlNWVCNkorOHY2SUg2VlVENjMxZGdDUkZ0ekhMd0RjQ09BRUFCa0F2Z093VW10OWVUTzIyYUxmWjRuU1pwSWdwVlFQQU84UVVTbUFHd3pEV084NHpxRUFUbUhtbnpSeHN3NkFmd01ZQnVEUE1lWERBVVNZK1hRQTBTU0lpT2dYQUc1cDVxR1VFZEZqN29zeGJ2WEFlWGw1RnhMUjM1ajU5OHo4TGpObmVUeWUwNXU2dlQ1OStxUjM3ZHIxVENJYURXQVVnSHNCekl4WHZLMVpLQlRDMjIrL2pROCsrQURoY0JpaFVBakRodzhIQUZ4eXlTVklTMHZEMTE5L1hXdWRsSlFVWEgvOTlaZzVjeWF1di81NkFNRDc3NytQbDE1NkNRc1dMRUNIRGgwQTl3dml4UmRmUkxkdTNaSndaSTNYbmw4SG9uN3kvb2k3Y2FacDNzek1yeFBSYTZXbHBTdUtpNHNyNHJWeHBkU1ZSUFFBZ0FlWStSYkRNQ29jeC9rWkVWMGFoODIzeVBkWklyV1pKTWc5MGQrWGw1Y1BMU29xcW5TTFB3ZndZVE0zL1M4QWY4dk96azZMZWVFTlorYTMzZVRvZGdEdysvMTVBTG83anZQdjV1eU1tWjhIY0w1U2FyTFdlbll6WTY5aEdNWklabjViYS8yc1cxUUNRRGRtRzMzNzl1MlNtWmw1dHZ1Rk41eUlNbUxpNW5qRjJ0cTk5TkpMR0Rac0dLWk5tNGJDd2tMTW1qVUxUejc1WkszNTlUbjU1Sk9SbTV1TDlldlh3M0VjUFBiWVk3anJycnR3NzczMzR2Nzc3OGVtVFp1d1lNRUN6SjQ5RzVtWm1Razhvc2FSMTRINE1lMzkvZEZDdWhQUkZRQ3V5TXpNTEZWS0xRV3dNQktKL0t1Z29LQ3NxUnYxK1h3bUVjMWk1bEZhNjMvRnpOb0FZSEZ6ZzI2cDc3TkVhaE5KVUc1dTd1RUF6Z053U2t3Q0ZCZVJTR1M1eCtOSjc5U3AwNGtBVnZuOS9qNUUxTmR4bk1tR1lmd3JPenM3czdpNHVOUXdqQ0hNL0psdDJ5WE4zR1VwRVYwTllKN1A1MXRZVUZDd09SN0hRVVFiQVV6MSsvMG4yYmI5ZmtQWDgvbDhoeHFHY2E3N2hUZVVpRktqMzNQUjMyNzFOZjM0bGc0ZVBYdjJSRnBhR2hZdlhvek5temRqKy9idFdMejRoOCtMeXNyNlg0SzdkKy9HODg4L2orZWZmeDdISG5zc25uenlTWGc4SG93WU1RTGp4bzFEV2xvYVpzK2VqWDc5K2lYd2FCcEdYZ2Vpb2Ryait5TVJZdjYveUNTaWl3RmM3UFY2OTVpbStRYUFoVVMwSkJnTTdtck1OajBlenlRQTc5UkpnT0twUmI3UEVxbE5KRUVwS1NtS21WbHIzZHhhbjMwVUZCUjhaNXFtOW5nOHd3Q3NJcUlSQUQ2MGJYdWxVbXBYUmtiR0VBQ3ZBemdOd0J2eDJLZGxXUytacHZrcmo4Y3p4MDN1bW0zNzl1MHpzN0t5Y29qb1hkTTBYeUdpVzRMQjRPZjFMZXQrNFkweERPTmlBSU1BZUdLLzhHTGI3T3YrNDIrYTVpejNHS2FndXFwMUZUTS9iZHYyZktWVUhvQ0hBRnlqdGM3MysvM2ppZWh5cmZXUWhxNWJXc0dkNG5FK21xTzB0QlJsWldVb0t5dkR0bTNiVUZsWmlXKysrYVptZm5wNitqN3J2UEhHRzVneFl3YU9PKzQ0WEhmZGRYam5uWGRRV2xxS3BVdVg0dGxubjhVSko1eUE2NjY3cmxWVjh4TTR4ZS8zVHlLaThRQitUa1Iwb05jQkVmMUJLVFV5YVVISFVmNjlNd0QzZGRqVWJVeTlwNkRaMjJpTTBuTE9hTUJpTFJ0RE8zbC9lQXgwY3E5cmt6L1BHcnB1VkQzdnVZNEFSaFBSYU1keEtwVlNLNWw1SVJHOTNwQytlVVJrTXZQU3VKK2NHQzN4ZlpaSWJTSUpBcEFLQUwxNzkwN1p2SGx6R05VdnVGY0FqSERuLzB0ci9jdW1idHh4bkg4UjBla0Fwcm45Z2Q0QTRCRFJTcmRKN0o4QVRpYWl2OGZyZ0lob0VqT3ZNMDN6Zk11eUZqWjNleVVsSmVVbEpTV1g1dVhsUFc0WXh2MEExcHVtZWFWbFdmdkU3UEY0bUptcm1IazNFVG5NN1BtUk9LTi9IckFaaEptSmlNRE1qYTR0aUs0TFRuNU53OFVYWDR4ZHUzYUJtYkYrL1hwOC92bm5HRHQyTE9CK3dMLysrdXY3ckpPZG5ZMkhIMzRZcG1saXk1WXQ2TjY5T3hZdFdvUXZ2dmdDRHo3NElBWU1HSkNFSS9seFZIMnFxNGlvREVDRFhnZlNHaWJheS9zaitsblVuTSt6QnE3YmtNOVdFSkdIbVRzQlNJMUVJZzJLaVpsVEFhUkVwL1B5OHBSaEdEVTMremlPYzNKK2ZuNmp1azNVSjk3Zlo0blVKcEtnU0NUeWhkZnJwVU1QUFRSbjgrYk5RVlQzZ2JuS2ZVRk1CNURWekYzOGk0aHVVa3IxSUtJaHpIdzNxbDlBYnhEUkRYbDVlUUVBSGN2THk5K095d0VCQ0FhRFh5cWxwakh6STluWjJVMjVzNjFlK2ZuNXF3QWNiNXJtZEdhZW01ZVh0eW8vUC8rejJHWGMveURtQVpqbjkvdTdHb1l4RXNBRkFNNEUwS0h1RjExc00wamQvMXlpLzlrQWdIdUhRT3owZkFEem85TU5XYmRQZjMrcnVGZDJ6Smd4T1BUUVExRmVYbzR0VzdaZzh1VEoyTEZqQjg0ODgwd2NkdGhoK3l4LzVKRkg0cnZ2dnF2cEVQclRuLzRVZ3djUHh2RGh3M0h5eVNkandJQUIrUGJiYnpGanhneE1uRGdSZVhsNVNUaXEyaHlneXJidHhyNE8vcXExUGlnNlJsK3o0SGtHZ0ljR0hEUGt3RXZYYi9selZ6TUFISmJ6Y0pPMzBSankva2ljQ0NOVTV6T3EwWjluRFZ6M2gvODBZNXFlM1NTcUFzQmJ6UHhhSkJKNXZhQ2c0THRHSHNZWFJGU1RZWmFWbFJWbFptYjZIY2ZKTWd6akU4TXc5dnVQVDJPMDFQZFpJclNKSktpZ29NQTJUWE1ETTk4TzRGeFVuL1J2VUYydHVLdTVTWkJ0Mng4cHBVb0JUQVZRb2JXMlVKMTh2ZUgxZWgvM2VEeVhNUFA3UlVWRm9UZ2RFbEQ5cHBtamxMbzBNelB6WGdEaGVHNjd2THg4Wm5wNitoMkdZZlIzaHhHb2wyM2JPd0VzQUxBZ0p5Y25JelUxZFFRUmpTYWlrUUE2eDN3UnRyc3FnQ2VmZkJLZmZmWlpUY2ZQMTE1N0RaczJiYXAzMlczYnR1R3V1KzRDQUlURFlXaXQ4Y1liYjZDeXNoSXpaODVFYVdrcEhuLzhjWXdmUHg0K255L0JSM0pnOGpvUWpkV2UzaDh0ck9ZOTVTWStJV1plenN5dmhVS2hmeFlYRjVjMlk5c3ZNUE1DcGRTeFd1dFAzWnQvaWdPQndDSHhydFZ0eWUremx0UW1raUMzcXY0S0FDdE0wM3paY1p5SHd1SHdKcS9YMjVPWmM0bW9Kam54K1h5OW05QTVLMEpFSzVoNUhET3ZpTjdxVjFCUXNGa3B0UjdBT0dhT3ZZVWV1Ym01aDY5ZHU3YitkM3dqamlzY0RrL3dlcjFyM0Z2d2dlcXE0MHdBYU15TFh5bDFONERQRE1OWVUxbFpXZW54ZUg0SFlIZEZSY1VuRGQyR20rUzlBdUNWN096c3RNek16RE9ZZVRRUm5TTWRZbjl3empubklCS3BQYVJIejU0OThiZS8vUTNNakx2dXVndEhIWFVVRGpua0VBREErUEhqY2Q5OTkySDI3Tms0NmFTVGtoUjF3OG5yUURUSHdmNythQUhFek5zQkxIRWM1N1dkTzNlK1VWSlNVaDZQRFd1dFgxUktuUTlncVdtYXQ3bGRQTURNcDhRdTE1TGZaNjFkbXhreFdtdjlJUkg5M08ycnN5Z2xKYVdZaUY0RzhJM2pPUGVpK2paMnY4ZmpzZngrZjZQSHgzSDdCZlZnNWxxZG40bm9EU0xLTWd5ajV0YjQzcjE3ZDBoSlNWbXRsSnJhM09NcUxDd3NKS0taUkpRYUxjdkl5TGlzYytmT0gvajkvZ2FQRnNiTTN3QzRtWm10bEpTVVQ0aElNZk9aUlVWRjN6WWxydUxpNGdyTHNwYll0bjJGWlZrOURjT1kzNERWRGxwZmZmVVZ2dmppQzZTbnA2TkRodzdJeU5pM2YrcjI3ZHR4L2ZYWG83UzBGRk9uL3ZEU3VQRENDM0h6elRkajZ0U3BtRHQzTHJadDI1Ymc2SnV1SlY4SGZyLy9Vci9mZjI0REZxMUZLZFhETkUwZnFtdUNmWDYvLzVMOWJkODB6WG9IQ3pWTmM4NVhLNW8xMnNXQll2eUxVdXJXRnR0Qks5TmUzeC94WUJqR2ZLMzFZVnJyeTIzYmZqMWVDWkNMdGRaakFkd0Q0SS9Ndk5aeG5EWE1QQW5BMUVna3NyNmx2ODlhdTdaU0V3UlV0Nk91QjNEUi91YmJ0bTM3L2Y3TERjTjRWU24xSzYxMWc4ZEJzRzM3YVFCUDE3UFBLUUJxdGYxdTNyeDViMVpXMWxDdjE3dlNIVUgzcG9ic1EyczlyTDV5eTdLbXVaMnlvN0hNVlVyMUpLTDNBNEhBS2Z1N3k2dE8vSE1CekcxSUhFMFFEZ2FEN2VxVEtUYzNGNGJ4dy84STgrYk53ODZkTzNIOTlkZGo3OTY5UVBYckFJWmhJQ1VsQlMrOTlCSWVlK3d4akIwN3R1WXhBdHUyYlVOVlZSVThIZy9HakJrRDB6VHgwRU1QNGF5enpzTEVpUk14Y2VMRXBCMWZFOVY2SGJoM3ZEemFpUFZEV3V1ZTBRbkRNTDVrNXZ2ZHV5K0I2dVRrbndDR01uTUUxZitFZExJc0t5VzJlcDJJSG1IbXJRQ3VKS0l5d3pCbUR4Z3dZUG02ZGV1MjE5bmZWOHk4VUNrMVhXdjlTTk1QVzlRbDc0LzRTY0JucStPTzRiUGZjWHhhOHZ1c3RXdFRTVkJEMkxhOVRDbDFUamdjYm03VjNvOHFMQ3o4d3Vmem5lenhlUHEzeFBhMTFyY3JwWXEyYk5ueWRRTVdGM0UyYTlhc1d0TjMzSEZIemQ4ZmZ2Z2hKaytlRE1Nd2NNRUZGOEF3RFBoOFBqejExRk00NG9nanNIMzdkcHg1NXBud2VEdzQ5OXh6YSs2czZ0dTNMMmJQbm8zTm16ZlhqSkRibG9WQ29SZTdkT2xTNi9aYlpyNEl3T1ZFTkx6dThtVmxaUndJQkk1ZzVwb3FHQ0tDYVpvYjNIVmZjNHRIYTYyWG02WTUwdTBIV0pNQStmMys4UUFHN2Rtekp4ZlZYeUNmSzZXZVQwdExld0xBK2JIOUsyemJmdHZ2OTU4R1lKemY3LytsWVJqWHhjVFpaL095cGZqdS9mZGhtdVpIcU82ck1xbWdvTUNLNHlsU01YRjNKYUxubVhsU0hNWWFTenA1Znh4Y1d2cjdyRFU3NkpJZ1ZDY1E3eVJpUDI3Zm94WWJIRXByL1dKTGJWczB6TUNCQTJ1Tmhnc0Fnd1lOd3BvMWE0RHEyZ3dBcVBVTXBXN2R1dFhNcjAvdjNyMWJMTjVFY2p0WjFocmUzKy8zaHd6RCtMR2F3KzhEZ2NCZ1psNUFSS09Dd1dDVlV1cjNBSTdRV3QvaTFnUkYzUXBnUm5RaUx5OXZzR0VZczhQaDhCa2JOMjdjSFMzZnNXUEhqZDI2ZGZ2WU5NMVpsbVZkNi9icE0vTHk4bzYxYmZzVEFMWnBtcE9aZVNNelQwZDE4blhuWWFmOFlselB3U2ZqbzJ1dXVvaUlGaGlHMGFSaGlpZGN2d1pLcWRqRTVuYjM5M2srbisrb2NEaTgxVENNSmN5OHliYnROamVZM0krUjk4ZkJvNlcvejFxck50TW5TSWpXeERDTVdzMEJvcFlPU3FuNVBwK3YzcUYvZzhIZ05tYitMek5mNXQ0RWNDMkFXdU5aS2FYT1llWkl0RW5iNy9lZjZ2RjQvdWs0emg4S0NnbytqbDIycEtTa25KbEhBRGhUS2ZWYUlCRDR2MEFnY0pSaEdQOVVTdDBaN2N4TlJMdHQyeTZ4YmJ1RWlIYW5aR1FndlVjUHVEVXpUZTZITVhONkhnekRPTll3akdQZHg5VnNqZTdQNi9YZWxwNmV2Z0pBc2RiNnNyWjAxMHh6eVB0RHRCWHlLaFZDeEpzQm9NcnI5ZHFtYWQ0U1crTnNtdVpscG1rV0U5RlpBS1psWm1adUFOQ0xpRmFhcHJreXVod1JtVVFVOGZsOG5aUlNnd3pEV01yTVY5cTIvWHg5TzlSYWYwMUVKeE9Sd2N5RkFIWXg4MGxFZEtGcG1tWkxIbXlYenFrSUJvUGI5dTdkV3c3QXQyUEhqbFdvYm5KN0JzREZBTlpibG5WRlczM0FwQkFIczRPeU9Vd0lrVlJsV3VzSnBtbSt5c3lQSzZYT2RSem5WL241K1o5WmxyWEFIWStvWHRIbU1NdXk3akJOczRmWDY1MWpXZFp2bEZJbkFyamZOTTFIM0JGd1V3SEVQbGd5MVhHY1JWcnJVWUZBb0wvYkhMY053RUFBWWRNMEJ6SHpXVXFwUmFoT1VIemZ2cjBLTzlldWhWdlc3TUZwVWxOVHh4SFJpcEtTa3ZLc3JDd0ErQTdBRXdCNnlQaEtRclJPa2dRSklWcUVaVm5MQTRHQW41a1hHSWJ4Y1NBUTZCTU1CbmY1L2Y0SmhtRk1pRjJXbWNOYTY4R3haVVIwQXpQL1R5blZYV3VkSDMxTWp0dUg2RVN0OWJqb3NuNi9meUlSSFlmcTVyWU4wWEtsMUNWRTlJRzd2VFhSOGI2STZJYXNnYjZqZWh4M1BMWUZQNTBCb0RGM3VkWEhTMFJUSXBISXIyTUxLeW9xYms5TFM5dm85L3QvYWR2Mks4M2NoeEFpenFRNVRBalJZb0xCNERiTHNrWXc4OW5SSjJBYmh0RWJ3QklpR2huemsxdlB1bnNBZkE3Z3lEcXpmZ3JnUDdFRlJOVEJmUVlhNnBUUGlFUWlmZDNKclZyclQ3WFdud0xZbXRhOU96cjM3UXQzZW5mZGRSdkQ3L2RmQTJCcmZuNytlN0hsNjlhdDI4N01WeG1HOGNUQWdRTUhObWNmUW9qNGt5UklDTkhTMkxidEQrcVVsUVdEd1czUm56cnpqbEJLNVptbWVUSXovd3pBLzJMbUVSR2RSMFMxbnVOSFJKMlplVTlzbWZzazd4NjdkdTFhM2RCQXM3T3pNNk1qdGpmVTE5L3VoV0VZdHdHNHFyNzVXdXNYbUhtKzErdGRvWlRLYWVwK2hCRHhKMG1RRUtKVlllWmNBSzhCbUV0RU43a1AvQVdxK3d4ZHpzd1J5N0xlcTdQYUlRQjIxU2tiQldCMVkwYmdiZXhvN2VVVkVjeVl2UjZPNHp6aDFpalZJS0thZmtCYTZ5a0EzaWVpRHdLQndCRk5HUlZlQ0JGLzBpZElDSkZ3ekh5N1V1cWFtS0tPMFQrSWFKbGxXZnZVcXZqOS9rc0JQQXhnSkFBak56ZjNrTFZyMTM0ZkNBUzZPbzR6MG5HY1A4WXVUMFFqbWZubG1LSmZLNlhHdVB2SGw0c1c0Y3RGaTZDVStqYjZFT2JHanRZZURqTisxamNESlp2MlRNM0p5VWtGMEkySUtnSGtNZk0vWWhmVldvODFUZk5Yd1dEd1N3Q05IaFZlQ0JGL2tnUUpJUktLbWNzQlROTmEvelZhWnBybWp5VUJIcVhVUXZmWmdlZHByVmZuNU9Ta3BxU2tmSzZVNnVCdTc0WDgvUHhhRHdOajVzMk80OFErQy9BcHJmWGs2TVExNjlZekFEdzA0SmllU3FrM28rV05HYTA5bzVNWDEwejRHZTU3OEY5VkF3WU02SmFXbHZZTk16c0FnbnYzN3EzYkVUcHNXZFpUVGRtUEVLSmxTQklraElpYi9UMkRMNWJXK3Y2NlpaWmxIZTMrSGxuUEtoRUFkNGZENGZVRkJRVmxxSDdTZlNXQTZGTTZxYjViMExYV1kySzIvMmgwME1UOXhEU3N6blNqUjJ0M24xM1dxRWRueTZqd1FpU1hKRUZDaUZhdmJuK2JPaG95QmcvTFdEMUNpTG9rQ1JLdFR0R0dqYmg0L0lRR0xDbWFxbWpEeG1TSElKcEkzaDh0VDk0ZjdZY2tRYUpWWWZDUzB0SVFQdm9rbU94UUdzeGpvQk1BUkJ6c00wNU5xMGE4T05raHhESk5NOXR4bkZ6YnRoZlZNMjhCZ0FXV1pTMnZPeTh2TDAvbDUrZnJadTU3T0RNdkEvREgyTDVLclUyYmZIOVFkYk5saEJGS2RpeU4wc3JlSDZKbE5Lcjl1aWxpT2grMitMNkVTQWFsMUNwVU45a01TWFlzYlpsU0tvK0kvZ1ZnU25sNStWS3YxMXR6KzdqWDY3MFB3RC9ENGZENzduVEVzcXoxL2Z2Mzc5NmhRNGQzQUx4bkdNYTF6THlMbWIrcXUyMzNtV0tHMXJybUVlWFJ6NmFWRjExNHROZnIvY2g5dGxkcU9Cdyt0ckN3OEl1NjIvRDVmTDI5WG04Sk0zOGJMVHVrVzlwUEFHRGI5b3F2WXZiVk14d085M0dmeXQzdXlmdEROTVdXb3FzWkFBN0xlYmhGY3dlcENSSkN0QXBhNjN5M1J1YnhsSlNVLzNvOG51aHQ4dGtBam1mbU16d2V6eElpS25lZkcvYTdEUnMyZkI4SUJJNXpIT2NSeDNFR0FZaG9yZmNaZXljUUNCekN6SGJkOHZKdFcrSDFldDhDVUZSUlVURXlQVDM5V2EvWHUzTGd3SUZENjB1RUFKUm9yYk9qRXpFZjFEWEpsV21heGZFN0swS0lsaVJKa0JDaVZjak56VDNNc3F3Q0FNZTUwemVucEtSY1EwVE16Tjh4ODRlR1laek96QzlYVkZRc1FuVlQyRStxcXFwMkZoUVUvQWJWQ1loSEtWVlNkOXZNdk0vQXNMczJia1RSSXc4RHdHZTdkKzhlVTF4Y0hNck96cjZvYytmT0MxSlNVdDVYU3YxS2EvMW1uZTMwTmszem8rajBOZE9yODZyWU1tYnVEU0ZFbXlCSmtCQ2lWVWhOVFgxZUtWVlNVVkZ4ZFZwYTJ0OEIvQnpBM1pabFBXdWE1ZzFFOUZaWldkbWNUcDA2WFp1V2xwWnZtdVpWanVNYzd2RjQvcUNVK3EzV2VpVXpIN0FtS0Njbkp6VTlQZjNtZ3Z2dVJkYkFYSHl2OVEwZE8zWTh3dWVyZnBCOEpCSzUwK3YxM2dUZzM2WnBQczdNZDJpdG8yUDVmQk1PaDJ0dXZaOTJWZjlOQUhESkh6K3NLZk40UE84bTRud0pJWnBQa2lBaFJLdFFYbDQrSWowOS9lL3A2ZWxYQVpnTzRMY0FyalpOODJwM2tiR2RPblVDcW10YnhtcXRWd053L0g3L2VzTXdiZ0N3aW9nT1dCT1VucDcrSUlCQlI0OGJoNjBmZnd3QU16MGVUOTNsQWVCQ0FKY3o4OVVBcGpxT1F4NlBwNnFnb09BcnY5L2ZCUUE2cEZkL2hCcUdVZFBwMXpDTUFWcnJXczh4RTBLMFRwSUVDU0ZhQlhjQXhGOUhCejgwVGZNSUFMZld2U05NS2ZVcUVYbmRqc3l3YlhzcGdLV29UbDV1cTI4d3hrQWcwSkdacndXQWNEZzh0YUNnWU04cHp6N245RHB0S0I0YWNNeXd1c3ZIZURWNkEwbGFXbG9uWmc3NWZMNGVSUFJ2QUxqeG5ueWd1ak4welFOZG1Ya3BnR2x4T3pGQ2lCWWpTWkFRb3RVd1RYT2s0empzSmpaZzV0bW1hWmJHTHNQTWZRSDhMVHFkazVPVGtacWFlcTV0Mjg4QjZOK25UNS8wNkVOVGxWSnZidDI2ZFZRd0dDeFhTbTB3VGZNMHk3TGVBb0ExTjF5SHFsQUlwbW5XZllwOTFDNTNKR3QyOTlzVndJNkNnb0x2QVBnQllQbHpOUjJqL1MxNFdvUVFMVVNTSUNGRXE4SE01eHFHOFZtMFpvZUlycXF2SmloMk9qVTFkYWhoR0hjQ2VBN0FzS3lzck0renNySVl3SElBdVljZWV1aU5QWHIwdUJUQVc4eDhXM1M5cWxBSWdmdnV4MTlQT3ZHUXVuRzRmWWpxM3VWMURJQU5ibk9iRndCR2puOFBHUjA5VUVyVnZSMCtYRi9mSkNGRTZ5SkprQkNpMVNDaWdPTTR6MFduRzFJVFJFUWptTG5tNGFrVkZSWDlpb3FLUXFoT21MNEZrR2NZeGptaFVPaXJEaDA2akFYd2VGTmlZK1lUQVh5b3RmNGpxbXV0L3BqZEoyUE9BOU1HWXVTNDFmMDhIczlOVzdkdXZYZno1czE3bTNyOFFvakUydWUyVVNHRVNBYTMzMDdPM3IxN2c2aE9PdDRKaDhNWFdKWjFiT3dQZ0Z1SUtIWkF4T0d4U1pETGs1ZVg5ek5VZDdnZUZ3d0dOM1RzMkxFZkVmMjJLYkgxNmRNbkhjQW9BRXNBd08vM253ZGc4dlJyYzVDVzZrRkJRVUVaRVdYMDZORmpaZi8rL2JzMzR6UUlJUkpJYW9LRUVLMUNKQkk1aVlpKzJMaHg0MjVVRDU1WTcrTXJ0TlkxdFVCS3FSd2k2clZuejU2VnFLNFY4cVNscGYzT05NMUp6UHd5RVZWNnZkNmZBYkNJNkRSbXRtSzNGYnpsNW1odFVTMk80eERSRHdQVlptVmxYVTFFcXkzTDJxcVUrZzJBZWN5ODg2cmJOQXdDbEZKZkFHQWk2dEt4WThkVlNxbWhXdXV0Y1Q1RlFvZzRreVJJQ05FcUdJWnhLak92d1ErUFdzajZzZVdKNkdGbUpnRHZiZHk0Y1hkMmRuWW1nQzVFZEJ3elg2YTEvbEFwdGRmajhhdzJUWk9ZZVVja0Vqa25kaHVCZSsvRFgwODZzV2ZkYmRmdEU4VE1iemlPODVyNzl6OEFyQTZGUWx1V1BYdnlMc01nSEpiemNOOW9XRXFwV3czRDZCQzNFeU9FYURHU0JBa2hXb1hTMHRJSHVuVHAwZ09OZk01VWRuYjJxd0JRWEZ4YzZ2UDUrcmgzYjhIZHpsMEE3cXB2dlJQbXpJVlJaM3lncUdBd3VBMUExK2kwYmR0MnpOODdBZXdFQU1QWTU3RkdyTFcrdTZHeEN5R1NTNUlnSVVTclVGeGNYQXFndEFHTDFyY2VBQ0EyQVRxUS9TVkFRb2oyUXpwR0N5R0VFS0pka2lSSUNDR0VFTzJTSkVGQ0NDR0VhSmNrQ1JKQ0NDRkV1eVJKa0JCQ0NDSGFKVW1DaEJCQ0NORXVTUklraEJCQ2lIWkpraUFoaEJCQ3RFdVNCQWtoaEJDaVhaSWtTQWdoaEJEdGtpUkJRZ2doaEdpWDVObGhRalJTSUJENFAyYitiWFNhbWZzQWdHbWEwNk5sUlBSWU1CajhKbGt4Q2lHRU9EQkpnb1JvdkczTWZBMFJkVVYxd2hNdHZ3UFZTZEZPSXJvM2lmRUpJWVJvQUdrT0U2S1Jnc0ZnRllERnpBeG1yaW1QbVY3c0xpT0VFS0lWa3lSSWlDWmc1b1V4TlVBMWlBak12REFwUVFraGhHZ1VTWUtFYUlKUUtMU2NtVU4xeTVrNUZBcUZsaWNuS2lHRUVJMGhTWkFRVFZCY1hGeEJSTXRRdXhrTVJMU3N1TGk0SXRueENTR0VPREJKZ29Sb29rZ2tVcXRKelAxYm1zS0VFS0tOa0NSSWlDYXFxcXBhQ3FBOHBxaTh2THg4YVJKREVrSUkwUWlTQkFuUlJFVkZSU0VBeS9GRGgraC91MlZDQ0NIYUFFbUNoR2dHWm40dDJpUW1kNFVKSVVUYklrbVFFTTNBeklzQlJLcTdDRVVXSnpzZUlZUVFEU2RKa0JETllOdjJUbVplQVdCbFlXSGhqbVRISTRRUW91SGtzUmxDTkpNN2NLTDhReUdFRUcyTUpFR2lWVG1xdjM4aUE1Y2tPNDdHMkZYT0tVQUVmZnI3TDBwMkxJMUJ3UFAvM1dEUFMzWWNRZ2lSTEpJRWlWYUZnVXN5TXpOT3plbmZMOW1oSE5TS05teEVhV2tJQUNRSkVrSzBXNUlFaVZZbnAzOC92REQvOFdTSGNWQzdlUHdFZlBSSk1ObGhDQ0ZFVWtrL0JpR0VFRUswUzVJRUNTR0VFS0pka2lSSUNDR0VFTzJTSkVGQ0NDR0VhSmNrQ1JKQ0NDRkV1eVJKa0JCQ0NDSGFKVW1DaEJCQ0NORXVTUklraEJCQ2lIWkpraUFoaEJCQ3RFdVNCQWtoaEJDaVhaSWtTQWdoaEJEdGtpUkJRZ2doaEdpWEpBa1M3Y0tRSVVPd2MrZk9ScTN6NktPUFl1SENoZnRzSnhRSzdiTnNSVVVGM256enpXYkhDUURmZmZjZC92em5QOGRsVzBJSUlmWlBuaUxmT3BCUzZnb2ltc2pNdVVSRUFEWUIrSnRsV1E4bE96Z0FYcVZVbHRaNmE3SURhU3JIY1dBWXRYUCsxYXRYbzdLeXNsYlpMMzd4QzZTa3BBQUFLaXNyVVZWVnRjOTJ2TjU5M3phaFVBano1czNEbWpWcmNPT05OK0tFRTA2QXgrT3BONWFxcWlvRWcwSHMzTGtUcDU5K09ycDM3NDQ5ZS9iZzdMUFB4dFNwVXpGcjFpeDgrT0dIK09TVFQyclc2ZG16Sng1NTVKRm1uUU1oaEJDMVNSS1VmSVpwbWk4dzgwbU80OXpCekt1SnFDT0FQQ0k2SmxsQjllblRKNzFyMTY1bkV0Rm9BS01BM0F0Z1pyTGlhYXJISG5zTTY5YXR3OTY5ZTNITExiZlVKQ1l6Wjg3RUhYZmNnWk5PT3FrbTZWbTJiQm1XTDErT2dvSUNQUERBQTlpOWV6YzhIZzllZi8xMW5ISEdHWGp1dWVjUUNvVXdhdFFvQUFBejE5VCtkTy9lSGZQbXpjT1VLVk93ZnYxNkFNQmJiNzJGamgwNzFvb25IQTdqK09PUHI1ays5TkJEc1hUcFVreWZQaDAvL2VsUHNYejVjcXhjdVJMVHAwL0hrQ0ZEQUFDMzMzNDdEai84OEFTZE1TR0VhRDhrQ1VveXY5OS9KWURUcXFxcXpMVnIxMjZLbVdVbk9wYStmZnQyeWN6TVBOdE5mSVlUVVVaMEhqTnpvdU9KaDFOUFBSVjVlWG40OU5OUE1YYnNXS1NtcG1MU3BFazF0VUxYWFhjZHVuYnRDZ0I0KysyM0FRQ25uSElLVGpubEZNeWFOUXU5ZXZYQzJMRmpBUUNYWFhZWkJnOGVqQlVyVm9DWk1Yanc0SnI5RkJjWG8zdjM3bmo4OGNkQlJCZzBhRkM5TlVHR1lXRFFvRUg3bEgvNjZhYzQ2Nnl6OE1BREQrQ3h4eDdEMUtsVDBiTm5UeXhidGd5N2QrL0dwRW1UV3V3Y0NTRkVleVZKVUpJWmhuRWxNOCt1a3dBbGpNL25POVF3akhQZHhHY29FYVZHODUzbzcrcldPVkF5NG11dW4vM3NaNEI3TE1jZmYzeE5yVS9kcHJINlZGWlc0djMzMzBkSlNRa3lNakxRcVZNbmRPL2V2ZDVsVjY5ZWpaZGZmaGtQUHZnZ2NuSnlNSHYyYk15YU5RdExsaXlwdGR5cnI3NktPWFBtMUNvcktTbEJabVltZnY3em4yUE9uRG5vMWFzWHpqMzNYUHoydDc5RjE2NWRNWC8rL0pxNGhSQkN4SThrUVVtVW5aMmRDZUJvQUI4a2NyOXU0alBHTUl5TEFRd0M0SWxOZk55a3AyWTZsbW1hc3dEQXNxd3BBS0NVV3NYTVQ5dTJQVjhwbFFmZ0lRRFhhSzN6L1g3L2VDSzZYR3M5cEtIcmxsWndwM2dmcitNNGlFUWlTRTFOUlRnY3JyZFBUNngzMzMwWGYvN3puN0ZseXhZTUdqUUlaNTk5TnJwMjdZcXBVNmNDQUw3KyttdjA2dFdyNXR4OC8vMzN1T0tLSzVDV2xvWVpNMmJndWVlZUF4Rmh6NTQ5bURCaEFzNDc3endBd01pUkkrRTR6ajc3Kzg5Ly9vUER1M1lGaFFBQUlBQkpSRUZVRGpzTU8zYnN3S3BWcTdCOCtYS2twYVhoN3J2dmh0WWE0OGVQUisvZXZURml4QWhjZE5GRmNUc3ZIa0tHVW1wVjNEYllRTXo4dkczYjh4SzlYeUdFcUV1U29DVHEwcVZMcXB0MDFQeWJyNVM2eXUxL0F3QWhyWFhQZU8vWDQvRXdNMWN4ODI0aWNwaTUvaDY4UDlRQ0FjQUJtOE9ZbVlnSXpOem9XcVBvdXVENDF6aUZRaUZrWkZTMzdEVWtDVHJxcUtQdzRJTVBZc21TSmVqVnF4ZHljM05SV1ZtSnNySXkrSHcrWEh6eHhaZzdkeTQ2ZHV5SVVDaUVzV1BIWXNtU0piajAwa3R4L3ZubjEwb2kwOUxTOXVrWFZOZVFJVU13ZCs1Y0ZCVVZ3ZVB4NElFSEhrQ3ZYcjN3NElNUElqYzNGemZkZEJQV3IxL2ZvTnFyTnNEdm5oOUpnb1FRU1NkSlVCSUZnOEh0cG1udVl1WUJBSmFqT2hsNHhqQ01aUUNHTS9QOUxiRmY5eTZ2ZVFEbStmMytyb1poakFSd0FZQXpBWFNvVy9zVDJ4d1dyY1dKMmRhUTZOKzJiZHNBWXFmbkE1Z2ZuVzdJdW4zNisrTmVNL0g5OTkralM1Y3VRQU9Ub01NT093eEVoRzNidHVISUk0OUVPQnpHbi83MEp4eHh4Qkc0Nzc3N3NHN2RPdlRyMXcvWjJkbFl1blFwUEI0UE9uVG9BTWR4OE41NzcySFlzR0VnSWtRaWtRUHVDd0M4WGkrR0RSdUdMNzc0QW0rKytTWmVlT0VGQU1ET25Udmg5WHJ4NUpOUEFnQ21USm1Dbkp5Y3VKd1RBSWd3UXJIWElCR1NVZk1raEJEN0kwbFFjamtBWGdJd0pTY241KzlGUlVVaDI3WjNBdGlwbFBvMkVRRzQrMXNBWUVGT1RrNUdhbXJxQ0NJYVRVUWpBWFNPU1lqYVpNZG9BRmkvZmoyeXM3TUJkenlmQS9XdktTZ293SlZYWG9rZVBYcmdEMy80QSs2NTV4Nzg3My8vdzh5WjFUZkhEUmd3QUFBd2J0dzRYSC85OWJqMDBrc0JBQnMzYnNUOTk5K1BZY09HQVFCS1MwdVJtWm5ab0JoNzkrNk5EUnMyWU1TSUVlamZ2ejlNMDhSZi92SVhISDMwMFJnOWVuU3pqbDhJSVVUOUpBbEtzajE3OXR6U29VT0hVOVBUMDFlYnBqbWRpUElkeDhrQThJdEV4MUpVVkJRQzhBcUFWN0t6czlNeU16UFBZT2JSUkhST1crMFlEUUQ1K2ZrMWlVdGxaZVVCazZCQUlJRGx5NWZqODg4L1IrL2V2WEhXV1djaEx5OFBxYW1wK1BMTEw1R1ptWW11WGJzaUpTVUZkOTU1SjA0Ly9YUUF3Sm8xYTNEODhjZlhOSWNWRnhmanlDT1AzR2Y3SlNVbDJMUnBFd1lPSEFnQVdMQmdBZDU4ODAyTUdqVUtUejc1Sko1Kyt1a1dPQXRDQ0NIcWtpUW95VFpzMlBEOXdJRURUL0I2dmJjQ21BM2dKMFMwalpuWE1mUHZraFZYY1hGeEJZQWw3bzgzRUFoMFRWWXN6VkZaV1lrVksxYmdxYWVlQWdDVWw1Y2pMUzJ0WnY2WU1XTnFrcFpkdTNiVmxMLzg4c3NvTFMyRlVncFBQUEVFeG80ZGl5RkRobURGaWhYWXZuMDdicmpoQm5UdjNoM1RwazNEc2NjZWk2eXNMSHp5eVNjMUNkSDc3NzhQd3pEUXQyL2ZmV0w2NzMvL2k2VkxsOVlrUVlaaDRKeHp6c0dvVWFQd3pEUFBZTUtFQ1VCTWMxZzBLUm8zYmh3dXVPQ0NGajFmUWdqUm5rZ1MxQW9VRmhidUFIQ2QrOU1haFlQQjRMWmtCOUVVcjc3Nkt2cjI3WXVxcWlwczI3WU5uM3p5Q1hyMjdGbHJmblNjb05OT093MXcreEM5OHNvcmVQSEZGd0UzK1pnOWV6Wk9QZlZVakIwN0Z1ZWRkeDdHalJ1SHZuMzc0c3d6ejhTamp6NkthNis5RnA5KytpbW1UWnVHa3BJUzNIWFhYYmo3N3J0cnhXSVlCaW9xS3JCcDB5YjA2dFdycHZ5U1N5NnArZnYxMTErditWdWF3MzdnOWwzYjRUaE9sdHVFSzlvQnVlNmlwVWtTSkE1YTRYQVlUejMxRkI1NjZDR3NYYnNXTTJiTVFLZE9uWERQUGZmODZIcU80K0RHRzI5RVZsWVdBT0RFRTA5RWh3NGRRRVRJeU1qQTAwOC9qY01PT3d3QThMdmYvUTdoY0JqNStmbm8yYk1udW5UcGd0R2pSMlBpeElrNDdyamphbTEzMEtCQk9QLzg4NUdlbnI3UFdFRkNDQ0VTVDVJZ2NkRHllcjJZUDM4K2V2WHFoUUVEQnRTTTF4UDExbHR2N1hkNjZOQ2h0ZVlwcFdyKzd0MjdkODNmMFZ2dkJ3MGFoR2VmZlJZZE8zYkVpeSsrV0pOQXhicjc3cnYzcVIxYXVuVHBmdU8vOXRwcmE5MXVMNFFRSXI0a0NSSUh0ZGhtcDViV3VYTm5BS2czQVdxS2cyUmNJQ0dFYUxVa0NSSkN0QmxFdERtMlZnN1Z6WjZEQ2dzTEM1TVdsR2h4Y3QxRlM1RWtTQWpSbGd4ZzVsMnhCWVdGaGJ1VEY0NUlFTG51b2tWSUVpU0VhRE9ZZVpmY0pkVCt5SFVYTFVVNkhRZ2hoQkNpWFpJa1NBZ2hoQkR0a2lSQlFnZ2hoR2lYcEUrUUVLTFZDUVFDWFNLUlNNMGdTVVRVSmZyYjcvZnZzM3hsWmVXZW9xS2l5Z1NIS2VKTXJydElORW1DaEJDdGp1TTRHNGtvSTdhTW1jc0FyS3R2QU1tMHRMU3JBVHlSeUJoRi9NbDFGNGttU1pBUW90WFJXdmRzd0dMaUlDUFhYU1NhOUFrU1FnZ2hSTHNrTlVHaTFTbmFzQkVYajUrUTdEQU9ha1ViTmlZN0JDR0VTRHBKZ2tTcnd1QWxwYVVoZlBSSk1ObWhOSmpIUUNjQWlEZ29TM1lzalVLOE9Oa2hDQ0ZFTWtrU0pGcVYvMjNJZnhEQWc4bU9vekdVVXF0UTNaOWhTTEpqT2RqNC9mNUxBWVJzMjM0OTJiR0l4SkhyTGhKRmtpQWhSS3RsR01hWHpIdy9nSm92UTlNMC93bGdLRE5IVUgzN2RDZkxzbElBaEpNYXJJZ2J1ZTRpVVNRSkVrSzBLb0ZBNEFobS9uZDBtb2hnbXVZR1ZOOHUvWnBiUEZwcnZkdzB6WkhNZkx0OEViWjljdDFGTXNqZFlVS0lWaVVZREg1SlJJTUJsQkRSUU11eStqUHpROHk4VUd0OWM1M0Zid1V3STBtaGlqaVM2eTZTUVpJZ0lVU3JFd3dHdHpIemY1bjVzdXpzN0V3QTF3TDRlK3d5U3Fsem1EbWl0WllPM2djSnVlNGkwU1FKRWtLMEtxWnBYbWFhWmpFUm5RVmdXbVptNWdZQXZZaG9wV21hSzZQTEVaRkpSQkdmejljcHVSR0xlSkRyTHBKQitnUUpJVm9WeTdJV0FGaXd2L2x1QjFsWWxuV0hhWm85dkY3dkhBQy9UbWlRSXU3a3VvdGtrQ1JJQ05IcStQMytDWVpoMUJveGs1bkRXdXZCc1dWRWRBTXovMDhwMVVOcnZUWGhnWXE0a3VzdUVrMmF3NFFRclk1aEdMMEJMQ0dpa1RFL3VYV1hDd2FEZXdCOER1REk1RVFxNGttdXUwZzBxUWxxcEtZTzRxV1U2a0ZFLzJkWlZvRnBtajdIY1hKdDIzNit2dTBiaHZHTlpWbHYxWjFubXVZY0FCc3N5NXJUM09QWVQ0eC9BYkJUYXgyM3V5NU0wL3hkZVhuNWMwVkZSYUU2NWRrQUZsaVdkVUxkZFFZT0hOZzNOVFgxKzJBd3VLc1p1L2FZcHZrMk14K2x0ZTRqdDlLMlNXWEJZSEJiZE1JMHpkaDVSeWlsOG9nb2s1bC9CdUIvU1lsUXRBUzU3aUpoMmwwUzVQZjd4eFBSbzQxWUpSVDdaT09tRHVKRlJJOHc4MVlBVnhKUm1XRVlzd2NNR0xCODNicDEyK3ZzN3l0bVhxaVVtcTYxZnFTWmg1dHNCTUJNUzBzYjM2OWZ2ek5UVTFON0VGRkhWRmR4SDA1RUhYdytYODEvZVpXVmxkOXMyTERoZTQvSE05eHhuQnZ5OHZLdU1BempKQURYQWRnbklTS2libzdqWEd2Yjl1TjE1eW1sSGdBUUlLSXFwZFJNcmZYVjlRV29sSG9jd1BrQTl2ekljWFFFc0ZCckxRODBheVdZT1JmQVRRREtpT2dteTdLa1NhUWRrT3N1NHEzZEpVR2hVT2pGTGwyNkxJMHRZK2FMQUZ4T1JNUHJMbDlXVnNiTkhjVEw3L2VQQnpCb3o1NDl1YWl1eXYxY0tmVjhXbHJhRSs0WE1FZVh0VzM3YmIvZmZ4cUFjWDYvLzVlR1lWd1hFMmNmQUh0TjA3d3NXaFlPaHljVkZCUlljVHhGS2lidXJrVDBQRE5Qc20yN3BBbmJZc3V5Zm0rYTV0ODdkT2h3a1dFWVB3R1F6Y3dlSWpvYlFHZVB4L01pRWRrQTRQVjZud1h3aG0zYmMwM1QzR0FZeG04QkZBR1lXVi90bEZzenRnL1ROS2NEdU5vOXR6dUo2QTJsMUM2dDllMzFMVTlFVjdtZE11dGxtdVpsekh4cUU0NWZOQU16MzY2VXVpYW1xR1AwRHlKYVpsbldWY21KVExRa3VlNGlrZHBkRWxSY1hGd0JvQ0syek8vM2h3ekRDTWRXd2RieGZTQVFHTXpNQzRob1ZEQVlyRkpLL1I3QUVWcnJXNkozTGJocURlS1ZsNWMzMkRDTTJlRncrSXlOR3pmdWpwYnYyTEhqeG03ZHVuMXNtdVlzeTdLdUJlQUFNUEx5OG82MWJmc1RBTFpwbXBPWmVTTXpUMGYxQjhDZEFENTNIT2NaZDNxQllSaVpUVGtQU3FtTkFOSmlpcUlKd25rK24rK29jRGk4MVRDTUpjeTh5YmJ0elUzWkJ3RHZnQUVETWkzTCtxMDc3VkZLblExZ0NqUGZTa1RqQUx3Sm9IY2tFdmxiZm43K2h3RGc4L242dWMyQmJ5bWxiZ1Z3blZLcXZscVliZ0RzNkVSMmRuWmE1ODZkSHdWd01UTmZyTFZlNGg3cktBQ3ZLS1dPcUtpb21GeTNhUTdBSGFacFR2NlI0emdFd050TlBBZWlDWmk1SE1BMHJmVmZvMldtYVg2ZTNLaEVTNVByTGhLdDNTVkJQNktEVW1wK0pCSzV0NkNnWUdQZG1jRmdjSnRTNnI4QUxzdk96djZITzRqWDZiSEwxQjNFeSsvM24yb1l4aUxIY2Y1UVVGRHdjZXl5SlNVbDVWbFpXU09JYUtWUzZqWERNSDRQb0tQak9QOVVTdjFWYTMwSHFoT2QzVnJyRWxSL0dPd0dzRDA2clpRcWIrckI3dDI3OThST25Ub1JBRGlPOHlxQXJkSDllYjNlMjd4ZTd6RUFObWl0ZitNbWFJMm1sUG9GZ01lVlVoT1plUzhSdlFqZ3JVZ2s4cXVVbEpTSTIxL25KcVhVS1laaDNHNmFaczl3T0R6TTYvVXVVMHE5c1dmUG5xbnVwZzVZRTVTWGw2YzhIczhUQUxJZHg1bm9PTTZHYUZOYkpCTFpZaGpHcnczRGVEdzlQWDJ3VXVvbXJmV3IwWFdaK2VGSUpQSmEzZTFIZVR5ZTBRRHltbklPUk5Ob3JlK3ZXMlpaMXRIdTc1RkpDVXEwT0xudUl0RWtDZnFCQWFESzYvWGFwbW5lYlZuV242Sk5XbTd6MHgwQVVnQ2NucG1aZVE4elo3cURlUDBQd0Y2NGczZ0JpUGg4dms0ZWo4ZEhSRXVaK2ZmMWRZQkc5UnYrNjBBZ2NES0FwNWk1a0lqNk0vTkpobUVzTmsyelJVZEQzYkJody9jQWtKT1RrNUdXbHViYnNXUEhxcXlzcktITS9Bd1JUUVR3Z21WWnY0bHRxbXNzcmZYS3ZMeThYeG1HOFRjaUdrSkU0d0g4eWV2MUxtS3UzcXhwbXAraU9oR3h5OHZMenk4cUtncjE2OWZQMzdGang2YzZkZXIwQzNlNUg2MEp5c3ZMKzRuSDQxbkZ6SDhEOEQ0UlhlSHhlUFpabUpubkEvZ1N3SDJCUU9EOVlERDREUUJpNXUrM2I5LysvU0dISEpKV3p6N0F6TS9hdHQyWWZtUkNDQ0hhQUVtQ2ZsQ210WjVnbXVhcnpQeTRVdXBjeDNGK2xaK2YvMWxUQnZHeUxPczNTcWtUQWR4dm11WWpiZ0tWQ3FBc1p0VlV4M0VXYWExSEJRS0IvbTV6M0RZQUF3R0VUZE1jeE14bkthVVdvZnJMMkVkRUp5dWxocm5yKzVwNzBLbXBxZU9JYUlWYk13VUEzd0Y0QWtDUDVpUkFVZm41K2UrNXg4T0JRT0JyWmc3WHZTUE01L1BsZWp5ZXYwV2JxZHhtd3pHb3J1SFpDZUJ0ZHp1MStQMys4NWo1Ni96OC9LLzY5ZXQzZUd4ejR3RThFajAySXVvRUlOU2pSNDhiM0Q1RTljck56UjIxZHUzYVRZMCtBVUlJSVZvdFNZTHFzQ3hyZVNBUThEUHpBc013UGc0RUFuMkN3ZUN1Smd6aTFWMXJuUTlnQktxYmhuNFA0RVN0OWJqb3NuNi9meUlSSFlmcTVyWU4wWEtsMUNWRTlJRzd2VFhNL09mb3R0MWJRbDkyRjIxdTdZU1hpS1pFSXBGYW82NVdWRlRjbnBhV3R0SHY5Ly9TdHUxWG1ya1ArUDMrbVI2UDUxYTRkM2RFYTMraW1Ea2R3TTdZTXRNMGh6dU9zNEdaTzdwamg3eUg2bk16aG9nT3R5eHJWamdjRG5xOTNySFoyZG41R3pkdTNLMlUrZzBSUFhDQWNLWlpsaFg3TEtLdVJMVERzcXk3QU56VjNHTVY4ZGZRNFNYRXdVV3V1MGdFU1lMcTRkYklqUEQ3L1lPaVk5WEVET0lWK3dWYVhNKzZlOXlPZkVkRys5bTRmZ3JnUDdITEVsRUhJaXFydXcwaW1oR0pSQ2E0VFRwYnRkYWZvam94MkFyZ3kraTBVcXFoTlIvMTh2djkxd0RZV3JlV1pkMjZkZHVWVWxjWmh2SEV3SUVETnhRV0ZoWTJkUjk1ZVhrL0lhS0p3V0R3K2tBZ0FDSmF1Nythb05neVpyN1BNSXlaanVPa0E1aWxsSW9tS0F1WithZHVMZHNBWnI3Wjdld09JdXJBeks5cXJYOWZYeXh1SDZJT2RZcVBZZVl6bEZJdnVOT2RpQ2lObWVzT1hRQUFmOUphejI3cXVSQk4wNGpoSmNSQlJLNjdTQVFaTVhyLzJMYnREK3FVbFFXRHdXM1JuenJ6amxCSzVabW1lWEk5ZzNnUkVaMUhSTFh1TUNLaXpzeGNhM3dhcFZRZWdCNjdkdTFhM2RCQXM3T3pNOTBuTGplWWFaclpobUhjQnFEZTIwMjExaTh3ODN5djE3dENLWlhUMVAwWWhoRUFFSXgycm83V0JNWCtlRHllRjJQWENRUUMvd2ZBVjFsWnVjSXQrcnZXdXJmV3VyZDd5N3pKektzTXc4Z0RRSDYvdjA5allvcnkrWHk5M1dPOVRXdmQyekNNQVc1ejRHVmE2OTVFZEJVei96cTZiMG1BRWk5bWVJbGI0QTR2d2N6UjRTVW8yZkdKbGlIWFhTU0tKRUZ4NGc3aTlScUF1VVIwVSt6emJFelR2SnlaSTVabDFlM1hja2c5Z3dDT0FyQzZwS1Nrd1hkK1pXUmtYTmE1YytjUEdwb01CQUtCamdEKzRUak9FOUZhcFNnaXF1a0hwTFdlNG5ZMC9pQVFDQnpSMlAyNDJ6dWVpTmE0azdzQVBHQloxckd4UHdET0FMQWt1ZzR6RHdkUXVIYnQyaTJ4Mi9MNy9YMklLQjNBczdadHp3MEdnMVZ1RTJWT1ErT0o1ZlY2TDJibVJYQTdpTHRqUHYzZHNxeUZiaHdiaUdpZSs0RXNFaXhtZUlrTDZ3NHZBYUN2YVpxejVEUHM0Q1BYWFNTU05JYzFRbE1HOFhJZnMvRXdnSkVBak56YzNFUFdybDM3ZlNBUTZPbzR6a2pIY2Y0WXV6d1JqV1RtbDJPS2ZxMlVHdVB1SDZpdUxiclZuWmVGNmdFVzV5cWxlaExSKzRGQTRKUmdNUGlqNDJwRUlwRlVJdnJFNC9GTXpjbkpTUVhRallncUFlUXg4ejlpRmcxcnJjZWFwdm1yWURENEpZQkc3Y2VOK1ZUSGNSNUc5WDl6M3dDNHUrNHlXdXV2QWNUMjVSa0I0RitvcmtueUFEaGFLZldjTzhEaVBRQ3lBVkJPVGs0blp2NTVaV1ZseldDUlJEUk9LWFhlZnNMcERHQWFxbXVCT2pIejllRndlQmdBYjFwYVdnRXpIMGxFMmFacFhzM01EaEZGbU5sakdNWmNwVlRIMkxGTFJNdHE3UEFTN210THRIRnkzVVdpU1JMVVFFMFl4TXVqbEZwSVJEOEhjSjdXZW5WT1RrNXFTa3JLNTBxcER1NzJYc2pQei85MzdFck12Tmx4bkRkaWlwN1NXdGM3a0o5UzZzM28zMXJyMjVWU1JWdTJiUG42UU1kaTIvWk9BQk1CWU1DQUFkM1MwdEsrWVdZSFFIRHYzcjExTzBLSExjdDZxaW43Q1FRQ0habjU1OHk4eGpUTnNjeDg4d0ZXcWRCYUh3L2dlQUJ6VUgwK2ppUWlrNGhtRWRHa2lvcUt6SlNVbEFtbWFaYTU4NThyS2lyNk5yb0JabjdtQUgyQ0FBQUZCUVZsZVhsNVYwYjdPeG1HY1ZaRlJjV084dkx5bmRFK1JsRnVFK1VwQnpwZUVSOUtxVUdOSFY0aTV1NUswVWJKZFJmSjBPSnRxOWVzVzg4QThOQ0FZOXBkTzY1UzZ0aElKTEsrb0tCZ244N1A3cmsvMEMzbzVQNDBhYkRDMWlBdkwwL2w1K2ZyeHF6ajgvazZGUlFVbEFPSTlPdlhyM05GUlVWVkE1c0hrM0srbEZLclVQMEJQU1NSKzIyTEduaXVES1hVUUFEM0U5R2cvUTB2d2N5THROYVh1RitFRzM1a2UvV0t4MmZUbHFLckdRQU95M200M1gyK05WUWozaDhKdWU2aWJValVlMHRxZ2xwUTNmNDJkVFJrREI2T3gxZzl5ZFRZQkFodUxVMzA3MGFNL1lPRDRYd0pBSURUMU9FbFJKc20xMTBrbkhRdUUwSzBkZzBlWGtJY1ZPUzZpeFluTlVGQ05GSWdFUGcvWm80K0ZCYk0zQWMvUEwwZXFQNndma3c2YmNZRkVkRjVBQzZ2VTdqUDhCTGlvQ0xYWFNTRUpFRkNOTjQyWnI2R2lMcWkrb001V240SHFwT2luVVIwYnhMak8yaEVoNWZRV3RjM3ZNUzMrMWxOdEhGeTNVV2lTSE9ZRUkwVURBYXJBQ3htNXBwaEMrQU9ZZUJPTDNhWEVjMFFNN3pFQkhkNGljTUFlQU9Cd0NITVBOSnhuRWIzTnhPdG4xeDNrVWhTRXlSRUV6RHpRc013eHNVbVFYQnJoUnpIV1ppMHdBNE9UUnBlUXJSNWN0MUZ3a2tTSkVRVGhFS2g1WjA3ZHc0QnlJZ3RaK1pRS0JSYW5yeklEZ29SQUhlSHcrR2E0U1dLaW9vcVk4NTFRNGFYRUcyUFhIZVJjSklFQ2RFRXhjWEZGYVpwTG1QbUMyTnJnNGhvV2QzQkZrWGp4V0Y0Q2RFR3lYVVhpU1o5Z29Sb29rZ2tzakNtVTNTMGc3UTBoUWtoUkJzaFNaQVFUVlJWVmJVVVFPeEkxdVhsNWVWTGt4alNRY1B2OTE5cW11WnA5YzB6VFhPT2FacjFQa3BHdEcxeTNVV2lTUklrUkJNVkZSV0ZBQ3lIV3d2RXpQOTJ5MFR6ZmNYTXJ5cWxya3gySUNLaDVMcUxoSkkrUVVJMEF6Ty81ZzdxQm1hV3ByQTRzVzM3YmIvZmZ4cUFjWDYvLzVlR1lWd1huZWNPVHJuWE5NM0xvbVhoY0hoU1FVR0JsYlNBUlZ6SWRSZUpKa21RRU0zQXpJdUpLSUxxUGtLTGt4M1BRY0xJeThzNzFyYnRUd0RZcG1sT1p1YU56RHdkMWJWdWR3TDQzSEdjWjl6cEJZWmhaQ1k3YU5Gc2N0MUZ3a2x6bUJETllOdjJUbVplQVdCbFlXSGhqbVRIY3pBSUJBSkhHWWJ4VDZYVW5lNXQwU0NpM2JadGw5aTJYVUpFdTRsb2UzUzZUcjhzMFViSmRSZkpJRW1RRU0za05vTkpVMWljQklQQno1bjVKQ0s2MERSTk05bnhpTVNRNnk2U1FackRSS3R5VkgvL1JBWXVTWFljamJHcm5GT0FDUHIwOTErVTdGZ2FnNERuLzd2Qm5wZnNPT3BqMi9aL0FBd0VFRFpOY3hBem42V1VXb1RxcE5OSFJDY3JwWWE1aS91U0c2MklGN251SXRFa0NSS3RDZ09YWkdabW5KclR2MSt5UXptb0ZXM1lpTkxTRUFDMHlpUUlBSlJTbHhEUkI2aHVGbG5Eekg5Mi83NEJ3UDhBdk93dSttaFNBeFZ4SmRkZEpKSWtRYUxWeWVuZkR5L01menpaWVJ6VUxoNC9BUjk5RWt4MkdEK0tpR1pFSXBFSkhvOEhBTFpHUnhNMlRYTXJnQytqMDBxcDNjbU9WY1NQWEhlUlNOSW5TQWpSNmlpbDhnRDAyTFZyMStwa3h5SVNSNjY3U0RSSmdvUVFyZEVvQUt0TFNrcmtEcUQyUmE2N1NDaHBEaE5DdERwRU5KS1pYNDRwK3JWU2FneXFPOGdDMWJVR3Q3cnpzcElSbzRnL3VlNGkwU1FKRWtLME9zeTgyWEdjTjJLS250SmExL3ZjS0tYVW00bUxUTFFrdWU0aTBTUUpFa0swT2xyck1kRy9MY3Q2TkRwNDNuNldIYmEvZWFKdGtlc3VFazJTSUNGRWE4ZnVqMmhmNUxxTEZpY2RvNFVRUWdqUkxra1NKSVFRUW9oMlNaSWdJVVNycEpRNjFqVE41Y21PUXlTV1hIZVJTTkluU0FqUkpwaW11UmZBVjdGbHpOeVppRjZ4TEt2ZU80aEUyeWZYWGJRa1NZS0VFSzFLZG5aMlp1Zk9uYzhnb3I3TWZKaFNhZ3d6RnpOelJHdWRIYnVzMysrL25JaU9UVjYwSWw3a3VvdGtrT1l3SVJyQmNSeUV3K0ZraDNGUTY5S2xTeXFBYkdiT0JkQVJRRGFBSHNtT1M3UXN1ZTRpR1NRSkVtSS9UanZ0TkFEQTFxMWI4ZEJERHdFQS92NzN2K081NTU0RDNCRnNiN25sRm56NzdiY0FnR1hMbG1INjlPbjdiR2ZUcGswWVBueDRRbU52eTRMQjREYXQ5ZjBBZGhIUmY3WFc5OXUydllLSVBLWnBib2o5TVF6anZtVEhLK0pEcnJ0SUJrbUNXb2hTNmhkS3FhVktxZStWVWhWS3FVMUtxYWVidWMwM1RkT3M4dnY5L25ybWhVelRITm1zb1BmUHE1UnF0LytSWldWbDRaMTMzc0hiYjcrTkN5NjRBTTg5OXh4MjdkcUZWYXRXb2JDd0VOMjZkZHRubmRteloyUFZxbFg3bER1T2c4bVRKNk80dURoQjBiZFpCaEdOWWViZXBtbmVpT3FrTTJKWlZ2L1lIOGR4Yms1Mm9DS3U1THFMaEpJK1FTMUFLWFVsRVQwQTRBRm12c1V3akFySGNYNUdSSmZHWWZObFJQUVlnQk1BT0hIWVhyMzY5T21UM3JWcjF6T0phTFQ3VU1ON0FjeHNxZjIxSnFGUUNHVmxaWEFjQjF1MmJFRkdSZ2F1dlBKSzdOMjdGeGtaR2JqaGhodkF6SGo4OGNjeGNlSkVNRFBLeTh0UldWbUpTQ1NDUFh2MjRPU1RUOGF0dDk2S0UwNDRvZGEyRnk5ZWpFMmJOdUh3d3c5UDJ2RzFCWDYvLzJJQS95T2lLbVllNy9mN3YyckFhcUtOaytzdUVrMlNvRGp6K1h3bUVjMWk1bEZhNjMvRnpOb0FZSEZ6dDgvTXp3TTRYeWsxV1dzOXU3bmJpOVczYjk4dW1abVpaN3VKejNBaXlvalpiN3NadWZXTk45N0E0c1dMc1dmUEh0eDQ0NDNZc1dNSFBCNFAwdExTTUgvK2ZBREFFMDg4VWZQNzNYZmZ4WjQ5ZTFCU1VvS3lzakpjY2NVVm1EZHZIbzQ1NWhqTW16Y1BvMGVQQmdEczJiTUhjK2ZPeFYxMzNZVzB0TFNrSG1OcmxwMmRuVVpFTXdEY0JXQXNnTjhSMFZCVTN5bVVYV2Z4UTVNVHBZZzN1ZTRpR1NRSmlqT1B4ek1Kd0R0MUVxQjRLaVdpcXdITTgvbDhDd3NLQ2pZM1oyTStuKzlRd3pET2RST2ZvVVNVR3MxM29yK0pDRC8yREorRHpRVVhYSUFMTHJnQXA1MTJHdWJQbjQvSmt5ZGowcVJKeU1uSjJXZlpUei85RkMrOTlCSWVmZlJSTEZ1MkRCOS8vREh1dlBOT0FNQ1VLVk5RVlZWVnMyeUhEaDF3MjIyMzdWTTdKR3JyM0xsemZ5TDZtSmtMaVdpczFyb0lRSkZwbWc4QWVDaDJXV2J1VFVUdkpTOWFFUzl5M1VVeVNCSVVaMFJrTXZQU2x0eUhaVmt2bWFiNUs0L0hNd2ZBZVkxZDMwMTh4aGlHY1RHQVFRQThzWW1QbS9UVVRNY3lUWE9XRzhNVVZEZjlyV0xtcDIzYm5xK1V5bk0vcks3Uld1ZjcvZjd4UkhTNTFucElROWN0cmVCT3pUdzljVGQxNmxSY2RORkZPT1NRUTJxVk16UFMwdEt3WU1HQ1d1V080K0NQZi93akNnb0thc3JLeThzeGVQRGdtdWtaTTJaZ3lKQWhDWWkrN2RGYTV3Y0NnY25NM0NlMm5Ka2RyWFd0Zm05eXEvVEJRNjY3U0FaSmd1S01tVk1CcEVTbjgvTHlsR0VZNzBhbkhjYzVPVDgvWHpkM1AwUTBpWm5YbWFaNXZtVlpDeHV6cnNmallXYXVZdWJkUk9Rd3MrZEg5aFA5ODRETlljeE1SQVJtYm5TdFVYUmRjT3VwY1lwRUlyampqanRnbWliUzB0THcrdXV2MTVxL2MrZE9qQjgvSG1scGFmanV1KzlRVkZTRWp6NzZDS05IajY2MTdLWk5tekJ4NGtRc1h5NkQ0RFpVTUJqY3BwVHEwNEJGeFVGRXJydElORW1DNHU4TElob1FuU2dyS3l2S3pNejBPNDZUWlJqR0o0Wmg3RGZoYUl4Z01QaWxVbW9hTXorU25aMzlabVBXMVZwdkJUQVB3RHkvMzkvVk1JeVJBQzRBY0NhQURuVnJmMktidzZLMU9ESGJxcW5Pc0czYkJoQTdQUi9BL09oMFE5YnQwOSsvN3kxVkNWWlNVb0lsUzVZZ0ZBcGgwNlpOR0RObVRNMjhyNy8rR3ZmZWV5L216SmxUYTUzZi8vNzM2TmF0RzNKemMvSEFBdzhrSWVxREh4RjVsRklsZGNveUFMeVl2S2hFUzVQckxscVNKRUh4OXdJekwxQktIYXUxL3JTNHVMZ0NRSEVnRURnazNuMkx0ZFp6bEZLWFptWm0zZ3VnU1NQNDJiYTlFOEFDQUF0eWNuSXlVbE5UUnhEUmFDSWFDYUJ6VE16dHBtUDAyMisvRFNKQ2x5NWQ4TVFUVDJEbnpwMDE4Nzc1NWh1VWw1ZGp4NDRkdFpvTkZ5NWNXTk1uNk9PUFA4WjExMTFYTTQrWkVRNkhhL1VGNnRPbkQxNThVVDdEZjB3a0VuRThIazlsZE5vZE9iaFdMWUhmNzcvY01BeHBGam1JeUhVWGlTUkpVSnhwclY5VVNwMFBZS2xwbXJjUjBVcFV2NUZQaVYwdU56ZjM4TFZyMTI1cTV1NmNjRGc4d2V2MXJxbis1Nmg1TFVsRlJVVWhBSzhBZUNVN096c3RNelB6REdZZVRVVG50S2VPMFpkZmZqbmdKallBa0o2ZWpzc3V1d3dBOE9HSEgyTExsaTFZdVhJbFJvNGNpUXN2dkJEdnZQTU9Uanp4eEpyMVR6cnBKSHowMFVjMTA5SWMxalFGQlFVV2dIT2kwMXJyakxyTDJMYjlOSUJtamI4bFdoZTU3aUtSWkxERStHT3Q5VmdBOXdENEl6T3ZkUnhuRFROUEFqQTFFb21zNzkyN2Q0ZVVsSlRWU3FtcHpkMVpZV0ZoSVJITkpLTFUrSVJmcmJpNHVNS3lyQ1cyYlY5aFdWWlB3ekRtTjJDMWcxSjZlanF1dU9JSy9PYy8vOEY3NzcySG9VT0gxcFJmZXVtbGVPaWhoN0JuejU1a2h5bUVFS0tScENhb1pUanVHRDc3SGNjbkt5dHJxTmZyWGFtVXl0SmEzOVNRaldxdGg5VlhibG5XTkFEVG1oUHdBWVNEd2VEZVpIRlhBQUFnQUVsRVFWUzJGdHgrcXhNS2hXcWF1eW9ySzdGbzBTSzg5TkpMK05PZi9vU1ZLMWZXSkQyaFVBaDc5KzVGcDA2ZHNHdlhMbmk5OHBZU1FvaTJRbXFDa3FTd3NQQ0xTQ1J5TW9CR2RXb1dMVy9Ka2lVWU9uUW9UampoQkh6MTFWY1lOV29VUHZ2c016enh4Qk00K3Vpak1YandZRHp6ekRNWVBudzRSbzBhaFFzdXVBQVhYbmdoWnMrZVhhdFpUQWdoUk9zbS83WW1rVHZRWWJNR094VHhOMnJVS0l3YU5hcG1ldUhDaGVqVTZZZmhpM0p5Y3ZEbW03VnoxOS84NWpjd2pQci9wemo4OE1PbFA1QVFRclJDVWhNa3hBSEVKa0Q3czc4RVNBZ2hST3Nsbjl4Q0NDR0VhSmNrQ1JKQ0NDRkV1eVJKa0JCQ0NDSGFKVW1DaEJCQ0NORXVTUklraEJCQ2lIWkpraUFoaEJCQ3RFdi96OTZkeDBkUjMvOERmMzFtZHhNSUpJQWdpbUtsR2hzYUlKblBCRnRiNndFdGluSzBYbDhCRmFxQVVLdWlGbjVldEZvUFdoVVZsU29xTFI1NElCWXJDdUtKOTcwem00QUJOTFlnVk9TR0VDREg3cngvZjJRMjNZUkVja0Iydzd5ZWp3Y1Bzbk4rWnBMUDdHdG5QcC9QTWdRUkVSR1JMekVFRVJFUmtTOHhCQkVSRVpFdk1RUVJFUkdSTC9HN3d5amxGSzljaFpGanhpVzdHQWUxNHBXcmtsMEVJcUtrWXdpaWxDS1FsMHBMeS9EeHArRmtGNlhSQWdZNkFFRE14YTVrbDZWSmxDeE1kaEdJaUpLSklZaFN5cHFWaGZjQXVDZlo1V2dLcmZWU0FIQWNaMEN5eTBKRVJJM0hOa0ZFUkVUa1N3eEJSRVJFNUVzTVFVUkVST1JMREVGRVJFVGtTd3hCUkVSRTVFc01RVVJFUk9STERFRkVSRVRrU3d4QlJFUkU1RXNNUVVSRVJPUkxERUZFUkVUa1N3eEJSRVJFNUVzTVFVUkVST1JMREVGRVJFVGtTd3hCUkVSRTVFc01RVVJFUk9STERFRkVSRVRrU3d4QlJFUkU1RXNNUVVSRVJPUkxERUZFUkVUa1N3eEJSRVJFNUVzTVFVUkVST1JMREVGRVJFVGtTd3hCUkVSRTVFc01RVVJFUk9STHdXUVhnS2l0S1NnbzZDRWlsOFpmaTBndkFMQXM2NmI0TktYVUkrRndlSDJ5eWtoRVJQdkdFRVRVZEp0RjVDcWxWR2RVQjU3NDlKdFJIWXEySzZXbUpiRjhSRVRVQ0h3Y1J0UkU0WEM0Q3NCQ0VZR0kxRXhQZUwzUVc0YUlpRklZUXhCUk00aklnb1E3UURXVVVoQ1JCVWtwRkJFUk5RbERFRkV6bEpXVkxSR1JzcnJUUmFTc3JLeHNTWEpLUlVSRVRjRVFSTlFNSlNVbEZVcXB4YWo5R0F4S3FjVWxKU1VWeVM0ZkVSSHRHME1RVVRQRllyRmFqOFM4bi9rb2pJaW9qV0FJSW1xbXFxcXFSUURLRXlhVmw1ZVhMMHBpa1lpSXFBa1lnb2lhcWJpNHVBekFFdnl2UWZScjNqUWlJbW9ER0lLSVdrQkVYb2cvRW1Pdk1DS2l0b1VoaUtnRlJHUWhnRmgxRTZIWXdtU1hoNGlJR284aGlLZ0ZJcEhJZGhGNUhjQ2J5NVl0MjViczhoQVJVZVB4YXpPSVdzZ2JPSkVmS0lpSTJoaUdJRW9wUCt4dGpoZGdWTExMMFJRN3lpVUV4TkNydHpraTJXVnBDZ1U4L1orVmtVZVRYUTRpb21SaENLS1VJc0Nvckt5T3ArYjJ6a2wyVVE1cXhTdFhvYlMwREFBWWdvakl0eGlDS09YazlzN0JNNC9QVG5ZeERtb2p4NHpEeDUrR2sxME1JcUtrWWpzR0lpSWk4aVdHSUNJaUl2SWxoaUFpSWlMeUpZWWdJaUlpOGlXR0lDSWlJdklsaGlBaUlpTHlKWVlnSWlJaThpV0dJQ0lpSXZJbGhpQWlJaUx5SllZZ0lpSWk4aVdHSUNJaUl2SWxoaUNpRkJPTlJwTmRCQ0lpWDJBSUltckFwRW1Uc0d6WnNtYXQ2emdPcXFxcUFBQno1c3hCV1ZsWm85YWJNV01HN3I3NzdtYnRrNGlJbXFaTmZZdDhUazVPWmtaR3hoU2wxSGtpOGtNQWV3QjhDZUJHeDNIZWFNWW1EYTMxSnFYVVgyM2J2aXMrVVd0OWhsSnFNWUNUYmR0K0wySDZQd0dJNHpqbk5xZjhXdXMzbEZLbnVLNTdmQ1FTaWRTWlY2YVVHbUhiOXN2TjJiYTNqWXVVVWxjRHlCRVJWeW4xbVczYkE1dTd2UVJCclhVWHgzRTI3WWR0dGJvVksxYmd1KysrYTlTeXA1NTZLcFJTZTAyZk0yY09ubmppQ1dSbFpkV2F2bjc5ZXJ6MjJtdm8zTGx6emJTdnZ2b0tWMTk5Tlo1NTVobjA2TkVEYTlhc3dSTlBQSUhMTHJ1czFycFRwa3pCNnRXcmEwM2J0V3NYTm0zYWhNOC8vM3l2TXZ6Kzk3L0hxYWVlMnFqaklDS2lmV3N6SVVocmZTaUFkNVJTcFFDbUdJYXh3blhkN2dCT0ZwRWptN2xaRjhCckFINEY0SzZFNllNQnhFUmtFSUI0Q0ZKS3FWTUEzTkRDUTltbGxIb0V3QW5lL3ZlTC9QejgvMU5LelJLUmlTTHlub2gwQ1FRQ2c1cTd2VjY5ZXJYcjNMbno2VXFwc3dBTUF6QU5RSnU4UmZIKysrL2ovZmZmYjlTeUo1OThNb3FMaTdGaHd3WnMyYklGbjMzMkdUWnMySUNxcWlwY2NNRUZHRGR1WEszbGh3d1pVdXYxbmoxN2NPT05OK0xTU3k5Rmp4NDlBQUFUSmt6QUJSZGNnSk5PT2duOSt2V3JXWGJhdEduNDlOTlAwYWxUSjd6eXlpczQ4c2dqTVhEZ1FIVHAwZ1VyVjY3RTNMbHpNV25TSkh6NDRZYzQ3YlRUa0ptWnVWL09CeEVSVldzekljZ0xEbHZLeTh0L1dWeGNYT2xOL2hyQVJ5M2M5Q3NBWm1Wblo2ZVhsSlJVZU5NR2k4amJYamo2RXdDWXBwa1BvS3ZydXErMVpHY2k4alNBczdYV2x6dU9jMzhMeTE3RE1JeWhJdksyNHpoUGVwTldBM0Nhc28xampqbW1VMVpXMWhBditBeFdTblZNS0xmc3I3SzJ0dkhqeDJQOCtQR05Ybjd6NXMxWXUzWXRObTNhaEkwYk4wSXBCZGQxWVJqZi8vUTRHbzFpNnRTcDZObXpKMGFOR2xVenZVZVBIcGd5WlFvbVQ1Nk12LzN0YjhqT3pnWUFoRUloZlBycHAralZxeGQrOTd2ZjRlV1hYOGJJa1NQUnRXdFg3Tml4QTNmZWVTZDY5dXlKK2ZQblkrREFnUWdFQWkwNEMwUkVWRmViQ0VGOSsvWTlDc0J2QUp5Y0VJRDJpMWdzdGlRUUNMVHIwS0hEendFc05VMnpsMUxxR05kMUx6Y000NVhzN095c2twS1NVc013Qm9qSWw1RklaSFVqTnZ0OVNwVlNrd0E4bXBlWHQ2Q29xR2pkL2pnT3BkUXFBTmVhcG5saUpCTDVvTEhyNWVYbGRUY000OWRlOFBtbFVpb3RubmZpLzN1UGgvWitSblNRR2pCZ0FMWnUzWW9ISDN3UVE0WU1RYjkrL1RCbnpoek1uVHNYaXhjdnJyWHNwazNWVHdncktpcnd4ei8rRVpzMmJjSkREejIwMXpiUE9PTU1iTm15QldQSGpzWDExMStQd1lNSDE4eUxoNmZTMGxLTUd6Y09KNXh3QWo3NDRBUGNlKys5dVBMS0sxdmhpSW1JL0tsTmhLQlFLS1JGUkJ6SGFlbGRuNzBVRlJWdHRDekxDUVFDdndLd1ZDbDFCb0NQSXBISW0xcnJIUjA3ZGh3QTRFVUFBd0c4dWovMmFkdjJQTXV5TGdvRUFqTzljTmRpVzdkdXZidExseTY1U3FuM0xNdWFyNVM2SVJ3T2YxM2ZzbDd3T2Rjd2pKRUFmZ1lna0JoOEV0dkUxTDBCWkZuV3ZkNHhYSTNxeDVSTFJlU3hTQ1R5dU5ZNkg4QU1BRmM1amxOb211WVlwZFJ2SGNjWjBOaDFTeXVrdy80NEg0bEVCT3ZYcjkvbmNsbFpXZWpZc2ZybTF4dHZ2QUhYZGZINDQ0OWo4dVRKQUlDUkkwYzIrRGhzeXBRcDJMbHpKMmJPbklrT0hlby9oQXN2dkJEZHVuWERYLzd5RjZ4WnN3WVRKa3dBQUN4WnNnUmR1blJCcjE2OThQWFhYK1BycjZ0L2JkbloyVmkwYUZGTjBDSWlvdjJyVFlRZ0FHa0EwTE5uejlDNmRldWlxSDREblEvZ0RHLytLNDdqbk5mY2pidXUrNHBTYWhDQUc3MzJRSzhDY0pWU2IzcVB4RjRHY0pKUzZ1SDlkVUJLcWN0RTVBdkxzczYyYlh0QlM3ZTNldlhxOHRXclYxK1FuNTgvMnpDTXZ3SllZVm5XRmJadDcxWG1RQ0FnSWxJbElqdVZVcTZJTlBpY0pTRVE3Zk54bUlnb3BSUkVwTWwzamVMclF2Yi9IYWZ5OG5LY2Q5Nisvend1di94eWpCdzVFdEZvRk04Ly96eDY5KzZOTGwyNjRPcXJyOFpKSjUyRXRMUzBCdGU5NnFxcnNHSERCZ3diTmd6d0dqaTNhOWV1MWlPc3NySXlMRml3QVBQbno2OEpXNk5HamNLV0xWdHFsbm54eFJleFljTUdYSHJwcFRYVDJyVnJoM2J0MmpYNytJbUlxSDV0SWdURllyRi9CNE5CMWIxNzk5eDE2OWFGVWQwRzVrb1I2UURnSmdCZFdyaUxWNVJTMTJtdEQxVktEUkNSVzFIOXh2eXFVbXBLZm41K0FZQ004dkx5dC9mTEFRRUloOFBmYUsxdkZKRUhzck96bTlPenJWNkZoWVZMQWZ6VXNxeWJST1RCL1B6OHBZV0ZoVjhtTHVQMThub1V3S09tYVhZMkRHTW9nSE1BbkE2Z2ZkMjdQNG1QdytKM2NSSzJOU0QrczlmakxmSDE0d0Flajc5dXpMcTllcHRMOTllNWlHdmZ2ajArK0tEUlR3anhyMy85QzBjZmZUUXFLeXN4ZlBod2RPM2FGYnQzNzhhZVBYdXdkdTNhV3N2R1lqR2d1ajBWampubUdMenp6anNBZ0VHREJtSE9uRG5vMmJObnpiS25uMzQ2MnJkdmorN2R1d1BlWTdBWk0yYlUybDY4amRDVFR6NVphL3JiYjcrTm9VT0hOdVBvaVlpb0lXMGlCQlVWRlVVc3kxb3BJbjhDOEd0VWg0ajFxSDdFc3FPbElTZ1NpWHlzdFM0RmNDMkFDc2R4YkZTL3diMGFEQVpuQndLQlVTTHlRWEZ4Y2VNR2Uya2t4M0ZtYXEwdnlNckttZ1pndjQ2UVYxNWVmbmU3ZHUxdU5neWp0emVNUUwwaWtjaDJBSE1Cek0zTnplMllscFoyaGxMcUxLWFVVQUNaQ1lHb3pUYU1icXBQUHZrRUV5Wk13QU1QUEFBQW1EaHhJdWJNbVlPWFhub0ozM3p6VGExbFMwdEw5MXAvMTY1ZEtDMHRyZWtkRmxkUlVZSDI3ZHZYdkk3Rll2and3dy94eUNPUEFBQ2VlKzQ1L09wWHY4TFpaNStONHVKaTVPYm1BZ0NXTGwyS2xTdFhNZ1FSRWUxbmJTSUVBWEJGNUJJQXIxdVc5WnpydWpPaTBlamFZREI0dUlqMFZVclZoSk84dkx5ZXpXaHNIRk5LdlM0aW8wWGs5WGpYOWFLaW9uVmE2eFVBUm90SVloZDY5TzNiOTZqbHk1ZXZiWENMalR5dWFEUTZMaGdNZnVaMXdRZXEyNEprQVVCSlNjbmU3N0FOMEZyZkN1Qkx3ekErcTZ5c3JBd0VBaE1BN0t5b3FQaTBzZHZ3UXQ1OEFQT3pzN1BUczdLeVRoT1JzNVJTdy8zVU1QckdHMitzTmU1UDNKbG5ucm5QTHZJQThOWmJiMEZydlZkdnJqMTc5dXoxV0NzUUNDQW5Kd2ZGeGNVSWg4TjQ2cW1ua0pHUmdZY2VlZ2lscGFVWU0yWU1pb3VMR3ozWUloRVJOVjViQ1VGd0hPY2p5N0tPQjNDVFV1cGZvVkNvRTRCdkFYenN1dTREcU83R2JpcWxYak5OODRKSUpQSjZVN2J2dXU0cmhtSDhuK3U2dFJvL0s2VmVCWENWVXFxbWEzelBuajNiaDBLaGQ3WFdzeHpIdWFNbHg3VnMyYkpsbG1YZG5UaitVTWVPSFM5VVNsMW1tdWJReHZaR0U1SDFTcW5yUmFSWEtCVGFMU0syaUp4ZVhGemN1RkVDNi9DR0MzakoreGNzS0NqWU94VzBBV1ZsWmRpMmJWdWpsdytGUWpqODhNT2J2Yi95OG5JODl0aGpHRHQyN0Y3bE1Bd0RvVkNvM3ZXZWZ2cHBiTjI2RlJkZGRCSFMwdEtRa1pHQitmUG5vMCtmUHMwdUN4RVJmYjgyRTRKUTNhWmtCWUFSRGMyUFJDSVIwelIvYXhqRzgxcnJpeHpIV2RqWWJVY2lrY2NBUEZiUFBxOEdVS3N0eTdwMTYvWjA2ZExsbDhGZzhFMXZKT1hyR3JNUHgzRitWZDkwMjdadjlCcGx4OHZ5b05iNmNLWFVCd1VGQlNjMzFNdXJUdmtmQlBCZ1k4clJETkZ3T0x6NUFHMzdnSHJycmJlYTlEVVVSeDU1Sko1Kyt1bDY1ejM1NUpONDRZVVhhazNidUhGanpjL2J0bTNEdGRkZWl5T1BQQkpubkhFR1NrdExFUWdFa0pHUmdZVUxGeUluSjZmQi9kNXd3dzI0NVpaYmFvMUZ0R2JOR25UcTFBbUZoWVVOaGljaUltcStOaFdDR2lNU2lTeldXZytQUnFNdGZWVDF2Wll0Vy9idnZMeThrd0tCUU84RHNYM0hjZjZrdFM3ZXNHSER0d2RpKzM0eGZQaHdEQjgrdkZucmhrS2hXc01GWEhUUlJRMCtEdnZ3d3c4eGRlcFVuSHp5eWJqdXV1dWdsTUt6eno2TDJiTm53M1ZkSEhIRUViajk5dHNiM0ZkR1JrYTkwODQrKzJ5a3A2ZGoyclJwelRvR0lpSnEyRUVYZ2xBZElONXBqZjE0YlkvMnkyQ0g5WEVjNTlrRHRXM2F0K25UcDlmOGZQSEZGOWU3ektKRmk0RHFCdnA0NElFSGFqMit1dlRTUzNIcHBaZnVOZlpTWEhwNk90NTY2NjBHOTMvb29ZZCs3M3dpSW1vWmZvczgwWDdRcmwyN0J0dnYxQmVBaUlnbytSaUNpSWlJeUpjWWdvaUlpTWlYR0lLSWlJaklseGlDaUlpSXlKY1lnb2lJaU1pWEdJS0lpSWpJbHhpQ2lJaUl5SmNZZ29pSWlNaVhHSUtJaUlqSWx4aUNpSWlJeUpjT3l1OE9vN2F0ZU9VcWpCd3pyaEZMVW5NVnIxeVY3Q0lRRVNVZFF4Q2xGSUc4VkZwYWhvOC9EU2U3S0kwV01OQUJBR0l1ZGlXN0xFMmlaR0d5aTBCRWxFd01RWlJTMXF3c3ZBZkFQY2t1UjFOb3JaY0NnT000QTVKZEZpSWlhankyQ1NJaUlpSmZZZ2dpSWlJaVgySUlJaUlpSWw5aUNDSWlJaUpmWWdnaUlpSWlYMklJSWlJaUlsOWlDQ0lpSWlKZllnZ2lJaUlpWDJJSUlpSWlJbDlpQ0NJaUlpSmZZZ2dpSWlJaVgySUlJaUlpSWw5aUNDSWlJaUpmWWdnaUlpSWlYMklJSWlJaUlsOWlDQ0lpSWlKZllnZ2lJaUlpWDJJSUlpSWlJbDlpQ0NJaUlpSmZZZ2dpSWlJaVgySUlJaUlpSWw5aUNDSWlJaUpmWWdnaUlpSWlYMklJSWlJaUlsOEtKcnNBUkcxTlFVRkJEeEc1TlA1YVJIb0JnR1ZaTjhXbkthVWVDWWZENjVOVlJxSmtZZjJndG9RaGlLanBOb3ZJVlVxcHpxaStvTWVuMzR6cWkvNTJwZFMwSkphUEtKbFlQNmpONE9Nd29pWUtoOE5WQUJhS0NFU2tabnJDNjRYZU1rUyt3L3BCYlFsREVGRXppTWlDaEUrNE5aUlNFSkVGU1NrVVVZcGcvYUMyZ2lHSXFCbkt5c3FXaUVoWjNla2lVbFpXVnJZa09hVWlTZzJzSDlSV01BUVJOVU5KU1VtRlVtb3hhdC9taDFKcWNVbEpTVVd5eTBlVVRLd2YxRll3QkJFMVV5d1dxM1hMMy91WnQvcUpXRCtvaldBSUltcW1xcXFxUlFES0V5YVZsNWVYTDBwaWtZaFNCdXNIdFFVTVFVVE5WRnhjWEFaZ0NmN1g0UE0xYnhxUjc3RitVRnZBRUVUVUFpTHlRdnlXUDN1OUVOWEcra0dwamlHSXFBVkVaQ0dBV0hVVGlOakNaSmVIS0pXd2ZsQ3FZd2dpYW9GSUpMSmRSRjRIOE9heVpjdTJKYnM4UkttRTlZTlNIYjgyZzZpRnZJSGgrSUdDcUI2c0g1VEtHSUlvcGZ5d3R6bGVnRkhKTGtkVDdDaVhFQkJEcjk3bWlHU1hwU2tVOFBSL1ZrWWVUWFk1cVBGWVAxb1A2NGMvTUFSUlNoRmdWRlpXeDFOemUrY2t1eWdIdGVLVnExQmFXZ1lBdk1pM0lhd2ZyWVAxd3o4WWdpamw1UGJPd1RPUHowNTJNUTVxSThlTXc4ZWZocE5kREdvRzFvOERqL1hEUC9pY2xvaUlpSHlKSVlpSWlJaDhpU0dJaUlpSWZJa2hpSWlJaUh5SklZaUlpSWg4aVNHSWlJaUlmSWtoaUlpSWlIeUpJWWlJaUloOGlTR0lpSWlJZklraGlJaUlpSHlKSVlpSWlJaDhpU0dJaUlpSWZJa2hpS2dlbXpkdnhwZ3hZL2Fhdm5qeFlnd2ZQaHk3ZCsrdU5iMjh2QnliTjI5dTFMWUhEaHk0MzhwSmxBeXNIM1N3WUFnaWFxU3lzakxNbkRrVFhicDB3U09QUEZKclhqZ2N4cGd4WS9EbGwxOWkvUGp4R0RSb0VBWVBIb3pCZ3dlamYvLytBSUJubm5rbVNTWGZiNEphNjBPVFhRaEtUYXdmMUJZeEJCRTEwdTIzMzQ3VFRqc05NMmJNd0N1dnZJSjMzMzIzWnQ2Sko1NklLNis4RXJObXpRSUFQUHJvbzFpMGFCR1dMRm1DTGwyNkFBQWVmL3p4cEpXOXVYcjE2dFhPTk0xZmE2MGYwMXB2QURBNjJXV2kxT1RIK2tGdFh6RFpCU0JLTldQSGpzWEdqUnV4WmNzV25IZmVlUmc1Y2lRMmJOaUF0V3ZYNHBaYmJrRW9GTUwwNmROeDFWVlg0ZWFiYjhaSko1MkU4dkp5bkg3NjZUanR0Tk53NmFXWEFnQUdEUnFFdDk1Nks5bUgwMlRISEhOTXA2eXNyQ0ZLcWJNQURGWktkWXpQRXhGSmJ1a28yZnhlUCtqZ3dqdEJSSFg4L2U5L3h3VVhYSURqampzTzgrZlB4L3IxNi9IbW0yL2lnUWNlUUNnVUFnRDA2OWNQMDZkUHg4MDMzNHpubjM4ZW8wZVB4dUxGaTZHVVNuYnhteVV2TDYrN2Facmp0ZGFMTzNYcXRORXdqS2NBbkF1Z280Z2dJZnUwelFPay9jYVA5WU1PWHJ3VFJGU1B0OTkrRzl1MmJjTS8vdkVQV0phRjQ0NDdEaU5IanF5MVRLZE9uZkRFRTA4Z1BUMGQvZnYzeDRRSkU5QzFhOWVrbGJtcEZCQXlUZk15cGRRWUFNY3JwVlE4N0loSXJUZXMrSFNsMU8rMDFrTmJzRnNUUUtURmhhZWs4a1A5SUg5Z0NDS3E0K3V2djBhSERoM1FwVXNYTEZ1MkREazVPVGorK09PeFpNa1NMRnk0RUZwckhIWFVVU2dxS2tJZ0VFQzNidDNRclZzM1BQWFVVK2pXclJ0bXo1NE5BRENNTm5HanRVb3B0UXVBS3lLQmhoYUtCNkw5OERRc29wUmEyTktOVVBMNHJIN1FRWTRoaUtpT21UTm5Zc2lRSVhqeXlTZHg2NjIzUWtSdzdybm5ZdEdpUlZpL2ZqMzI3Tm1EODg4L0gzZmVlU2QrLy92ZjQvREREd2NBckYrL0hxN3IxbXduMVMveUFsUkZJcEZIQVR4cW1tWm53ekNHQWpnSHdPa0EydGNOUEY0UWVzaHhuTHVUVldaS1ByL1VEL0lIL2hVU0pSQVJ0Ry9mSHFacEFnQTZkdXlJek14TUhIZmNjWEFjQjFwcmhNTmhiTnUyRGQ5OTl4Mk9QLzc0bW5YbnpwMWIwOUJ6MDZaTjZONjllOUtPbzZraWtjaDIyN2JuMnJaOVZubDVlWGZYZGY4UHdETktxWjExMm5Hd1liU1ArYlYrME1HTElZZ29nVklLZi83em4vZWFmdnp4eCtPamp6NUNUazRPdG0vZmpuZmVlUWNEQnc1RU1QaS9tNm5MbGkyRFpWbVlOV3NXTm0zYWhGMjdkbUh6NXMxWXNtUUo0TDFodEFYRnhjVmxrVWhrdnVNNG8wcExTdzhGTUZ4RTVnRFl3b2JSL3NiNlFRY2JoaUNpT3VJOVhCS2RlZWFaK1BXdmY0MU9uVHJoa1VjZXdaSWxTekJreUpDYStldlhyOGV1WGJ1UW5aMk5xcW9xekprekI2WnBZc3lZTVZpelpnMEE0UG5ubjIvVjQ5Z2ZTa3BLS216YmZpa1NpVnhpMi9iaGhtRndNQmVmWS8yZ2d3bmJCQkh0dy9qeDQ3RjY5ZXBhMDdadTNZcXZ2LzRhQUhETk5kZGd6NTQ5MEZxanNySVMxMTEzSGZyMzc0OXJyNzBXTDczMEVzYVBINDk3NzcwWHVibTUyTFZyRnlvcks1TjBKQzBXRFlmRGpmdnVBL0lOMWc5cXl4aUNpUGJoMFVjZjNlY3lzMmZQaG1WWm1EeDVNZzQ5OUZCTW5qd1pBREJzMkRCMDdOZ1JvVkFJZ3djUFJtbHBLVTQvL2ZSV0tEVlI2MkQ5b0xhTUlZaW9IdDI2ZFd2U01QN2p4bzJEaUdEWXNHRTFYd01RTjJEQUFBREFHMis4c2RmNE8wUnRFZXNISFN6WUpvaG9QMUZLN1hXQnIyOFpJajlpL2FCVXhCQkVSRVJFdnNRUVJFUkVSTDdFRUVSRVJFUyt4QkJFUkVSRXZzUVFSRVJFUkw3RUVFUkVSRVMreEJCRVJFUkV2c1FRUkVSRVJMN0VFRVJFUkVTK3hCQkVSRVJFdnNUdkRxT1VVN3h5RlVhT0daZnNZaHpVaWxldVNuWVJxSmxZUHc0ODFnLy9ZQWlpbENLUWwwcEx5L0R4cCtGa0Y2WFJBZ1k2QUVETXhhNWtsNlZKbEN4TWRoR29hVmcvV2hIcmh5OHdCRkZLV2JPeThCNEE5eVM3SEUyaHRWNEtBSTdqREVoMldlamd4dnBCdEgreFRSQVJFUkg1RWtNUUVSRVIrUkpERUJFUkVma1NReEFSRVJINUVrTVFFUkVSK1JKREVCRVJFZmtTUXhBUkVSSDVFa01RRVJFUitSSkRFQkVSRWZrU1F4QVJFUkg1RWtNUUVSRVIrUkpERUJFUkVma1NReEFSRVJINUVrTVFFUkVSK1JKREVCRVJFZmtTUXhBUkVSSDVFa01RRVJFUitSSkRFQkVSRWZrU1F4QVJFUkg1RWtNUUVSRVIrUkpERUJFUkVma1NReEFSRVJINUVrTVFFUkVSK1JKREVCRVJFZmxTTU5rRklHcHJDZ29LZW9qSXBmSFhJdElMQUN6THVpaytUU24xU0RnY1hwK3NNaElsQytzSHRTVU1RVVJOdDFsRXJsSktkVWIxQlQwKy9XWlVYL1MzSzZXbUpiRjhSTW5FK2tGdEJoK0hFVFZST0J5dUFyQlFSQ0FpTmRNVFhpLzBsaUh5SGRZUGFrc1lnb2lhUVVRV0pIekNyYUdVZ29nc1NFcWhpRklFNndlMUZReEJSTTFRVmxhMlJFVEs2azRYa2JLeXNySWx5U2tWVVdwZy9hQzJnaUdJcUJsS1Nrb3FsRktMVWZzMlA1UlNpMHRLU2lxU1hUNmlaR0w5b0xhQ0lZaW9tV0t4V0sxYi90N1B2TlZQeFBwQmJRUkRFRkV6VlZWVkxRSlFuakNwdkx5OGZGRVNpMFNVTWxnL3FDMWdDQ0pxcHVMaTRqSUFTL0MvQnArdmVkT0lmSS8xZzlvQ2hpQ2lGaENSRitLMy9ObnJoYWcyMWc5S2RReEJSQzBnSWdzQnhLcWJRTVFXSnJzOFJLbUU5WU5TSFVNUVVRdEVJcEh0SXZJNmdEZVhMVnUyTGRubElVb2xyQitVNnZpMUdVUXQ1QTBNeHc4VVJQVmcvYUJVeGhCRUtlV0h2YzN4QW94S2RqbWFZa2U1aElBWWV2VTJSeVM3TEUyaGdLZi9zekx5YUxMTFFZM0grdEY2V0QvOGdTR0lVb29BbzdLeU9wNmEyenNuMlVVNXFCV3ZYSVhTMGpJQTRFVytEV0g5YUIyc0gvN0JFRVFwSjdkM0RwNTVmSGF5aTNGUUd6bG1IRDcrTkp6c1lsQXpzSDRjZUt3Zi9zSG50RVJFUk9STERFRkVSRVRrU3d4QlJFUkU1RXNNUVVSRVJPUkxERUZFUkVUa1N3eEJSRVJFNUVzTVFVUkVST1JMREVGRVJFVGtTd3hCUkVSRTVFc01RVVJFUk9STERFRkVSRVRrU3d4QlJFUkU1RXNNUVhUUUd6eDRNTmF1WFl1cFU2ZGkzcng1RUpGbWIydng0c1g0N0xQUDZwMTN4eDEzWU42OGVVM2U1cng1ODFCV1Z0YmcvUEx5Y3R4Nzc3Mkl4V0pOM2piUnZyQitrSi94VytSVGc5SmFYNktVR2k4aWZaVlNDc0JhQUxOczI1NlI3TUlCQ0dxdHV6aU9zeW5aQldtT2R1M2FJUmFMWWNxVUtianBwcHR3N0xISG9uLy8vZ0NBcFV1WDR2cnJyMGZuenAzclhYZm56cDI0OHNvcmNmNzU1d01BdW5mdmpzbVRKMlBpeElrWU1XSkVvL2IvOE1NUDQvSEhIMGNvRkFJQVZGUlVZUExreVRqMzNITUJBTkZvRk5PbVRjTzBhZE5xMWxteFlrWE5tMUVrRXNIYmI3K04wMDgvdmNGOTlPalJBMTI2ZEduME9TR0tZLzFJTHEzMW9ZN2piQVdRS2lrdTFkK1A5aXVHb09RekxNdDZSa1JPZEYzM1poRjVWeW1WQVNCZktmWGpaQldxVjY5ZTdUcDM3bnk2VXVvc0FNTUFUQU53ZDdMSzB4aTMzMzQ3VnF4WXNkZjBEUnMyWU1xVUtVaFBUd2NBekpneEErUEdqY09wcDU0S0FEQk5FN05teldwd200bjY5KytQaHg5K0dDKy8vREplZi8xMXpKMDd0MmJldDk5K2kvVDBkQ3hldkxobTJuWFhYUWNBbURScEVuNzBveCtoWGJ0MmVQZmRkd0VBUTRZTVFXVmxKUUNnc3JJU2d3WU5BZ0JjY2NVVmVQWFZWMnMrMlJZVkZlR1lZNDdCL2ZmZjMrQ3hqeGd4b3VaNGlPckQrcEd5OVdPMFpWblhpOGlMU3FrWFNrdExYeThwS2FsSVVsbFM4djNvUUdJSVNqTFROSzhBTUxDcXFzcGF2bno1Mm9SWmtkWXV5ekhISE5NcEt5dHJpQmQ4Qml1bE9zYm5TVXZ1a2JlUzFhdFhZOFNJRWNqUHo2ODEvZHBycjhYRkYxK00zcjE3MTB4cnpxZEMxM1ZSWEZ5TXZuMzdJaWNuQi9QbXpjUFJSeCtOaVJNbkFnQm16WnFGbmoxN1l1alFvUUNBcVZPbll0ZXVYVFhydi9mZWUraldyVnZONnkxYnRtREpraVZJUzB1cm1UWjkrblRzMmJNSGYvdmIzd0R2QW4vOTlkZmpILy80UjYzbGlKcUs5U09sZFZWS1hRTGdrcXlzckZLdDlTSUFDMkt4MkN0RlJVVzdHckgrZnBGSzcwZXRoU0VveVF6RHVFSkU3cS96QjlkcTh2THl1aHVHOFdzditQeFNLWlVXenp2eC82dnZoa0lsbzN4TmRlaWhoK0tvbzQ2cU5hMXo1ODdJek16RVVVY2RoWktTRWtTajBWckxyRnExcXVaQ1hkZnExYXVSblowTmVKOWtKMDJhaFBQT093OFRKa3dBQUhUbzBBRkhISEZFemMrZE9uV3FlYjJ2aS9LUGZ2UWpkT2pRb2VZeEFBQWNlZVNSTlc5QUlvSzc3cm9MRXlaTXdMWFhYb3ZDd3NLOXRyRmp4dzZjZmZiWnVQSEdHeHQ5anNpL1dEOVNWOExuekN5bDFFZ0FJNFBCNEc3THNsNEZzRUFwOVZJNEhONXhJTXVRN1BlalpHQUlTcUxzN093c0FNY0MrTEExOStzRm4zTU53eGdKNEdjQUFvbkJ4MHZWazI0QUFDQUFTVVJCVkFzOU5hOFRXWloxTHdEWXRuMDFxcDluTHhXUnh5S1J5T05hNjN3QU13QmM1VGhPb1dtYVk1UlN2M1VjWjBCajF5MnRrQTR0T2JZcFU2WWdHS3orczg3TnpjWE1tVFBSdVhObmJOdTJEZkEralpxbVdldFQ3OUZISDExelc3NnVoeDkrdU9ibm5qMTdZczZjT2JqNjZxdHh5aW1uTkt0OGllZjJpU2VlMkd2KzJMRmphMzUrNXBsbnNISGpSZ3daTWdURGh3K3Z0ZHkyYmRzd2ZmcDA3Tnk1RTVkY2NrbXp5a0wrdy9yUmVBRURIYlRXUzF0eVBXdnN1dlVkdjNmdHpRQndsbExxTE5kMUs3WFdiNHJJQXFYVWkvdTdqV2F5M28rU2pTRW9pVHAxNnBUbWhZNmFqenBhNnl1OTlqY0FVT1k0enVIN2U3K0JRRUJFcEVwRWRpcWxYQkVKTkxSc1FxWGM1K013RVZGS0tZaElrKzhheGRlRk5QK09VMVZWRlI1NDRBSDA2ZE1INFhBWWMrYk1BUUFjZHRoaDJMQmhBOWF1WFF2SGNYRExMYmZVckhQS0thZmdwSk5PcW5sanFPdldXMit0ZFdINndROStnSG56NWlFWURLS29xQWp2di84K05tellBQUQ0NnF1djREZ09Qdm5razVyWGRjdlgyRnYyNzczM0h1Ni8vMzRjY2NRUkNBUnEvM3JXcmwyTDMvM3VkN2o4OHNzeGVQRGdScDhmOGpmV2p5Ynlya1V0dVo0MWN0M0dYRnVobEFxSVNBY0FhYkZZYkwvZm1VL1crMUd5TVFRbFVUZ2MzbXBaMWc0UjZRTmdDYXIvMko4d0RHTXhnTUVpOHRjRHNWL3ZFOFNqQUI0MVRiT3pZUmhEQVp3RDRIUUE3ZXZlL1VsOEhGYjNrMHY4a3cycWUybEVBQ1MrZmh6QTQvSFhqVm0zVjI5emFYT1BhOCtlUGVqY3VUT0N3U0FxS3l2UnJsMDdvTHFSTjJ6Ynh2VHAwM0hSUlJjaEl5TUQ4THJzdnZMS0t6WEw3ZHk1RTVNblR3YTh0Z2VabVptQWQzSE96OC9IUGZmY0F3QllzbVJKVGJ1S1BuMzZZUFRvMFlEM3liVkhqeDQxRFRqLyt0ZmF2NzZkTzNjaU16TVRtemR2L3Q3ajJMMTdONlpPbllxcnI3NGE4K2JOdzBNUFBZUWxTNWJVeksrc3JNVDI3ZHZ4MEVNUDRhR0hIZ0s4aHA4alI0NXM3cWtqSDJEOWFGcjlpQW5LNmx5am1udzlhK1M2Ly91a21kQUV3UXRSRlFEZUVwRVhZckhZaTBWRlJSdWJkQkJOa0t6M28yUmpDRW91RjhBOEFGZm41dVkrWEZ4Y1hCYUpSTFlEMks2MS9xNDFDdUR0Ynk2QXVibTV1UjNUMHRMT1VFcWRwWlFhQ2lBeklSQ2xmTVBvalJzM29tdlhya0RDQlJYVmovOXc1NTEzNHFpampzS0ZGMTZJYURSYTg4bDIwcVJKT091c3N3RHZvaDgzZlBod1hIdnR0UUNBRHovOEVNOC8vM3pOdkFjZmZCQi8vT01mQWE4QmFXNXViczNQaHg5K2VNM3IrSnRKM0wvLy9XL3MyTEVEdWJtNWUzMTZUWlNSa1lHWk0yZWlhOWV1bURkdkhuNzcyOS9XdW9DdldMRUNzMmJOd24zMzNWY3pMZjVHUmRRUTFvK1VWWE50OVlKUG1ZZ3NFWkVYeXNyS1hpNHBLU2x0cFhJay9mMG9HUmlDa216Mzd0MDN0Ry9mL3RSMjdkcTlhMW5XVFVxcFF0ZDFPd0pvM2tQMUZpZ3VMaTRETUIvQS9PenM3UFNzckt6VFJPUXNwZFR3Vkc4WXZXWExGbVJrWk5SMDgvM3FxNjlxZXBwVVZWV2hzcklTWThlT1JUQVl4TXN2djR6Ly9PYy96ZHJQbDE5K2lXM2J0c0d5TEh6enpUZU5XdWVTU3k3QnVuWHJNSFBtVElSQ0lVU2owWm8zbG9iMDY5Y1AzMzc3TFFDZ2ZmdjJhTisrZmMyOGpoMDdJaEFJTkRoMkMxRmRyQjhwVFluSVZnQXZ1YTc3d3ZidDIxOWR2WHAxZVRJS2trcnZSNjJGSTBZbjJjcVZLN2RFbzlFVFJHU3BpTnd2SWlWS3FUY0E5QmFSQ2NrcVYwbEpTWVZ0Mnk5RklwRkxiTnMrM0RDTXh4dXhXdEo4OU5GSHlNdkx3OXk1Yy9IVG4vNFVpeGN2eHRDaFEvSHZmLzhibDExMkdVNDg4VVM4OWRaYmdQZUpPUDRwT0JhTG9hS2lBaFVWRlkwYWNmYmRkOStGWlZrMWJ5YU40Ym91YnJ2dE5weDMzbm1ZUG4wNkZpMWFoQTgrK0tBRlIwdlVOS3dmcWNzd2pNY2R4em5NY1p6ZlJpS1JGNU1WZ0pEQzcwY0hFdThFcFlCbHk1WnRBL0FINzE4cWlvYkQ0ZTkvVUo5a0w3endBaTY0NEFJTUhEZ1FGMTEwRVlMQklENzY2Q05jZDkxMUdEZHVIRWFPSElsUm8wYmhwWmRlZ3VNNEdERmlCRFpzMklCSEgzMjBaaWovelpzMzQ4Yy9yaDRQN0xYWFhvUGpPSURYQmlIZURmaTk5OTZyYWRNQUFBc1hMc1FiYjd4UnF5eXpaODhHQUpTV2xpSVdpMkhTcEVrSWhVS1lPSEVpMHRMU2NOOTk5MkgxNnRVNDRZUVQ2ajJXMGFOSDQ3TExMdHRyZWxsWkdUSXlNdkRkZDkrMTlURlJxSld4ZnFTdVZMdTJ0b0gzby8yS0lZamF2TEt5TWdTRHdacHV1ZkgyRER0MjdNRGt5Wk14Yk5nd0FNQTk5OXlEcVZPbnduVmQvT1FuUDhINzc3K1BpUk1uMXR2bTRiVFRUcXUzelVQMzd0M3hzNS85ckdhNXhMWVJkVTJjT0JHQlFBQWpSb3pBejMvKzg1b0w4N0hISG90amp6MFd2L3psTDV0MG5BOCsrQ0JlZlBGRnBLZW4xelJRSmRvWDFnK2lKTHJxaXhWeTFSY3JVcjVSTGFXR1hyM05wU05HajVXbXFxcXFhdkk2TGVXNnJzUmlzVmJmNy80d1l2UllhVWxQdklQQi9yZzJiU2llSkJ1S0o3WGE5WTMxbzNXd2ZpUmZhOVV0M2dtaWcwSkQ0NWdjU1BGdXJFU3BqdldEcUg1c0dFMUVSRVMreEJCRVJFUkV2c1FRUkVSRVJMN0VFRVJFUkVTK3hCQkVSRVJFdnNRUVJFUkVSTDdFRUVSRVJFUyt4QkJFUkVSRXZzUVFSRVJFUkw3RUVFUkVSRVMreEsvTm9KUlR2SElWUm80WmwreGlITlNLVjY1S2RoR29tVmcvRGp6V0QvOWdDS0tVSXBDWFNrdkw4UEduNFdRWDVlQ25aR0d5aTBCTncvclJpbGcvZklFaGlGTEttcFdGOXdDNEo5bmxJRXBGckI5RSt4ZmJCQkVSRVpFdk1RUVJFUkdSTHpFRUVSRVJrUzh4QkJFUkVaRXZNUVFSRVJHUkx6RUVFUkVSa1M4eEJCRVJFWkV2TVFRUkVSR1JMekVFRVJFUmtTOHhCQkVSRVpFdk1RUVJFUkdSTHpFRUVSRVJrUzh4QkJFUkVaRXZNUVFSRVJHUkx6RUVFUkVSa1M4eEJCRVJFWkV2TVFRUkVhV2dnb0tDak1UWHBtbWFsbVY5MU5UdG1LWjVabjUrL2k4YTJFY24welJ2NjltelovdDY1bld6TEd0elUvZTNMMzM3OWoxS2F6MGljVnBlWGw1M3JmV1ZBRlRkNVMzTCtqcnhYRmlXOWFUVytveW03RFBWemdHbGptQ3lDMEJFZExBelRiT1hZUmo3dk42NnJyczVFb2xzdHl4cnNJaE1NMDF6WUNRUzJRNEFTcWtSSWxMNGZldjM2dFdyWGVmT25RK3ZNN216WVJnUDl1dlhiMkFnRUhEakV3T0JnTHRqeDQ0Tm1abVpPZDI3ZC8rZ2E5ZXV3d29MQy8vYmdzT3N4VFROeTVSU0p6aU9NN3Fnb0tCVExCYnI0czA2UWlrMUt6OC9mNnRTNmtzQU1BempYbStkaFFBUWpVWmp5NWN2WHdzQUltSnMzYnJWQllDY25KeE1BTU9pMGVpVnlUNEhsbVhOQWZDNWJkdC9hOGJwb1JUQkVFUkVkSUFaaHZHbWlCeTJyK1dVVWpjQXVOKzI3U1ZhNjE4YmhyRXdPenQ3VUVsSlNSVEFDQUNWV3V2MzY2NjNhZE9tUWV2V3JkdlR1WFBuRTVSU0N3QVUxVmxrZFRBWS9FZmlCTmQxOTVTVWxKd0I0SHl0OVowQXVsdVc5WGNBblZFZFBvSUFPbG1XOVhGOEhSR3hIY2U1YkYvSFlacm1jWVpoVEsycXF1cmo3ZXRNd3pER0pDenljU0FRdUthZTh6UUxBTkxTMG5aWWxoVXVMUzI5RDREcTJyVnJlcGN1WFY0U2tSZEVKRE1VQ24xbFdWYXRkVVZrc2VNNG8xdnJITGl1ZTdWUzZvdjgvUHpYQ3dzTHY5elhPYUhVeEJCRVJIU0EyYlo5YkZQWGNSem5DcTMxSzFsWldUL1JXaCtubEZydnV1NUlwVlIvRVNrQnNGMUVmbUlZeGgzcjFxMnJpSytubFBxMHZMeDhlSHA2K28yTzQ5eXN0YjRyRm92Tkx5b3Erc1N5ckJ0RkpOMHdqTCtHdytIZGVYbDVmUUg4eDNHY3lhaSt1OUUvRm9zTlVrcHRFNUV1WG5nYjRXMjNQNERMRzFOMnd6Q3VCL0R3c21YTHRubkg4a3grZnY2V1FDRHdvOFRsWE5jdGkwUWlqMm10OHdGc2R4eG5qZFo2bHVNNGwybXRIOHpNekR3SlFFaEVMbFpLT1VxcDYxelhQUW5BQXNNdytvYkQ0WG9mVmJYR09mRHUyRDBZQ0FTdUIzQnhVMysvbEJyWUpvaUlLRFZGSGNjNXJieTgvQk1BZjNKZDkwK1JTR1MxVXVvNnd6RGFSU0tSMVlGQTRCd0FNd0c0aVN1bXBhV2RwNVE2Q29BQStMVmhHQnNBb0x5OC9DNEFpTVZpWndGQU1CZ2NGd3dHUHk4b0tPZ2RYemNZREs2TlJDS3JnOEhnV3FXVUc0bEVWa2Npa2RXdTYzN1h5SElIQVp3VGpVYWZUWndZQ0FRdUVaRkRBS3dHc0ZwRXZsTkszWWJxY0hHeGlBendGcjNRZTI5NlJ5bDFPb0NnaUJ3aUloc0FySWhFSWg4MnBoQ3RjUTVjMTMwT3dObThvZEIyOFJkSFJKU2lMTXV5eXN2TC93dGdjaVFTZVIzVmoyTjZpc2l4QUQ0UmtTMGk4dmU2NnltbExBQW5XNWIxallnY1poakdHNG1QajVSUzBGcWZiOXYyY0szMW53Rk04OTdNV3l3dkx5OVBSQ3FLaW9wVzFWT3VNU0p5dHZleklTSU5ic2N3ak1XdTYzNElZTFRqT0g4cUtDZ0k3ZG16NTZuNGZCRlpxcldPeFYvSFlyRUpSVVZGbjdUbU9ZaEVJbDlwcmZlWXB0azNFb2xFbXJJdXBRYUdJQ0tpRkNVaUQ2YW5wNy9rT001dHFBNUYyU0p5cUZKcUtJQ242cmJQVVVvRkFGUTVqdk1IQUgrd0xPdGlBQU5zMng3ZDBENGN4N2twOGIzQWRkMG50TmFWcnV1bUFjalVXdi9MMi9ZaEl1STJ0SjA0d3pCNkFQaTJnZG0vZHh4bkNRRGs1dVoyVEU5UFg5blFkc0xoOEE0QXBaWmxCYnpYVlFCcTdzUlVWVldOVWtwdGk3L2V2WHYzcGlTZGcrOE13NmpiRUp2YUNJWWdJcUlVNVBVUU83cWlvbUpHd3VTekFEeWlsRG96THkrdloxRlIwYnJFZFVRa0U4RE9oRWtYS2FWT3NpenJKd25UdWdKNDJiYnRpMUhkWmYyd1lEQjRUaVFTZWRDYmZ6ZUFIUUE2S2FWK0xpSzNlZHZPQjNCUkk0b2VWRXBGRzVqM042MzFUdXg5SitpL1NxbXQzdlNhYnZMOSt2WHJMQ0tCbmoxN3RsKzNidDJleEEybHBhV3RyNjlOVUd1ZkE2V1VLeUo3ZGUybnRvRnRnb2lJVW84U2tWc0IvTG00dUxnTTFZR2dpNGhNY1YzM0VkZDFud3dFQXRQcVdlOElwZFFHVkllb0UwU2tPNEFsSW5LNWJkdTlkKzNhZFR5QXpRRHVqYThRQ29XR0txVXVqTDgyREtQUWNaelBEY01vOU5vbGZlNDR6dWV1Nis3MWVLc0Jtd0IwYjJEZTd4M0hNUUZjQ2VBbUFGRlVoNHZubEZKSFdaWjFrNGlVeDZjSGc4RThBQm5kdTNkL3NPNkdSQ1M3b0tDZ2Q4Sy9ic2s0QnlMU1hTbTFzWkhuaGxJTVF4QzFOdVhkZ1d6b0gwelR2TUN5cklIMXJXeFoxa3pMc3ZicW9hSzEvbU5lWHA1VnovSkRMY3Q2dWI1dDVlZm4vNkozNzk1ZEU4dFdVRkNRVVZCUTBFMXJmWFJlWHA2Vm41OS9tbW1hbzB6VFBOWGIzb1RjM055Tzlld25PN0ViYlQzNzZtTloxcHA2eXYxWWZjZVRESlpsYmM3THkrc1pmMjJhNW0ybWFkNlczRkw1azJtYW93RjBNd3hqTnFvSDdRdUZRcUVuQVB5enNMRFFjVjMzTDBxcFV5ekx1aXB4UGNNdzhrVmtPWUFBZ0JsS3FldThNWFh1dHl6cnBJeU1qSVVpY3I5dDJ6WGR4NVZTUTVWU3IrNnZzZ2NDZ1lpSWROZGFIMUZubGgyTlJ1TmhZYXlJakZOSy9RVUFLaW9xS2x6WFBSWkFSeEdwdWRPaWxEb1Z3TzBpMGtkclBiYk85bWE0cmpzNzRkL3cxajRIZVhsNVBaVlNYVXBMUzVjM2RWMUtEWHdjUmdlVVpWazNpOGhFcGRSMkFFZTRybnVOVXVyNzN2UkhpY2gvUldTQjF2b214M0VlYU14K2xGTExBNEhBbTVabFRYUmQ5eE9sMU1tTzR6enhmZXNZaHZHVDl1M2J6eWtvS0JnbUluZUp5SW11Nis1V1N1MEVzRE1RQ0pRQzJLNlUyaWtpYjNrQnprcFBUeCtUazVOemVscGEycUZLcVF4VWZ4bzhTaW5WM3V0dUN3Q29yS3hjdjNMbHlpMWUrWDRtSW8wZFN5U2d0YTRibUI1V1NsMEhZTDJJWkNxbDBnRnNGcEdPU3FubmJkdStYR3Q5SDREekc3bVAweDNIK2Q2Qjkyai9zQ3dyTENJNWpWMWVLVFVXd0c5RTVOWndPRnpWcDArZlEwVGtjUkhKTkF6akR3QlFWRlMwS3o4Ly96ZUJRT0J0eTdJNjJiWjlXL1dmb1p3cEluL1JXdDh1SWxzY3gzblpLOE5jQU84Q2VIM1RwazJQeGZlVm5aMmRMaUtEQU55NXY0NDNIQTd2dGl6cmRlL1JYYzFBZ2txcGhjRmc4QzRBdzVSU1h3QllZdHQya2RiNklnQWh4M0d1c1N4cnFOZTlmb2wzTjJ3TWdLR0dZVHpudXU2SGVYbDVieFVWRmYzSDI5NVEyN2JyUGc0eld2TWNCQUtCczBSa1NVbEpTVVVqRnFjVXhCQkVCNXpYRGZaZEVaa2VpVVJtYTYyUEJqQ2dudVYrYTl0MkNZQmkwelFIQWhodG11WjU4UXMvcXEveXZRRHNzU3lyNXRaMU5CcTl6TGJ0RjdUV1cwWGt4d0I2QVJnTm9DWUU5ZTdkdTJ0R1JzYkpBSTYwYlhzbXFodEQzbU9hWnFtSVRCQ1I2U0x5MTBnazhvSFdlcFpoR0RQQzRmQks3OVBzeDdGWTdGb0FZdHYyUk11eUhtN2Z2djBJd3pDT0JKQXRJZ0dsMUJBQW1ZRkE0Rm1sVkFUVnQvS2ZCUEFxcWdQWElCSDVySkduTE9ZNFRrL0xzb1lDR0dIYjlvVjVlWGw5ZzhIZ2liWnREelpOODdkS3FmNjJiVi91blljVHZQTndzMUxxcnNRTkJZUEJoUUJtUmFQUnhZblRRNkhRQnRNMHh4dUdVYk84aUdRRmc4RXZMTXNTNzNVN1ZMOTUxSVJXMjdhN0FvaUJHcTJ5c3ZKTXd6QkNqVjArRkFwdERZZkQ4d0dvZnYzNjlRc0dnNitMeVB1eFdHeUU0emk3NDhzVkZoWTZwbW1lb1pSNndUVE5YZDRqbVJMRE1Dd0FwN211ZTRuVytocWwxQ2dBbTJPeDJFRERNUDd2MEVNUExlbmV2ZnNMcnV1K1loaEdURVNxSE1mNU5MNWQxM1cvMEZxTDY3b0FFTlZheHhzamh3QXNhOHd4aU1nMEFFL2w1dVkrV2x4Y1hPbE51MWxFWHZmMnNkRXdqR2tBaG9ySXgwcXA5MDNUWEdEYjlzdGE2OGxhNjh1OTk2ZVZqdU1Vby9wdTZ1QjRBR3FJMXZyQzFqb0gyZG5aNlFDdUFYQmVZMyszbEhvWWdxaFZpTWdJcGRRejNzc2Z1NjU3WFdGaFljM0l0NVpsTFhGZHR5TUFJejgvdjM4a0V2a1VRTVN5ck10RlpKV0kzSVRxb1BSbkFGKzdydnVFOTNxdVlSaEhhYTNUSGNkNUI4QTdwbW1lcXBUcXFMVWU2UTF5TnFoOSsvYWZpVWlKVXFxOU42NEsrdlhyMXlVU2ljejI5bDhBNE5tOHZEeFRSTjUxWGZkK0FLY0JlRkJFbmlvcUt0b0lJTmluVDU4czI3WXY5WW9kMEZvUEFYQzFpRXhWU28wRzhBYUFuckZZYkZaaFllRkg4QjVsdUs1N21sSXFUV3Q5cGRjZ2RKWGpPTHFKcDdHLzF2b05BRDFFSkV0cjNWdEVEbGRLdlEwQTNzQjAyeEpYc0N5clVrUzIxbTFBNjNuVSt4ZGZkbk0wR2pYank4WWZoVG1PTTdXSjVhUUV5NWN2MzlEY2RkUFMwbGJHWXJFSmtVamt4ZnJtUnlLUkQ3WFdPaEtKYkxRc0t6Y2FqZjRoR28wdVQwOVBmODhMQWoxYzF4MlgwSDE3YVVGQndTMGljbzVoR0YxaXNkaC9EY040TmpIWUdvYlJwNzRHeC9uNStiOHdES05SajBjZHgvbklzcXgvcHFlbi93WEFIN1RXUjRoSXpzNmRPOGQ0NVo2cnRSNlNuWjJkRllsRXZqSk44NjVBSUhBNGdPMnU2LzdlTUl6QlNxbXQwV2owNnZnMkN3c0xQLzNlblZaZkR5S3RkUTR5TXpQdkFqRFBjWnpQRzNOT0tEVWQ4QmJ0VjMyeFFnQmdScDhmcy9XOEQxbVdkYlAzMk9ZS3d6QitFZzZIZDJpdG53ZHd0TmY3QXFpK2VKbXU2LzRxRUFqc2RGMzNJd0FQT1k1enMyVlp2d2ZRMjdidHk3M3R6UVN3TW40M1Iydjlob2dzTUF6anp3Q214V0t4THd6RGVFUXAxUm5BQWdDN1JlUll4M0hPMEZxZkRPQ1BqdU1NS2lnbytJR0lmQ0lpRXh6SFdlaHRlNHFJTEhJY1o0VnBtcjhLQkFLZnVxNzc0TTZkT3k4cEtTbXAwRnIvRXNCc0FPTkZaSTlTNmxrQWI4VmlzUnREb1ZCTVJQNmZiZHRYZS91WnFwUTYzTFp0YlZuV3IwVmtsdU00UFFERUxNc2FKaUsvY3h6blRLMzFZd0IrQ09Cend6RCtHQTZIZHllY3U3cDNndTR2THk4ZmxaYVdkcjVoR1BubDVlVTN0R3ZYN2h3QVA0NmZuM3JPLzhjaU10MXhuT2ViOGV1THR4bmNaN2ZvdG1oL1hKczJGRThTQURnczk3NkQ1Zm9XMkk5MytnSmE2OE1jeDJtb3UzeXFhdFE1eU0vUFA3S3dzUEE3M2hrOU1GcXJidkZPRUxVS3BkUVhydXNPQXZDOFV1cStXQ3oyN3gwN2RteUp6Ky9TcGNzdllySFlta2drc3MwMHpSTU53MWhvV2RiQ1JtNitPQmFMbldvWXhxT0JRR0NKaUZ3dkltTWR4N25Fc3F5aFNxbUpYaG5haThnZVZMZGIrTWF5ckxPOFJ3bmZHSWFSSXlKLzhENjFBdFczeEFFZ2xKbVp1YVYzNzk1SE80N3pabjUrL2tXR1ljeFNTZzFRU28wQmNHY3dHUHhYdkt1dlpWbWZvL3JPVjZTOHZQeHM3d0k1QVVDbjdPenNEaVVsSmFVaW9rWEVUaWovS3dDT2MxMjNNRDgvLzRMQ3dzSlB0ZGFQaVVndWdDTXN5M3BaUko0Q1VGbGNYUHlkYVpvN0FPd3VMaTcrenJLc0hmV2NqMGJMenM3T3lzek1iS2l0VWdlbFZFY1JlZHR4bkwwZVg5SkJhWCsrb2NmYVlBQkNZOC9CL3Z5eVdVb2VoaUJxRmRGbzlMWkFJUENBYVpycEluSkRJQkRZYzhnaGg5UmFKaGdNdGdQUU54S0pmQVdnSDRDb1pWay9FNUV6NDRPVmlVaWVVdW9rcmZXdnZOWHlVSDFCK2dMQXoxSDlHT2V3aEtGR0VoMEJZSHY4aFczYkgrZms1UHhvMWFwVk93RkVBTXhMV0ZacHJTOVdTdjAvQVBldVhMbHlxN2VmOTcyeVNVRkJ3YmNpRXJWdCs0VEVuZVRsNWZVTkJBS3ppb3VMeTd5RzBnVktxVVZaV1ZsbmVQc1lCbUJTelk2VUtyTnRlMngrZnY3L0JRS0JaM0p5Y2t6WGRXY0hBb0ZUUkdTQWlNeFFTbFVBT01teXJCSnZISlIwYnh5WmprcXA1dHpsQVFDVWxKU1VBcWcxMEZ2ZnZuMFBDNFZDVTd4MkZBL0Z2K0diRG1ySyszb0pJbDloQ0tKV1VWUlVaRnVXbFFNZ0U4QXpBQUt1Njc3aE5VUisyblhkS1laaDFBeDVyN1VlcFpUNkVOVWg0VE1SdWN2N2VRcUFOUUNlOHhiOVc4STZEeW1sN3ZidTROVGlkWk0vV1VTdVRKeWVrWkV4SlRjMzk4NzRXQ3dKeXo4cklxNkluT1E0enFiRWVhWnAzaDBJQkthaU9wVDFqZC85aWZNYUZHLzNqbnVsMXZwODEzVmR3ekR1TUUxekhZQU85WDMvVVdGaDRYTUZCUVV2ckZxMXFnckErNVpsZFZaSy9kaTI3VGR5YzNNUFQwdExteFNKUkdZbk5vek95OHV6RE1QNFFkTi9JM3Z6UnZDOVZpazF6blhkdjBlajBUN3hMOENrZzV2MzkvNmE0emcxWDhGaG1tWXZ3ekErdDIyNzIvZXZmZUI1YlFOTngzSEdlWk9DbG1WVjJiWWRpbzhwUk5RY0RFRjB3SW1JeXNuSnlVejhwQm1MeFo0UEJBSmpUTk1NQWVoUVdGajQzL2hqS0hnOXltS3gyTGhBSUFBQW0rS05EeTNMMmdUZ20vanIrT2l6ZmZ2MlBRekFoTXJLeW1uQjRONS8xa3FweTd6L1Q5UmFEM2NjWjJGZVhsNTNBUDh2TFMzdE84dXlicW16U2llbDFDNEFLeEsrYitqaVdDeG1LNlhHaDhQaHlRVUZCVkJLTFcvb1RwRDNNdW80enB0ZTJYY0MrS2VJWE5IUXVmSytHbUF2YVdscDVZRkE0UDJDZ29MZXNWaXNCNERPM2hjKzdxNnFxbXB4VjNmVE5DOVFTdjBWd012UmFEVGZhd2hldyt1bE5NQnhuUHRidWk5S1BTSnlvb2cwNm5mcnRaMUx2SlA1SCsvTFRYL3EzYkU4V2tUV0txVmNBRDlRU2gxUlVWSFJQaFFLTmFwM3BGTHFkZHUyR3pNeU5WR0xNUVJSYTdpeVE0Y090NG5JREZSZmNBOHhET05oQU8wTnc3aEVSRlpabG5WRHZGMk4xam9md0tFN2R1eDQ5NUJERHZsUlkzYVFscFoySmdCbitmTGxhMDNUUERZK1BScU5iaklNSXhLSlJMNUI5UVg4UmdEZkFGZ1lDQVFLbEZJUngzRWVCRkJyUkZwdjRNT3JiTnV1TlFDaTFubzRnSEM4c2ZDKzdnVFZtUjRCY0tvM1JrcWppRWdnTHkvUFVrcjkxSFhkYzFEOUp0RkRSTEpFNUhCVVAwYjhCc0FsamQxbUhZWjNGK0NISWpLc29TK0JESVZDK1FCK0E0QWg2Q0JqV2RhUEFSeHVHSWJUbU9WdDI3NEx3RjNlMy8wSTI3Wkx0TmJQSzZYT3MyMzdZNjMxYXE4VHhHYkxza3BRM1VQdTI3eTh2UDZKMndrR2c2Y0NtQnFOUm4rVk9MMnlzbktQVjY2dnZhKzNBSUEwQUFITHNzNnRVL2JFSGx4MzJiWjllN05QQlBrU1F4QWRjRXFwK3hKNmMwMVVTbTExSE9jWDNoMlQyeHpIK1kwM0wvNWxrTU1Bdkx0Njllcnl1dTJHR2lJaUZ3QjQwZnQ1dDFMcW1MeTh2QTdldDBwL0F1OXhqNGdNVUVwZDZaWHJKMDBZdXlkK0xEOEZFRjluQjRBN2JOdStOWEVaYjJ5aFdwOWtUZE04WGlrMVNrUXVWRXI5czIvZnZxY3RYNzU4cmV1NnM0UEJZSzJ1dURrNU9aa2RPblM0QmNBcEFES0R3ZUFWc1Zoc2VtRmg0VVBldG41ckdFYi9PajNDZ3JtNXVlM3FPUytHVXFwZDNWR3UyN2R2NzRiRDRkMWE2d0VBaGxWV1ZoNzV4UmRmYkszdm1MM0Ira1kyOVZ4Um16RVVnTGl1dTFGckRhVlVPeTl3TitrT280amNyN1V1VlVvZDVycnVQN1hXVlY0N1BBQ0kxUjJtd2JLc3pTSVNiV0Q0QnRpMmZXekNzcGNETUczYnJ2czRyQnNmaDFGTE1BUlJTdkRHMGduQ0d3bFdSSjVMbUgyeDF2cGNWRjlvZ2VxZ0VSKzdwb3VJZERRTTQyU3ZkeGVDd2FEanV1N1h3V0J3czlZNnNhZEhVQ24xdGxMcVRXOWJBd0Q4STJGK0FJQ2JuWjJkNW8wdFVsNjNuQ0p5cXV1Njk2SDYwZFY2QUxmV1hjYnJFWE5IL0xVWGl1YUp5TldPNHp5Ym41OGZDNFZDSDFxVzlTeUFkeXNySzNmazUrY2ZhUmhHcFdFWVFRQTdST1ROeXNyS3Z5NWZ2bnhEUVVIQnNZWmh2QmwvWEtpVTZnZ2dUV3M5TkdHMy8vUjZvZTFGUkdhbHA2ZlBxak50QTRCalJTU3NsSG8zUFQxOXJXVlpwZDQzWklzM2xsSEFHNWthSXZKbU5CcTk1L3QraDlSbVhTZ2kxOFJIWi9kR3VGN3ZkUzRJYXEyZkY1RjdJNUhJQjkrM0VSRzV1Ykt5MGs1UFQvOE13TzhxS2lxMnBxZW5mOVJBSjRVbWlYK0lTaEJsZXlEYUh4aUNLR21Dd1dDNWlLeXhMR3VlaUF5T2YzZVBpS3h6WFRmeGUzem1PSTVUN3pnNFd1czNsRkpsSW5LYzR6aHI4TDkyTllQMnNYdERLWFZVTkJxdDZhcHVtbVkvd3pBK0F4QVZFYWV5c3JJNGNZV0Nnb0lNRVRsZVJENnpMT3Q4RWJsK0gvdW8yTGx6NThrQVhnZXd3SEdjWi9HL0J0RHZ1YTQ3R3NERVVDaDBMSUJ1SXRMT0N5RS90VzI3NXZ2T3d1SHcxOTRvMlB2eWgwWXNVMHNrRXRrTzRIUUFScTlldmRMcXpzL0l5SERqSS83U3dVZHIvVE92aCtXUitOOG95TWNHZzhIbHNWaXN1eGN5WmhtRzhZeldlbjVGUmNYMW9WRG8xRUFnY0NXQWJBQ1BhSzAvUWZVQWcxdUxpNHUvMDFySERNUFlXRnhjdk5teXJCWjF1ZGRhM3dMZzB2cm1LYVVPZy9mQnhCc29sYWpKT0ZnaXRiYUE5MzlqTDQ3Sys5ZWFBL1laRGUwdlB6OWZGeFlXTnFydFJKelcraFRIY2Q1bEYrVFV3c0VTQWEzMWZPK3g3czhkeDhrMVRYT0lVbXFTNHppbkpmWU82OU9uenlGcGFXbHpBYndENEVrQXVWN1B6TnVWVWw5NEh3Z2FiQmhkMytqTDNoQVAweDNINlZ0LzZlcm5EVGI2UndCVkFPNXdIT2NsMXEyRER3ZExwSU5WVXo4WlNoSXVjQTBHcnFZR0lGUS9IdU9uVkVwSklqTERkZDFJSUJCWWJKcm1tVXFwU1VxcHY5ZGR6bXN2TnNUN2dCQUQ4SzNYMi9GRHIySDBRc013cmdtSHc5OGtOb3pXV2wrbmxOcGQvOTZieHJLc2t3RGM2ZDB0dmNGeG5EZjJ4M2JKM3hpQ2lJaDhLdDdPUjJ2OVI2WFVjMHFwamJadE56VDRwalQwSWNZYjB5dWpvS0NndCt1NklSSEpMaWdvNkFiZ1gyVmxaWUg2MW1tc2dvS0NIbDdQMG56WGRhK3Q3M3ZVTE11YUVvMUdGeFlWRmExcXliN0lmeGlDaUloOHpqQ01yMXpYN1NnaVM1dHl0MVpFRGpWTjh6QVJ1VVpFT3FFNkVCMGlJbmVJU0JXcWV5TGVCdUR0NXBRclB6Ly9GNjdyTGxCSzNWZGVYbjdSOTdSUG14QUlCRDRCd0JCRW5uamdJd0FBRVdOSlJFRlVUY0lRUkVUa2M2N3J6Z0p3ajFMcUYxcnJheDNIdWFPeXNuSnplbnI2WGgwU3ROYkR2ZUVlZWlxbGJnT3cySEdjY3hMbXJ6WU00NXpFZGtBRkJRVVplL2JzTWVyc3M1MVN5cWc3ZkFNQUZCY1hsd09JQmdLQnY3aXVPOGR4bkliRy96RXN5eG9rSWowTncyanhvS0hrUHd4QlJFUStacHJtOVVxcEh5cWx6Z1dRSVNMenRkWm5LcVdlY2wxM2ViOSsvWTZKeFdLN2c4R2dHNDFHRFFBbHJ1dmVIWWxFTGdRUTFWby9vTFZlSGQrZVVxcW5pTmhhYTlkN3ZWNUUwdExUMDNQcTIzOTZldnAzZGFkcHJTYzVqdk4zRVhuRU1Jdzd0TmJqbFZMbFhuc2dLS1VDM3Z0WGhvaXNVMHI5TGh3T3QrakxoTW1mR0lLSWlIeEthMzBSZ0t1cXFxcCt0bXpac2lxdnA5aHBXdXN6QUp5bGxCb2JEQWFQRElWQ21TSVNDQVFDQ3h6SEdaMjREY2R4cmdEUTRGZkJ0SVRqT0U4Q2VESTNOemR0OSs3ZFJ0MzVxMWV2cm16bG5xTjBrR0VJSWlMeXFjckt5a1hwNmVtRnk1WXQrM2ZpZE1keFhnSHdTdkpLVmh2SHFxSURoU0dJaU1pbnZLN3Y5WDVkQ3BFZjdIVjdrWWpvLzdkMzkwRnlsSFVld0wrL3AzdDNsaVFic2tud0tOaERrRDJNRzNhbW55ZUNhQ0VhSW1oeGljVWhlT2NwS01XTGlOd1JrUUpGVVNqeFBBdE9vYndjQ0JXNThrN2VEdTQ0bEJjSkhIZ29GcWZUUGJ0czF1UllJWGZKOFI0Q0pQczIyL1A4N28vdFNRM2pMc3hNQW1UaCs2bmF5dll6VC8vbTF6M1BwcDk5bnFkN2lZamVEdGdKSWlJaW9yY2xkb0tJaUlqb2JZbWRJQ0lpSW5wYllpZUlpSWlJM3BiZXNMdkRxbit4bVlqb3JhYjZGNitKYUhaNS9VZUNCUHdMMmtTMGg5SmQrdjlKZG5GL0lwcVo4dWVMaUlpSWlJaUlpSWlJaUlpSWlJaUlpSWlJaUlpSWlJaUlpSWlJaUlpSWlJaUlpSWlJaUlpSWlJaUlpSWlJaUlpSWlJaUlpSWlJaUlpSWlPZ3RxRkFvSEJKRjBlZGVvMW9ZUmRGbCtYeCs3aHVVMWhzcW44L1BqYUxvcXdDazBYMnN0VmRZYTcvKyttYTJaM0xPM1JORjBmRnZkaDV2aEZiYUJ0R2VobzJYWmgxcjdZY0FYQURnQ0FEekFEd0w0UDRrU1Y2cncvS3FvaWc2c0hiYmU3OHdETU43VmZVVHF2by90YStWeStVbmg0YUd5bEVVblNRaWE3ejNIeFVSblNuMitQajQ1ZzBiTm14dE5pZm4zR29BbDhaeHZCQkFwVnB1clgxRVJIYkVjYnlpV3RiWDE5ZlgxdFkya0tacDM4REF3R0N6N3dVQXZiMjkrN2EzdDNmVWxvbkl6UUJ1VWRYYmFzdDM3Tmp4d3ZEdzhNdjFNYXkxVndCNE1VbVN5MXJKWVRxRlF1SElJQWdlVXRYYmtpUTVzZmExS0lyT044YjhSUnpINzIwMXZuUHVKZ0JRMVhLU0pLZms4L251TUF3SFZiVlVVNjFOUklJNGpvK3cxbjRFd0RuVGhIby9nRTBBbnFvcmZ6bEprbE5heWExUUtPeHZqUGsyZ0dNQUxBYnduS3FlVXlxVmJtOGxuclgyQ2hFNUcwRDVOYXEyQTdnMmp1UFYyRTF0ZzJoUEU3N1pDUkExdzFyN1Z5THlYUURmVmRXTGpERVQzdnREUk9UVHV4cGJSQjRIOEovVjdTQUlvS3FEQUM0VmVlWHZDMkVZZmg3QVJoSDVJb0RIakRIZmZMWFljK2JNdVJyQXo1dk5LVTNUdThNdy9MNjE5dkFrU1g0TkFFdVdMRmtrSWxaVmZYZDM5MTVidG13WnkzSmFycXBQdHRvQkFvQmNMbmVUaU14WDFkb0wyQmlBVlNLeXFyYnUvUG56cndadzh3eWhiUFdiS0lvV2lNZ05xbnAycVZUYTFHcHVxcW9pY3F4emJsVWN4ejl0TmM0TWp2TGVIeWNpUDZ0NXY4Y3FsY3JPam82SUxBaUM0QXBNZFlManRyYTJTK3FEaU1nYUViblZlLzlBYmJuM1BtMHhMekhHM0NzaWoxY3FsWlZoR0w1Y3FWUU9GWkVkTGNhcnVpQ080Nyt2Ympqbnp2SGVUNVJLcGV1cVpWRVVuVzZNT2JTNnZSdmJCdEVlZzUwZ21qWHkrYndUa2UrcjZxb2tTZTZ1ZVdrRGdEdnE2L2YyOXM0YkdocHE1bUpSVHBMa3cxRVVuUnNFd1MyVlNtVzVpT3lkSk1uVjF0b1ZBRTZmbkp5OFlIQndjRE9tTGh3ZlZkVURBWHlvVXFsVVpncWFwdW1MOVhrMG10dkF3TUJHYSswVEFENEM0TmNBc05kZWV4MnJxb21JdkdmUm9rVWYzTEpseTcxWjlhTkY1TjdhL2ZQNS9OeUJnWUdSSnM0QkFKd040QjBBbnZQZWJ6WEdYSmdreVduTGxpMWI3TDIvQWNBM3F4MHlhKzFHQUxtYWZiK1IvWHQ4UHA4L0tFM1Q1NHd4UDFYVnphVlNhY3V1NUNaVFBkRy9BN0NtdDdmM2dkYzZmODE4L3FwYUxwVktKV3Z0enM2S2lCd2FodUh0TlhWTU51cUk5ZXZYdjlEZDNUMjJjT0hDUmJWeGdpQW9xK3JMM3Z2bnEyVnBtcVpEUTBOUHQ1SmJYMS9mUVNMUzY3My9YSDkvZjVJVi83NitYaXVmY3o2ZlB3akEzT3pZRGhHUmNqNmZQeFFBakRFejVkWncyeUNhRGN5Ym5RQlJvNElnT0J2QUwrbzZRTk1xRkFvMmw4dTlaSzF0YW9wazJiSmxCeGhqemlvV2k4K0t5SEpWSFFPQUpFbnVGNUhiMjlyYXpnV0FucDZlK1FDdVU5V0xST1NTSUFqK2VhYXZqbzZPUDkyVjNFVGs3cXdUVlBVeFZYMVFWWDhWQk1FeFdaa0JjSlNxMW5hQ1RCQUVtNjIxWDI3bUhLaXFBUGhPbXFiUGlNaGhBQUlBS0JhTHozdnZMeFNSMVFjZWVHQUhBSXlOalgzQUdQTmVZOHg3czJtZzU3S2N0NGRoZUhGSFI4YzZBTU5Ka253R1FPMW9TRXU1all5TWZBL0FpeDBkSGQ5NnRYck91ZFc1WEc1ek5mZG05UGIyemd2RDhOOEJkS2pxMCtQajQ3MEFCZ0E4RCtCOXpybUxBR0R4NHNYdkM0TGdwdG92QUcwQVRxMHQ2K2pvK0lkV2N4T1Jad0M4Wkl3NXQ3dTdlNjhacXJWMExvMHhwd1ZCY0ZrUUJKZGw3ZXRqMVcwUk9YVzZmWnBwRzBTekFVZUNhTllRRWFlcWR6WlNkMlJrWktpenMvUFViZHUyTlRVMWxLYnBFVUVRdERubk5xcnFRU0t5d2ptM2M1R3ZpTUE1ZDd6My9rY0FmZ3ZnTHUvOVhUUEZLNWZMYWYxdi9DM2tkZytBMDdQZjlrZEY1TmhzK3U4cFZmMHNwaTZzVmxVWEdHUFcxZXpuUmVTMGNybjgyMmJPZ1lnY0FDRFgxdFoycjZydUt5TGJuWFBEdFhVV0xsdzQyTlhWZFZhU0pQY2g2emprY3JuOHRtM2JIdWpxNmxxaHFqOFdrVE1BM0JqSDhXa0E2dGRMdFpUYnhNVEVaQzZYT3lNTXc0ZXN0VDlKa21UYS9kTTB2VFVJZ3MyMTY2Z2ExZDdlSGdLWUc4ZXhXR3R2SFIwZE5ibGM3dkJ0MjdiMUxGaXdZSW1JckFhQVVxbjBvTFgyaTFuSFowYmo0K092R0FGckpyZUJnWUVSYSswbkFOeTR6ejc3UExaNDhlSkxTcVhTOVhYN3RuUXVTNlhTem5adHJmMjZxbzZYU3FVcnFtVlJGSjFldjA4cmJZTm9UOFpPRU0wYXF0cGVlOEVwRkFyV0dQTlFkZHQ3LzhIcWxNSHc4UEFFZ0I4M0VUNEFNTm5mMzM4TGdGdnkrZnhCWVJnK0dNZnh1NmFybk0vbjN5MGlqNGpJTDE4bDV0eGNMdmQvQUk2c0xXdzJ0elJOL3lNSUFnMkM0S2hDb2ZDMHFuWk9URXo4TXBmTFBRM2dlOWJhZmJ6M3k0MHhjYkZZZkw1MjN6aU8vNjNSOThIVVJTNEFNQnpIY1E4QXNkWStNVGs1ZWZTamp6NzYrS3Z0MTk3ZWZvcUlyTnUwYWRONFYxY1hzbW1qdFFEMm1hWUQxRkp1VlFNREE0OVlhNjhXa1dzQkhEWkRuUzBBdGt6M1dpTlV0ZHM1ZDQrcVJ0V3lycTZ1TzdMcG84ZXFaU0p5ZjdhT3JMckkrRU9xdWxGRW5zN2k5T1Z5dVg4QzhMZXQ1cFlreWYwOVBUMDluWjJkWHpIR1hHV3RQWE55Y25MVjRPRGdNOVU2clo1TDU5d2xxbnFXaUx3b0lyRFduaThpMThSeFBOMTZwNWJhQnRHZWpKMGdtazBlRjVHbDFZMlJrWkdoK2ZQblI5NzdMbVBNZnhsam1wNzZxSXFpcUZORXRsZTNneUE0R2NBQnpybmZBNWpNaXZkU1ZaOGt5VUVEQXdNYkFXd0VjT2hNTWEyMVJ3SDRUcXM1VldXakFROEJXQ0VpVzBYa3dhR2hvVEtBSWVmY0ZsVmRJU0pIMTAyRnRVUlZPNzMzMjdQOFB5Z2k3MnhyYS91VmMrNmxtbXJ2VnRVRGt5U3AzakVYaXNpWEtwWEtLNlpRSmlZbXZwSEw1VFpHVVhSU3FWVDZsMTNOclM3MjF6bzZPb2FzdGF0Vlo3d3ByeVU3ZHV3WW16ZHYzamtURXhPM3RyVzFSWnMyYlNvdldMRGd6QjA3ZHZ4eTc3MzNYcENtNlpMYStpSnlaclh6Nlp5N1IwU3VqT1A0SGt5MXE4dnFGOVczSXJ2VDZxSW9pcTRWa1FmYTI5dXZBSER5TGdlZWNra2N4OWRnNmpNL0M4QyswMVZxc1cwUTdkRzRKb2hta3h0VjlianFXcHJoNGVHSk9JNkhneUI0WWxjRGk4aCtxdm9Nc3FrZEFHY0N1RXBWYjRqamVFa2N4MHNBUEFMZ3U0M0c5TjZQaThqdVdoOXh0NGdzTjhZY282bzc3ekpUMVhVQWpoR1JJMXU1KzJ3YSs0bklzNWc2SnhjQnVGeFZOOFJ4L0o3c0hQd0F3TTIxRjdrb2lsWURlSzYvdi84Vm8yTHIxNjkvUVZYLzJoaXp0cSt2cjI4MzVMYlQwTkRRRHUvOUZ3QmNhb3pwM3AyeE96czdEOGJVNk5hSkl0SmpyWDBhd0R2bXpadDNRcVZTT1ZwRTl1dnA2YWt1QnAvcnZmKzFjMjZEYzI2RHFoNnBxdGRWdDQweForM08zTEs3NjI0RHNMU0I2ZzNKRm55SEFNTHMrNWswM1RhSTluUWNDYUpaSTBtU202eTFKd0M0MHpsM2NUWVZBVlU5cXI1dVQwOVByck96ODVQYnQyKy9KWnQrZWkwRkVSbkUxSzNBbHdDNFNVUytxcW9QUkZIMFdSSEpxMnFhSk1rUEc4M1hlLys4TWVhUGtJMElCRUZ3YWJGWW5PenQ3VzF2YjI4L0pRaUNHNHJGNG1nanNiTEYwZDhHTU9tOTMzbGg5ZDcvM0JoemphcUtNZWJoK3YyY2MzK1dwdWx2c2ltWVY5WGIyN3N2Z0lsU3FmU2ljMjZscWk1S2t1UkNhKzNsenJscktwWEsvUUJPR3gwZHJTN0dobk91QjhERnFycGl1cGhKa3R4b3JmMUFHSWJyckxWSEowa3lWSnViaUF3VWk4VS91TnVwRWFWUzZVN24zTSt5RHV0UTdXdlpjMzRPYTNTYVNFVDJkODV0QVBDU2lIaFZUVlYxLzJ6OVQ2ZUlYQTVnRFlDZDYxOEtoY0wrQUo1Tmt1UlBab3JyblB1YWlJelhsbGxyMzZtcWh6Y3lPbFlvRkpZR1FYQ0dxdjVycFZKNVBBaUNnd0djQU9EV3V2ZHArSE9lNXRpL2FxMDlNOXRjbEUxanZrSXJiWU5vTnVCSUVNMG1taVRKbjJlZGdTK3E2cUQzL2plcWVqYUFDeXVWeXUrcUZlZk9uZHNMNEIvbno1OC80M1JWblZYZSsvdWlLRHBPUkU0cWw4dC9VeXdXSndGY1pJeFpLeUovV2FsVUxwaHBmY3QwSG4zMDBmOFZrYTdzdVQ2blp2SFEwZEhoakRIZmFMUURoS2sxSDc5VDFXZFVkV3QvZi85L1Y4dlROTDBQd040aThtQTFmZzJqcW11RElQaGtJKy9SMGRIeGNSRzVMN3RJWDYycXF3SG81T1RrNWFwNm5ESG1SdS85aGRXSFBpNWJ0bXdPZ051ODkydnJGeWpYUGpneVNaSXZBZmlWaUR5OGJObXlBN0xpUUZXYldiTTFyWEs1Zks2cWp0ZVhoMkY0b3FyK3FJbTd3MDdJUnZ3S1c3ZHUzYVNxODBUa2N3QldxdXJXTkUxWHF1cHBBQTRRa2Z1SGg0Y25naUE0NmJWRzMrSTQvblljeDFmV0ZYL0tHUFB4UnBLcVZDclBBMWdDNEpZZ0NJWkZaSzJxM2lBaVg2dXAxdFRuWE10N2YrWG82R2h2a2lSUmtpVFI2T2hvci9lK1B0K20yd2JSYk1FblJ0TmJWcVBQWW5ITzlhanF3OTc3NVVFUXJGUFZUMlYzaHAwQTRHQVJ1ZGg3L3k1anpIbXErZ3NBNjdadjMvNlRSa2FZbkhQM0FOaWdxc2NrU2JJVVV5TUI1d0Y0WjVJazUrNnVZNTFKRTgvS0NhMjE2MVgxOHlKeUpZQWZaRk1mcTdKYjhxOFNrU2V5RHVpVHFucFhtcVozaG1INFpXUE0yV05qWXdKZ29ZaVUyOXZiYndad1c1SWsxOVRHZDg2ZEhNZng5Y2llK1JTRzRmVnhIQmYyZ0dQZnlUbDNBb0FmcXVyRGs1T1Q1d3dPRG02MjFtNUprcVRiV3RzTFlJMklIQ2tpeDZycURXbWFmamhiSDlZd2ErMGRJbko5cTR1WnA5UE1zV1pQOUQ2cmZvU3FucXJtUkdSdEhNZm5OOXMyQU55WUpNbVR1K3Y0aUY0dm5BNmp0NnhHTHdvakl5UFB6Smt6NXd2OS9mM3I4L244NFNLaXhwalBpTWlhT0k3dnE5Nk9uTS9ucnc3RGNDV0FKUTFPc1VGVkx4V1JPK29XU0w5ZlZkZTBlbHpOYUtJVGtLcnFkMHFsMG9QNWZIN2x3TURBVTliYUt3RThOREV4Y1Y1Tm5OdWRjeDlXMVpYdDdlMVBGWXZGTXdCZzZkS2xDM081M0ZPcTZnRVV4OGJHNnFkNjBtb0hDRk1qTmU4SHNOczZBZE5wdGdPRXFkdlpIMjVyYS90MGYzLy9IeXd5ejZieWxoY0toY09OTVgrc3F0OXF0Z09FcVZHeWdvanNqdlZiT3pWN3JDTHlsZG9uUms4bmlxTFRSZVRRVnRwR0VBVE5QcUNUaUlpSTZIVm5PQXRB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BMzdmelAwMEZLdWpTZmlBQUFBQUVsRlRrU3VRbUNDIiwKCSJUaGVtZSIgOiAiIiwKCSJUeXBlIiA6ICJmbG93IiwKCSJVc2VySWQiIDogIjIxMTkwMDQwNSIsCgkiVmVyc2lvbiIgOiAiNTMiCn0K"/>
    </extobj>
    <extobj name="ECB019B1-382A-4266-B25C-5B523AA43C14-4">
      <extobjdata type="ECB019B1-382A-4266-B25C-5B523AA43C14" data="ewoJIkZpbGVJZCIgOiAiNDkyMTk5NzA1NjQzIiwKCSJHcm91cElkIiA6ICI5NjIxMzYzNCIsCgkiSW1hZ2UiIDogImlWQk9SdzBLR2dvQUFBQU5TVWhFVWdBQUJFb0FBQVEyQ0FZQUFBQWtwbGhhQUFBQUFYTlNSMElBcnM0YzZRQUFJQUJKUkVGVWVKenMzWDJjeldYK3gvSDNkYzZaTWNQSXpRckp6VlJ5Yjh3NVNEY2lsYklxM1VsUjJlMitOcnR0cUg3WkpOdU5iamZkSVRjbHRKYTJiRUt4SVJVUzVvd1pCaEVqY2grRFllN09PZGZ2RDJmT3pwZ1pNeGpPM0x5ZWo0ZEhNOWYzK2w3eitSNTl6UGwrenZXOUxna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nSExDaERzQUFBQlF0c1hIeDhjYVl5Wksrc0hyOWY3Zk1jZmlIUTZIdDdneGZENWYyNlNrcE5YSEdYKzlNU2JTNS9NMVNrcEsybGFhOFFNQUFKd0lWN2dEQUFBQVpaUGI3VzRnYWFBeDVsRkpVZGJhSHdycGxtYXQvYlNvTVl3eE4xbHJEeDA1Y3VTWG92bzRISTRYSkVXV1d1QUFBQUNuZ0VJSkFBQW93T1B4akpUMGFQQzl3a3BKN1F2cmw1aVltQ3FwZDJISDR1UGpiekxHM0dxTWVXM2p4bzBIaS9nNTdhMjEvWXd4ZmtuTzByNE9BQUNBRStVSWR3QUFBS0Rzc2RhMnN0WitJNm1MdGZibGt4akM0WEE0bnJmVzd2YjVmRzhWMGNjcGFhd3hacjJrK2FjWU1nQUFRS21nVUFJQUFBcncrLzAzZTczZTdna0pDZCtkelBrZWo2ZWZwRGJHbUJGSlNVbUhDK3ZqZHJ2L0tzbGpyZjJ6cEp4VERob0FBS0FVVUNnQkFBQUZGRlhjS0NHSHRYYVlwTDM3OXUwYlUxaUgrUGo0Q3lVTmwvU0oxK3Y5K2hSK0ZnQUFRS21pVUFJQUFFcVZ4K081MFJqVDFGbzdMalUxTmZQWTQrM2J0NDh3eHZ4VFVvN1A1eHNZbmlnQkFBQUt4Mkt1QUFDZ1ZGbHJIelBHK1B4Ky82akNqZ2NDZ2I4Yll6b0VBb0c3MkFvWUFBQ1VOY3dvQVFBQXBjYnRkcmN6eG5TVk5LT3dJa2g4ZlB5TmtwNlNOQ1V4TWZIajhFUUpBQUJRTkFvbEFBQ2dOTjJubzdOS3BoeDd3TzEydDNJNEhKTWxyZlA1ZkErSEpUb0FBSUJpOE9nTkFBQW9MUTVKdDBvNmRPalFvYm1GSFArenBPckdtSll1bHl2ZDQvRVU2T0J5dWJaNlBCNEZBb0diRXhNVC8zTkdvZ1lBQU1pRFFna0FBQ2dWYnJlN3N6R21nYlgyWHhzM2JzdzY5cmd4NWh0Si9zTE90ZFplWjR5SmxUUlIwbUdIdzdIcGpBUU5BQUJ3REFvbEFBQ2d0UFRVMGFKSFliTkpsSkNRTUUzU3RNS09lVHllV0VteFBwOXZLQXU4QWdDQWNHS05FZ0FBVUZvNjZlaXVOaXZDSFFnQUFNREpvbEFDQUFCS2c4TVkwMTVTUmxKUzB0cHdCd01BQUFBQUFBQUFBQUFBQUFBQUFBQUFBQUFBQUFBQUFBQUFBQUFBQUFBQUFBQUFBQUFBQUFBQUFBQUFRQVVYRnhkWHJWMjdkcTBsT2NJZEN3QUFnQWwzQUFBQW9IS0xqNCtQZFRnY1U2MjFqU1ROdE5iT2tyUWhFQWhzVDBwS09oenUrQUFBUU9WQ29RUUFBSVJWYnFGRTBzWEJwa3hyN1hwSmlZRkFZSW5mNy85dTllclY2eVRaTUljS0FBQXFBUW9sQUFBZ3JBb3BsRWlTckxYV0dPT3oxbVpaYTlkSW1wQ1ltUGlScE96d1JRc0FBQ282Q2lVQUFDQ3MzRzUzRTJQTXYzSUxKZFlXbkRoaXpORzNMTmJhREdQTUxKL1A5NW1rMVE2SFkxdGlZdUlCWnBzQUFJRFNRcUVFQUlCS0lqNCsvaVpKU2t4TW5DMHBSNUxhdG0zYnd1bDB0akRHYlBONnZTdU83WnVWbGJWczdkcTFPeVNwVmF0V2pTTWpJejNHbUgyN2R1MWFzWDM3OWlPUzFLNWR1ODdHbURwK3YvL241T1RrWkVscTFxeFpuWmlZbUE2U2xKNmV2dUtubjM3YW0vZm5XV3NQckZxMWFtSHdaMTFvalBuRUdOTXViN3pIRmt4eWl5VkJma20vQm1lYXJBZ0VBZ3NQSHo2OFpPUEdqVm1uN1FVRUFBQ1ZBcXZMQXdCUVNUZ2NqcWtPaDJOcSsvYnRxK2EydVZ5dTNzSEhYdjVTV04vbzZPZ091VzFWcWxUcEd1ejdmTDE2OWM3T2JYYzZuVU1kRHNmVWlJaUl1M1BicWxXcjFzcGFPOXBhTzdwYXRXcXRjdHNqSWlKdWRUZ2NVNTFPNTRqY05tTk1WV05NN1dQak5jWWNXeHlSdFRhM2dPS1UxRmhTRDJQTTAwNm5jMVpNVE15cStQajRZWEZ4Y1hWTDQvVUNBQUNWa3l2Y0FRQUFnTkxuZHJ2YlNSb2tLVTNTRzE2dmQ0dWtWQjJkNFJISTdSY0lCTktjVG1lcXBEM0hESkdxbzRXSkkzbjZwZ2Y3N2dnRUFyN2NkbXZ0VG1OTWFpQVEySituYjZiVDZkd21TWDYvUHpQUHVHbkJzYmZuTnZoOHZvREw1ZklmV3hRNVZ0NFpKdGJhM0VLS3NkWm1TZnJGNFhBa0J3S0JYN096cy8wbjhaSUJBQUJJRkVvQUFLaVlqREhuU0xyTldydlRXdnVCcEMyQlFLQ3ZKSzFmdno1VS9Nakp5Zm0zTWVaN1k4eit2T2ZuOWoxNDhPRG0zRGFmejdmSUdOTlgwdUdjbkp3OWVYN1c4NEZBSU1aYXV5ZlB1Q21TSGc1K3ZTVzNQVE16ODlQSXlNakZnVUFnSTdmTldudkVHUE9icE5pOE1SU3pWb20xMW02UU5GZlNVbVBNbW4zNzl2MlVtcHFhV2VBa0FBQ0FFOEFhSlFBQVZFQ3RXN2R1R2hrWmVZZTFOajA3Ty90ZktTa3BPOE1kVTFHTzNmVW1iNEdra0VkdnNpVk5rZlMyMSt0ZGRlYWpCUUFBRlIwelNnQUFxSURXckZtelVkSUw0WTdqUk9VV1NZd3hzdFlHckxXL1Nkb3NLVW5TM0QxNzlzemV0bTFiUnJFREFRQUFuQ1FLSlFBQW9Nd0lGa2lPU1BwZTB0eEFJUENqdytIWTVQVjZkN0FGTUFBQU9CTW9sQUFBZ0RMQldydlpHRFBhNy9kL2xKU1V0RHZjOFFBQWdNcUpOVW9BQUtpQVBCNVBEMGt6Z291NTNweVltSmdZN3BpS0Voc2JHMVcxYXRXNktTa3BXNWsxQWdBQXdvMFpKUUFBSUt5Q085WDhFdTQ0QUFBQUFBQUFBQUFBQUFBQUFBQUFBQUFBQUFBQUFCU0p4VndCQUtpQTJyVnIxOHpoY054dGpEbVVrWkV4ZWUzYXRUdkNIUk1BQUVCNXdHS3VBQUJVUUU2bjgzeEpnNjIxTzZ0VXFUSlBFb1VTQUFDQUVxQlFBZ0JBQlpTVGsvTnJSRVRFWkdQTWdheXNySDNoamdjQUFBQUFBQUFBQUFBQUFBQUFBQUFBQUFBQUFBQkF1Y2F1TndBQVZFQWVqNmVIcEJuVzJwM1cycHNURXhNVHd4MFRBQUJBZWVBSWR3QUFBQUFBQUFCbEJidmVBQUJRQVIwK2ZIaHh0V3JWT2hsamN2YnMyWk1hN25nQUFBQUFBQUFBQUFBQUFBQUFBQUNBOG9uRlhBRUFxSURhdEduVHlPVnlYU3NwSXpNejg2dDE2OWI5RnU2WUFBQUF5Z1BXS0FFQW9BS0tqSXhzTGVrZGErM09xS2lvTlpJb2xBQUFBSlFBaFJJQUFDb2d2OSsveitsMGZpdHBYMDVPVG5xNDR3RUFBQUFBQUFnblYvdjI3V3MwYmRyMExFbk9jQWNEQUFBQUFBQUFBQUFBQUFBQUFBQUFsRS9zZWdNQVFBWGtkcnU3R21QZWw3VEhXdnVRMSt0TkNYZE1BQUFBNVFHTHVRSUFVQUVaWTZJbE5iSFdWckhXUm9ZN0hnQUFnUEtDUWdrQUFCV1F0WGF0TWVZSlk4eGhTYitHT3g0QUFBQUFBQUFBQUFBQUFBQUFBQUNnZkdJeFZ3QUFLcUM0dUxpNkxwZXJrOS92enpwMDZOQ3lUWnMySFFoM1RBQUFBT1dCSTl3QkFBQ0EwdWR3T05wWmF5YzVuYzYzYTlhczJTVGM4UUFBQUpRWExPYUtTcW5CQlcwYVJVYTRMZ2gzSEtoNHNyS3lOdS9ZdkhaTHVPT295TWpma3NuTXRpMmlJczF2Z1lBOW5KN3RqNDl0RVY4NzNER1ZkZVR2NlVmKzRuUWhmd0dVSmg2OVFhVnpidE80aGhFdU0xbEdMY0lkQ3lxa1g1UmhiazlOVFV3TmR5QVZVV3hzZkt5aTdJZmtiMGxZNHpRT3A2eVZ6MXFmTWZ6S0x3SHk5elFpZjNHYWtiOEFTZzB6U2xEcFJFZ05aZFRDeU5TUGpvNld5K1VNZDBpb0FQdyt2ekl5TXhXd05rcFJpcFhFRzdYVElVcXh1ZmxiTlRwYVR2SVhwWUQ4UFVQSVg1d0c1QytBMDRGQ0NTcXRxdEhSR3ZESWc0cVBheFB1VUZBQnBLeGRyM2RHajFYYXdZUGhEcVZTcUJvZHJZRi9lVlN0V2pZUGR5aW9BTWpmTTR2OFJXa2lmd0djRGhSS1VHazVYVTYxYkg2aExyNm9RN2hEUVFVUkVSRVI3aEFxRGFmTHFWWXRtNU8vS0RYazc1bEQvcUswa2I4QVNodTczZ0FBQUFBQUFBUlJLQUVBQUFBQUFBamkwUnVVU092V3JXdEhSa1lPTThiY1pLMnRKMm03cEdsWldWa3ZwcVNrcE9mMmM3dmQvekhHM0hpOHNheTFuM3E5M3Q1NW1sd2VqMmVncEh1c3RlY1pZL1paYTJkbVoyY1BXYk5temI3VGVtRkFPVUVPQXVXZWlZK1B2OC9oY053bnFiVWtwN1UyTlJBSVBMNXExYXA1ZVR2R3g4Zi8wUmp6aURHbWpTU2ZwQi84ZnYvUVZhdFcvWGlxWXdNNEtlUXZVTWxRS0VHeG1qWnRlbGFWS2xVV1Myb2hhWm1rZWNhWTlwTCtMeW9xNnByWTJOakxVbE5UTXlYSkdMUEVXdXNyYkJ4alRETkpiU1VsNVczMmVEelRKZDFzclUyUjlMRzExbU9NZVNneU1ySnpxMWF0THM1N0V3aFVSdVFnVUw2MWF0VXFNaW9xNmxOSjExdHJ0eHRqUHJmV0Jvd3hiWTB4TFNXRmJvWThIczlZU1E5WWEzZFpheitYVk1zWWM1WEQ0ZmpXN1haZjYvVjZGNTNzMkFCT0hQa0xWRTRVU2xDc21KaVlCeVcxQ0FRQ3J5WW1KajRWYkRadXQvczlZOHdqTld2V3ZFdlNlRWxLU0VoNHRZaGhqTWZqV1NucHQwT0hEbzNNYlhTNzNYY0ZiOUJtZXIzZVc0T1ZkNGZiN1o1dWpMazFLaXJxTVVrdm5wRUxCY29vY2hBbzM2S2lvdDRNM2dpOW41V1Y5WmVVbEpUczNHUHQyN2NQclVMcDhYaXVsL1NBSkc5MmR2YlZ1VE82MnJWcjE5bmhjTXdQNW5rTFNmNFRIUnZBeVNGL2djcUpOVXBRTEdOTW5DUUZBb0YzOGpSYmErMmJlWThmVDd0MjdXNlQ1SmIweXNhTkcvUHUzemJBV210OVB0L2p3UnMwU1FyNGZMNG5nei9rRDZWOE9VQzVRdzRDNVZkY1hGd2JhKzNEa3I3emVyMlA1TDBSa3FTVksxZm01SDV0cmUwWC9ETGZZMityVnEzNjNoZ3ozaGpUMU9QeGREMlpzVkc2RGg0OHFOVFVWRmxyUzJXOEkwZU95T2NyZERKZ21XV3QxZjc5KzhNZHhtbEYvZ0tWRnpOS1VDeGp6TStTNUhBNEdrdmFsdHR1clQwditPV0dZb1p3T3AzT3YwdmFzWHYzN25kekcxdTNibDFiVWtkanpPcms1T1JOZVU5SVRrN2U1UEY0MWh0am1yZHExYXArU2tyS3psSytMS0RjSUFlQjhzdmhjTnhyakhINC9mNFhKQlYzVngwclNUazVPVDhWY215cHBEOUp1a1RTZ3BNWXUwTGF0bTJiMXExYmw2K3RaczJhcWx1M3J0YXVYVnZpY2JwMDZhTG82R2d0V0xCQU8zZnVWTDkrL1k3YmY5YXNXWHJqalRmMDNYZmZxV3JWcW9YMnNkWnEzTGh4K3YzdmY2OUdqUm9WT1ZaV1ZwWXV2L3h5UGZiWVkrcmZ2MytKWXc2MytmUG42NWxubnRHb1VhUGs4WGgwNU1pUllzK0pqSXlVeTFWK2JqL0lYNkR5S2ovL1VpRnNqREh2V1d2dmRUZ2NFK0xqNCs5ek9wMkpnVURnRW1QTU9FbnJzckt5UGp6ZStXNjMrMDVKelFPQndCUGJ0bTNMeUcxM3VWeXRqREhHV3B0YzJIblcyblhHbU9ZUkVSRk5KWEdUaGtxTEhBVEtMNGZEMGQxYW0rVnl1Ulo2UEo2NDREVDc2dGJhNVBUMDlFODNidHlZbGFmN0FVbUtpSWk0VUZLKzRxVzF0cFl4Sm0rQjlFVEhycEFXTDE2c1YxOTlWVkZSVWRMUm0xUzFiZHRXTjk1NG8wYU5HbFhpY2VMajR4VWRIYTBsUzVab3hvd1pTazVPMXJCaHcwTGpub3lkTzNmcWswOCswY2NmZjZ3UkkwYm8wa3N2UGVteFRsVjZldm9welZpSmlZbkpWK0R3Ky8wYU0yYU1talp0cXZqNCtGQ3hwemdEQmd6UVBmZmNjOUp4bkdua0wxQjVVU2hCc1ZhdVhMbTNmZnYybHdjQ2dhVU9oMk94dFZiQmYrdzNaMlZsZFN2QlFvOERKUjN4Ky8wVGptbHZvS08vUEhZVmRwSXhacmVPZmhSZXE3U3VCU2lQeUVHZzNISkphbUdNMlJnSUJCNlc5Slk1U3NZWW5YWFdXYysyYjkvK21wVXJWLzZpbzduNGxUR21oN1gyK2RhdFd5L1BuYjdmdG0zYjh5VTlwYU41R1hNeVkxZGtVVkZSV3J4NHNTVHBubnZ1MGZubm42OWV2WHFwVjY5ZUp6eldNODg4bzNyMTZtbk1tREhhc21XTFJvMGFwWm8xYTU1VVhPZWNjNDRtVHB5b0FRTUc2TEhISHRQZ3dZTjErKzIzNittbm4xYnQyclgxeEJOUG5OUzRKMlB3NE1GYXZuejVTWjgvY2VKRXRXM2JOdlQ5WjU5OXBsOSsrVVdUSjArV3crRlFSRVNFUm80Y3FjVEVSRTJjT0ZIUFBmZGN2dGR0elpvMUdqZHVuTTQrKyt4VHZwWXppUHdGS2pFS0pTaFcyN1p0YTFscnB4bGpHa2hLc05iK1pJeHBiWXhwR3hVVjljKzR1TGdia3BLU0RoZDJibng4L0JYR21IYlcydmVUazVQelBjaHFqS2thL0c5bVllZGFhek9ETjROVlR0T2xBZVVDT1FpVVQrM2J0NjlwclhWSk9sdlNVOWJhV3c0ZE9yU2dXclZxOVoxTzU4dVNiZzRFQXBNa1hTRkphV2xwNzllcVZldE9ZMHpIS2xXcS9PUjJ1NWRJaWpER1hDRnBpYVJ6cmJXWkp6TjJaWkNXbHFiazVHVGRmLy85a3FSMTY5YnB2dnZ1Tys0NU45OThzd1lQSHB5djdZRUhIbEN0V3JXVW5KeXNHalZxNkxycnJsTmFXbHErUHJtek03cDM3MTVnekx2dnZsc1BQL3l3Sk9uY2M4L1ZoQWtUOU9pamo0Wm1wMnpkdWxWWldjZWZMSkNXbHFiRXhFVFZxVk5IYmRxMEtkSDFIODlWVjEybHBrMmJudlQ1ZGVyVUNYMjlmLzkralI0OVd2Mzc5MWZ6NXMyMVpNa1NMVml3UUFNR0RGQkd4dEZKaXhkZGRKSHExYXNYT21mYXRHbXFYNysrcnIzMjJsTzhrak9IL0FVcU53b2xLSmJMNVpvbzZXSnI3WDFlci9lRDNIYVB4L080cEgrNFhLNTNKTjFiMkxrT2grTXhGVnlFTXZlWVQwZHYwb3I2L3pCU1IyL1dpbi9vRmFqQXlFR2dmTXJKeVlrS1BxN3dPMk5NRDYvWE96ZDQ2R0RUcGszN25uWFdXUnVNTVYzajR1S2FKeVVsclU5TlRjMnNXclhxbFZGUlVjTWs5UWwrT3IzTldqdmNXcHZrY0RpdXROYnVPNW14dy9VYW5FbExsaXhSZEhTMExycm9JdW5vdjN2S3pNelVxNisrcW9ZTkd4Ym8vOXh6enhWWnNPamR1N2Q2OSs0dFNjckl5RkRyMXExMTFWVlhoWTZ2V0xGQ0N4WXMwQ09QUEtLSWlQOXRUdktQZi94RDJkbjUxdVJVN2RxMU5Ybnk1Q0xYNXNoZEVOYnI5V3J6NXMxYXRXcVZ0bXpaSWtsNjZxbW5TcVZRY3R0dHQ1M3lHTGxlZlBGRjFhbFRSdzgrK0tBeU16TTFZc1FJMWFoUlF6RXhNUW9FQWxLZWExSndOc25TcFV2MXQ3LzlMZDlyVmRhUnYwRGx4cTQzT0s2NHVManpqREc5ckxYL3pYdURwcVBia0w1cHJWMGlxWDl3VWNoODNHNzMyWkp1a09SZHRXclZtbU9QQndLQi9UcjZ5N1RBdVVGMWRQUm1ydERIQW9ES2dCd0V5aStIdzVHdW96bDJPQ0VoWVY3ZVl4czNic3l5MWk1VWNMMmczUGFVbEpUMGhJU0VKeElTRXBva0pDUkVlcjNlODcxZTc4dkdtQXVDWGRhZTdOZ1YzZno1ODlXNWMrY0NOK05ObWpSUjgrYk5DL3lKam83TzEyL2h3b1Y2OHNrbmxaNWU4R25HWnMyYTZmYmJidy85Y2J2ZGtxUmJicmtsWDN2ZVlzaGJiNzJsSDM3NFFUcjY5NUJ2dkQxNzltakNoQW42eTEvK29oNDlla2lTdnZ2dU82MWR1MWFkT25YUy8vM2YvMG5CeFUrUFovejQ4YnJzc3N0TzhKVTZlWjk4OG9rV0xsd29qOGVqNmRPbmEralFvZHF6WjQrR0R4OHVsOHNWS3BSNHZkN1FPV1BIamxYOSt2VlA2bEdvY0NKL2djcU5RZ21PeXhoem9ZNytRNzY2aUM3Smtwd3VsNnV3K1p5M1NuSksrbmNSNSthdUN0NnlpT010SlBsOVB0KzZJbzRERlI0NUNKUmZpWW1KYWRiYWZjWVlaMkhIalRHSGNyOHN3WEJYNitnTjF2ZW5ZZXh5THlNalEwdVhMbFczYnQwS0hPdmZ2Nzh1dSt5eUFuK1NrcEx5OWR1eFk0Zm16NSt2dm4zN2F2MzZVL3NRUHowOVhULzg4SU1HREJpZ0NSTW15RnFydVhQbjZxNjc3dEw2OWV1VmtwS2lEejc0UUZsWldicmxsbHNrU1gvKzg1LzFyMy85UzA4OTlWUm9ZZFRpQ2lWbldvMGFOZFNzV1ROdDNicFZYMy85ZGVpUm13c3VPRm9IeU4zNTV1dXZ2dzZkczNMbFN1M1pzMGRkdTNiVlpaZGRwb2NlZWloczhaOEk4aGVvM0NpVW9EaDdkUFFmN0tJZWJHMnVQSXMrNW1XTTZhT2p6L0YrV3RpSmlZbUpHNjIxdnhwak9nWS8rUTV4dTkxTkpMV3kxbjVYMU5vTFFDVkJEZ0xsMi9lU291TGk0aTQ2OW9DMTFoMzg4cmo3MkhvOG5wYkdtT3NrclV4SVNNamI5NVRIcmlnY0RvZk9PZWNjTFZ5NE1OUldyVm8xZGV6WVVhKy8vcm8rK09DREFuOXV2UEZHblhkZWFCTVM5ZXZYVDYrLy9ycjI3ZHVuZSs2NVI5dTJiU3ZpcHhVdkppWkdIM3p3Z2JwMDZhSlJvMFpweUpBaHN0YnEzSFBQVmExYXRYVHh4UmRyMGFKRmV2Lzk5ME9GQTJQK2QwK2NrNU1qQlJlcUxVdXV1ZVlhVFowNlZTTkhqbFJtWnFZNmRPaWdPKys4TTNROGQ0MlM3Ny8vWHZ2MjdaT0Nqdzg5L2ZUVEdqeDRjR2poMTNLRS9BVXFLZFlvd1hHdFdyVXEwZTEyYjVCMFhYeDhmTS9FeE1RNXVjZmNibmQvWTh3VjF0b1ZpWW1KcVhuUGk0dUxxeWFwaTdWMnkzR2VyYlRHbVBHU2hrbDZUZEk5d1gza0haSmVOOGFZUUNEdzFtbS9TS0FNSXdlQjhzMWErNzR4cHBmTDVYbzlOamEyZTJwcWFxYU8zanpkSmVsU2ErMXlyOWNidWhscTM3NTk0N3c3WGJSdjM3NXhJQkQ0dHpIR2FhMTk2bFRHcnNpcVZLbWl3WU1IYThDQUFicjc3cnZWc0dGREhUeDRVSTgrK3Fna0ZWZzNSSkp1dXVrbVNkS21UWnQwL3ZublM1SzZkZXVtOGVQSGEvSGl4WVd1YTNJaW9xT2o5ZHBycittMTExNVRodzRkZFBYVlY2dEhqeDY2NjY2N1ZLVktsU0xYTEpHa3pNeWphMndmV3lqWnYzOS92a2VERGh3NElBVVhpTTJyUVlNR2NqcnpUMVo0OGNVWEN5eEtXeEw5K3ZVTFBXcVU2KzIzMzlidTNidjE5dHR2NXl2dzdOKy9YOVdyVjFkTVRJdysrK3d6M1gvLy9icmhoaHVrNE9NNFI0NGNVYytlUFU4NGhuQWhmNEhLaTBJSmltT05NZjJ0dFY4N0hJN1picmY3RzJQTVptdHRDMlBNSmRiYU5HTk1nU1hsblU1bmgrQ1UveFhIRzl6bjg3M21jcmx1TnNiOHdlUHh0TFhXSmhoakxwSVVKMmxLWW1MaWYwN3IxUUZsSHprSWxHT0ppWWx6M0c3M1I4YVlQOVNxVld0dHJWcTFGaGhqWWlWZGFhM2RGd2dFN3NuYlB4QUkvT1IydTVkSytsblMyZGJhN3BLaXJMV0R2Rjd2L0ZNWnU2Szc1SkpMMUxCaFE4MmNPVk9kT25YUzRNR0RpNTJSa1pPVG8zYnQybW5jdUhHaHRwWXRXNnBseS94UEpNNllNVU56NTg0TmZaOWJ5T2pWcTFlK1FrRnVleTZuMHhsYWIrUkU1QlpBcWxldm5xOTkxS2hSK3V5enp3cjB6eTM2NUpvelowNitYV2NVWElCMjkrNENrdytMZGV6T1ByTm16ZExVcVZQMSt1dXZ5K2Z6S1NFaFFlbnA2ZXJTcFl2Mjd0MnJCZzBhcUVlUEhwbzBhWkw2OWV1bnFsV3JTc0hYOEt5enpzcTNLRzVaUi80Q2xSZUZFaFFySVNIaGgvYnQyN2V6MXY1TjBqWFcya3VOTWJ1c3RlL241T1M4dUhyMTZxM0huaE84MFpLMWR1WHh4azVLU2pvY0h4L2YxZUZ3dkNqcEZrbXRyYlUvRzJNZVQwaEllUHQwWGhkUVhwQ0RRUG5tOVhydjgzZzhpWkllbEhTWHRmYUFNZVpqbjgvM2JISnk4cVpqdWsrWGRLV2tTeVVkc05iT004YThrWkNROEYwcGpGM2h0V3ZYVHV2V3JWT25UcDBrU1FzV0xOQ2NPWE9VazVPalBuMzZTSkkyYjk2c0R6LzhVSU1HRGRLNzc3NnIxTlI4RS9KMDRNQUJIVGh3UUkwYk53NjFGYlhyelIvLytNY0N1OTRjYStmT25hcGJ0NjRjanVLZmVQLzIyMjlsak5Ibm4zOHVTUVZtdGR4NjY2MmhhMU53QWR0dnZ2bEd6ei8vZkw1K05XclVLREQyakJreml2MzV4Zkg1ZkhycHBaZGtyZFhnd1lObHJaWEw1VkxuenAzVnBVc1hiZG15UmZYcjE5ZU5OOTZvTVdQR2FOS2tTWHI0NFllVm1wcXF1WFBuNm80NzdsQ1ZLdVZyeDNueUY2aWNLSlNnUkZhdVhQbHpVZHVQRmlZaEllRzE0RlQrWWlVbUpxWkplalQ0QjBBaHlFR2dYUE1uSkNTTWxEU3l1STVlcjdmLzZScTdNcWhSbzBab1FkRmNMcGRMcjc3NnFpNjY2Q0xGeHNacTdOaXgycng1czZwVnExYm9HSXNXTGRMZi8vNTNqUjA3Vmg2UFI4cXo2MDB1djkrdkJRc1c2SlpiYmduTm1GRHdrWlJqalJneFF0dTJiZFBISDM5YzdBeVh6ejc3VE45OWQvU2Urb1liYmxDdFdyWHlIVy9Sb29WYXRHZ1IrajQxTlZYZmZ2dXRycjc2Nm1KZW1kTGhjcm4wOE1NUEt5b3FTdWVkZDU0YU5teW91blhyeXVsMHl1ZnphY09HRGJyNDRvdFZvMFlOM1hubm5abzRjYUs2ZGV1bWYvempINHFKaWRHOTk1YjQxMWhaUXY0Q2xSQ0ZFcUNjMkx0M3IzNzY2U2UxYXRWS05XdldMTFovVGs1T2VWc3dMV1RPbkRscTJMQ2g0dUxpd2gwS1VDcklYK0Qwc3RiS1dxdDE2OWFwVHAwNitZNWRmLzMxV3JGaWhkTFMwcFNTa3FMNTgrZHI0c1NKUmE0Ujh2MzMzeXNpSWlKZlFlSmtaV2RuYThXS0ZXcmN1SEdKRm1ZZE1tU0lmdnZ0TjlXcVZVdjE2OWZYcTYrK3FodHV1S0hBbzBEaDFMOS93VnFBMysvWDh1WExsWldWRmRxdStQNzc3OWU4ZWZQMDhNTVA2K0RCZ3hvMmJGaWhNMTBBb0N5aVVBS1VRWWNQSDlhdVhidENpOHRKMG84Ly9xaWhRNGRxMUtoUithYmRGc2J2OSt1dmYvMnJhdFdxcFNGRGh1VDd0Q3R2bjR5TURHVmtaT2p3NGNQYXQyK2Y5dS9mbisrL2ZmdjJWWk1tVFVMbm5Nd2ljTG1pb3FKS3ZIci9peSsrcUo0OWUzS2poWEtwck9YdjFxMWI5ZUtMTCtySko1L01GOVBwUXY0aUhIcjE2cVdEQnc4cVBUMWRMN3p3UXFoOXdZSUZldmJaWjZWZ0VTKzNvUEtIUC94QjhmSHhpbzJOelRlT3orZlRzbVhMMUtsVHAwSno3MFN0WExsU21abVp1dUtLSzByVXYyN2R1cXBidDY0azZkQ2hRNW8yYlpxTU1XV3FVQ0pKQnc4ZVZFSkNncFl2WDY0VksxYW9hOWV1K3ZYWFgxV2pSZzIxYnQxYUNpNndlL3Z0dCt1Tk45NVFURXhNaVY4REFDZ0xLSlNnWElpTmpZMktpWWs1Yi9YcTFlc2xCY0lkeituMitlZWY2NDAzM3RDNzc3NnJTeTY1NUlUUGR6Z2NpbytQMTVneFk3Um16UnE5OHNvcnV2RENDOVc3ZDIvdDI3ZFBHUmtab2EwSGkxSzFhbFY1UEo1OGhaSWVQWG9VZTE1UjdycnJMajMrK09NbmRTN0tOL0wzeEpSMi91N1pzMGMvL2ZTVDdycnJMajM1NUpPNjZhYWJsSjZlcm03ZHVwVTRwai8rOFkraDNVTlF1WlNYL0gzMDBVZjF5eSsveU9QeHFFT0hEcUZ0Z2krKytHSjk4c2tuVWpBM3YvNzZhNzN6emp0U3NJQS9ZY0tFZk9Pc1hMbFM2ZW5wdXZMS0swc2xybSsrK1VhUzFLVkxseUw3T0oxTzllM2J0MEF4NUpkZmptNmVrbmNMNDJOVnJWcFZ2L3ZkNzBvbDFwTDQ4c3N2TldYS0ZLMWZ2MTdXV2pWdjNseWRPM2RXeTVZdDllR0hIK3FlZSs0SjdiYnozWGZmNmQxMzMxVk1USXpTMDlOMXp6MzM2SzIzM2pybDNZUUE0RXlnVUlKeTRheXp6cXJqY3JtV3V0M3VqZGJhS1E2SFkxWWdFTmlibUpoNFNKSS8zUEdWSm11dFB2MzBVNTF6empuRmZ2SmNGR09NSG5qZ0FUVnQybFRQUFBPTUhuendRYzJhTlV2WFgzKzlEaHc0b09qb2FFVkhSeXNxS2tvelo4NlBubGkvQUFBZ0FFbEVRVlRVcmwyNzlNb3JyNmg2OWVvNjY2eXpWTE5telNJWFc3djAwa3QxL2ZYWDUydExUMC9YU3krOXBPdXV1eTQwNVRhdjNFL3pTc09SSTBkSzVWTStuRG5rNzRrcDdmejFlRHlhTW1XS0JnNGNxT2VmZjE0SER4N1VIWGZjb1QvLytjOGxqcWx0MjdZbmRTM0hJbi9Mbi9LU3Z6MTY5Q2kwdldyVnFxRjFQbXJWcXFXSWlJZ0NzMGp5K3ZMTEwrVjBPdFcxYTlkODdZY1BIOWIyN2R0RDMrZnVTck56NTg0aVowdjZmRDc5OTcvL1ZiMTY5ZklWUWFwVXFhSjkrL2FGdm5lNVhCbzhlSENCODFldFdpVkphdFdxVlpIeDl1dlhULzM2OVN2eXVDU05HVE5HR1JrWngrMVRFcDA3ZDFiTm1qVjE3cm5uNnZiYmIxZm56cDFWdTNadFdXdjE0SU1QS2lvcVNuZmVlYWNVWEd2bDVaZGYxam5ubktQUm8wZHJ5WklsZXZubGw5Vy9mMzhOR2pSSTExMTMzU25IQXdDbkU0VVNsQ2NPWTB4N1NSNXI3VEJqVEtMYjdWNW1yZjNCNlhRdVc3bHk1WTV3QjFnYTVzK2ZyOVRVVkYxMzNYV2hOMG1TdEdYTEZrblN6ei8vck1qSXlFTFByVmV2bmhvMGFCRDZ2bHUzYmhvN2RxeTJidDJxbUpnWTNYTlB3WjNtbGk5ZnJ2Mzc5NGNXckN0T2t5Wk5kTzIxMStacjI3dDNyMTU2NlNXMWFOR2l3REZKR2pac1dJbkd6dXZISDMrVXRUYmZ0b3U3ZCsvV3ZmZmVXNkkzaGloenlOOHc1bStEQmczMHdRY2Y2TFhYWGxPUEhqMFVHUmxaNkRvRHBZWDhyWEFxVlA1dTNyeFpTNWN1bFRGR1M1WXMwUVVYWENCSnlzckswb0lGQytUeGVBcXNwVEZ6NWt6Tm5EbXp3RmkzM1haYmtUL24rKysvMTRFREIzVE5OZGZrYTIvVnFwWCsrYzkvYXNpUUlmbG1iZWFWbHBhbUw3NzRRdWVlZSs0cHI1VXlmZnIwVUdIblZOU3NXVlAzM0hOUGdabHk3Nzc3cmhJU0VqUm8wQ0JsWkdUb2IzLzdtNVl1WGFxbVRadnEzWGZmMWRsbm42M2V2WHZyZDcvN25aNTc3ams5Kyt5eit2enp6L1hhYTYreFpnbUFNb3RDQ2NvTmE2MHh4c2djZmVkZFU5SVYxdG91eHBnMGErMGV0OXY5bzdWMmNuWjI5cUtVbEpUc2NNZDdNdngrdjhhTUdTTkptajE3dG1iUG5sMmd6eHR2dkZIaytZVTkzdEs2ZGV2UTg4SmxRV1ptcGo3NjZLTkNqM1hzMkRGMHc3ZHQyell0VzdaTUYxOThzUlI4SHZyUlJ4L1ZqaDA3U3JURklzb1c4dmVvY09adjFhcFZUNnBvbVJmNVd6bFZ0UHpOeXNyUzZOR2paYTFWelpvMWRjY2RkMGlTZHV6WW9jYU5HeGU2Zzh5VlYxNlpiOWVib3VTZHFiVisvWHBKS2pBNzVZRUhIdEJ2di8ybWxTdFhhdEdpUllXT0V4RVJvWll0VytySko1ODg1WnlaUFh1MnJMV25OSWFrUW91OFBwOVBhOWFzVWJkdTNkU3ZYeis5L1BMTFdyWnNtZnIzNzYrSEgzNDQzK3kyYnQyNnFYbno1aG82ZEtpYU5tMUtrUVJBbVVhaEJPV0dNY1lxT0xVOUQ0ZWsycEpxRzJPYUcyUHVybEtseXE5dXQzdWF0ZlpmbVptWm14d094Nkh5OE1aTmtxWk1tYUxObXpmcnZ2dnVLL0NKelE4Ly9LRHg0OGRyMEtCQlJTN3FWcTllUFVuU3VISGp0RzNiTmozKytPT2hIVForL3ZsbjdkKy92OEE1Ky9mdkQ2M0tYNWo0K1BoOE93TWNPLzA0ZHd3RnB5SWZlMHpIL0oxbFptWnEwcVJKQmZwa1ptYks1WExsKzJSOHlwUXB1dmppaTVXV2xxWUJBd1pvMDZaTmV2cnBwOVc3ZCs5Q1kwWFpSZjZHSjMrYk5HbWlnUU1INnQ1Nzd3MnRTYkozNzE0dFdiTGtoSy92dlBQT1U2TkdqY2pmU3FnczUrL3R0OTllYUFHamE5ZXVXckprU2I0YjlmNzkrNGRtVXVWdXdadFhiR3lzcGt5WlVxQjk5dXpaY3JsY0pkcUphdW5TcGFHdkgzcm9JWFhyMXEzQUdpTm5uWFdXWG5ycHBSSmNYZW1Jam80K2JXTzdYQzY5ODg0N3lzNCsrdGM4ZVBCZzNYenp6V3JldkhtaC9SczBhS0N4WThmbW0yMEdBR1VSaFpJS3BFMmJObzFjTHRjRjRZN2pORGs3Ny8rdnViOWc4NzVweS9QMXVjYVlnY2FZUDFXdFduV3RwT1h4OGZGSmZyLy8yK1RrNU5WblBQSVMycng1czk1Ly8zMjFhTkZDRHozMFVHZ3h0Rnc3ZGh5ZDJYekJCUmZJN1hZZmQ2d0RCdzVvMXF4WldyeDRzWVlORzZiTEw3OWNZOGFNMFlJRkM0bzg1NkdISGlxMGZmNzgrZm0yTXkxcStyRWtqUjgvWHVQSGp6OXViRFZyMXRUaXhZdnp0U1VuSit1UGYveGp2aHZJNnRXcmErblNwWm8vZjc3ZWUrODkvZnJycjNyKytlZlZzMmZQNDQ0ZmJqWmdGZUgwbng4Zkh4L3VVTW9TOGpkTStUdDI3Rmp0MjdkUGd3Y1AxdFZYWDYwaFE0Ym81NTkvMXZEaHcwLzRHdnYwNmFPbm5ucUsvSzE4eW1YK09oeU9JdGZhT2xHblVtaG8xcXhacWNSUWxrVkVSSVNLU0M2WHE4Z2lTYTVqLzMwc0xUWmdWY1ZsbXNURnhWMThXbjRBY0lLTU1WdFhyVnIxYTdqandNbWhVRkpCeE1YRk5YUTZuWk9NTWFmMklHc1paYTExV0d1ckhQc0pSRkdmU0FUZnRFVVpZOXpXMm5pSHc1RmxqTmtWSHgrL1BzZHZmenljWTh2VVJ4bnA2ZWthTkdpUXJMVjY5dGxuVC9sTnhPREJnOVd4WTBjTkhUcFVmLzNyWC9YMjIyL3I4Y2NmMS8zMzMxK2c3OGlSSTdWcDB5YTkvZmJiaFk1VnZYcjFmTjkzNzk2OXdDZkNCdzhlMUJOUFBLRStmZnJvcXF1dUtqQkdjYnRsekpzM1Q5V3JWOWRGRjEwVWF1dldyWnRXcmx5cEo1OThVakV4TVhydnZmZlVvVU9IWXE4OTNJeWtxaEVSL1J3T1UzYWVkd3F6VXM1ZkwvbjdQOFhsYjlPbVRmV3ZmLzFMdzRjUDE5ZGZmNjN0Mjdmcnd3OC8xUHo1ODZYZ3dwV3Z2LzY2M243NzdXSWY4U25xcHBQOHJkZ3FldjZpNGpDU29seW12OVBoUFAzN29BTWxZSXpaM0twVnF6K21wS1Q4RXU1WWNPSW9sRlFjRFkweExheTE5U1FkbHVRTGQwQ2x5UmhqckQzeE4xZDVQdVZ5R1dOaUpOVjN5RlpWR1h1YjV2UDVsSkdSb1NGRGhoVDdTVXhKZGUzYVZaTW1UZEtrU1pOMHlTV1hGUG1NYzB4TVRJaytBVkp3RFlaenp6MjN3QTNQM3IxN0pVbU5HalVxOUdib2VGTnNzN096TlcvZVBIWHIxaTNmSXo0dWwwc1BQUENBbm52dU9mM2hEMzhvRnpkWkljWkdXS3ZDdDBHb2hFb3pmNDJ4MGVUdi81UWtmNnRYcjY3WFgzOWQwNmRQMTRVWFhpaVh5eFdhSmJacDB5WTVuVTYxYjkrK3lKMDdqb2Y4cmZncWV2NmlZbkU0RkIxY1J3Y0lKNWVrcXRiYW1wR1JrZWRMb2xCU0RsRW9xWGdPVzJ1SFNrb01keUNseVZwN3RqRm1vcVNxeDdSTGhkeUlCNy8zV1dzM1dtdFhCQUlCcjdWMmNWSlMwc3JZcG5FZEZHSEsxSllMTld2VzFPVEpreFVURTFQa1l5M0p5Y2xTY0syRFhidDJGZHJuaGh0dXlQZGF4TWJHbHRyV3ZJRkFRSUZBb01nZE8wN1dwNTkrcXIxNzl4YjZqSG5QbmozMXlTZWY2SU1QUGxEMzd0M1ZxRkdqVXYzWnA0T1ZkQ1RiOTFGTXBHdFR1R01wSzBvMWYxdkVkNVpSbnpONkFjVW9EL21yNEtNengwcEtTdElGRjF3Z2w4c2xuNi9vK25yZUlraGU1Ry9GVjlIekZ4V0hsWlNSRlpoVUxjcVpHdTVZVUxrRkFvRTRZOHhUd2JXY1VFNVJLS2w0ZkpJU0V4TVR2d2wzSUtVcCtHaFJJUGY3d2xadnovUGM5SDVyN1N4cjdiUkFJSkNTbFpXMWQvMzY5WWZPYk1RbnJrNmRPdHExYTFleGF3Y1V0cEJpcnA0OWUrYTdvZkg3L2JMV2h0bzJiZHFrNWN1WDV6dG4yN1p0T25Ma2lLWk5tNWF2L1lJTExzajNLZkNSSTBlazRKYUZ1U3Y1NThyZGRuRDM3dDBGanFtSXZ5OUp5c2pJME1TSkUzWHBwWmNXdXYyaDArblUzLy8rZC9YcjEwOVBQdm1rSmt5WW9LcFZxeFk2VmxsaEhFYStnR3RUUmN2QlUwSCsvays0OGplM2I0TUdEVUt6VXc0ZlBxeWZmLzVaMWxwMTZ0VHB1SEV2Vzdhc1FMR0UvSzBjS2tQK29tSXdEcU9zZ05hdFQwZ2dmeEZXOGZIeG1jYVliR3N0c3hQTE1Rb2xLRGVNTVlFOFgwdEgzNVJaU1Vja0hRd0VBc25XMmdsNzl1eVp0WDM3OWlQaGpQVmtuWDMyMlpvN2QyNmh4eFlzV0tCWFhubEZMNy84Y3BHTFFSNTdJK1AxZWpWczJEQU5IVHBVRjE5OHNWYXRXcVZYWDMyMTBDbjJlZGM0eU16TTFDMjMzSkx2UmlzdExVMlNOSDM2ZEUyZlByM1Fuejk1OG1STm5qeTVoRmNydmZubW05cTdkNjllZSsyMUl2dkV4c2JxcjMvOXExNTU1UlU5K2VTVEdqbHlaSkdmYnFQc0luL0RtNytTOU13enoranc0Y09hTm0yYUhBNkhzck96OWNRVFR4ejNtbWJNbUtFZE8zWVVtblBrYitWUkdmSzNzdkQ3L2NyS3lsSlVWQlJiZFFQQWNmQnVCZVdKMGYvZXBCME1QbDYwWE5JUDF0cmxpWW1KVzhJZDRLbHlPQnlxVTZkT29jZGlZbUtrNExhQ1JmVTUxbmZmZmFlZE8zY1dXSVR4ODg4L1ArNFlQWHIwS05DV3Uydkg0TUdEODIwQnF1Q01ra2NlZVVSMzMzMjNmdi83M3hjNE4zYzd4cnlXTGwycVR6LzlWTGZlZXF2aTR1S09leDE5K3ZUUjVzMmJOWDM2ZEEwY09MREltMFdVYWVSdkdQTTNMUzFOcTFldlZzZU9IVU0zUjdWcTFTcjBrWm04Rmk1Y3FLeXNyQUx0NUcrbFUrSHo5MlE4L2ZUVDh2bDhHakZpUktnQXVHelpNazJiTmsxLyt0T2YxTFJwMHhLTk0zTGtTSFhwMGlYZjc5YTFhOWVxZi8vK21qUnBVcjRkcFRadDJxVHg0OGRyeUpBaG9YOVhGRnhVZXNLRUNYcmdnUWVPTzNOcjJiSmwrdk9mLzZ6Smt5ZXJWYXRXSjNubEFGRHhVU2hCZVdLdHRVbVMvcDJUay9ObElCRFlGaDBkL2R2S2xTdHp3aDFZV2ZYdHQ5K3FidDI2S28ydEx0ZXVYU3RKdXVpaWkzVEJCZmwzb2M1ZHpMVnUzYnFGTGlwNTdEUHNXN2R1MVRQUFBLTjY5ZXJwc2NjZUs5SFBmK0tKSjdSbnp4NHRYTGhRanp6eWlGNTU1UlhWclZ2M0ZLNElaeGo1ZTRKS00zK1hMbDBxYTYydXVPS0tFem92TFMxTnYvdmQ3L0sxa2IrVkV2bDdqSDM3OW1uKy9QbnExS2xUdmxsUzI3ZHYxNkpGaTlTdlg4bVdRa3RMUzFOQ1FvSW1UNTZzbmoxNzZ2SEhIMWZ0MnJWbHJWVWdFTWozcU5Obm4zMm1OOTU0UTlIUjBkcThlYlBhdG0wYk91YjFldlh4eHgvcisrKy8xNXR2dnFtR0RSdVc4aFVEUU9YQ25EdVVDL3YyN2Z2TjcvZGY2dlY2M1Y2djkvblZxMWV2U0VsSjJWbVozNlFWWjlPbVRmcmxsMTkwelRYWEhIZlhtWkw2NXB0dkZCTVRveVpObXB6U09HbHBhUm93WUlDT0hEbWlFU05HcUZxMWFpVTZ6K0Z3YU1TSUVlclpzNmVTa3BMVXQyOWZiZHUyN1pSaXdabEIvcDY0MHM3ZlJZc1dTY0hkZEVyS1dxc2RPM2JrSzVTUXY1VVArVnU0MmJObnkrLzM2N2JiYml0UmYydXRaczZjcVp5Yy9DOWJ6Wm8xTlhIaVJBMGFORWdMRnk0c2NrSG9SWXNXNmNVWFgxU25UcDAwZmZyMGZFVVNTYnI4OHN2MTFsdHZhY2VPSGVyZnY3KzhYcTh5TXpOMTIyMjNhYzZjT2Fkd3BRQlFPVEdqQk9YQ3RtM2JNclp0MjdZbTNIR2NMbjYvUDdSWWFsRXlNek9sNEFLS2h3NFZ2VFplUkVTRW9xS2k5UG5ubjB0RlRNTS9VVnUyYkZGU1VwSzZkKzkrd3VzTDVPNldrM3V6dDJIREJ1M1pzMGZEaHc5WHUzYnRDdlEvZVBDZ01qTXpDNTA2SEJFUm9lZWZmMTcxNjlmWGtTTkgrTVNzbkNCL3c1dS9odzRkMHFKRmk5U3laVXZWcjErL3hPY2xKaVlxUFQxZDU1MTNYcWlOL0sxOEtucituZ3lmejZlcFU2ZXFTWk1tNnR5NWM0bk9HVDE2dENaTW1LQ05HemRxNE1DQjJyQmhnK2JObTVldno5VlhYNjFEaHc3cHZmZmVDODNVL09TVFQwS1Ayc1hGeGVtQ0N5N1ExS2xUUStkY2M4MDF1dkRDQ3lWSmwxeHlpVWFQSHEwaFE0WW9PanBhZ1VCQW16WnRDcTB4VnBSdDI3WnAxYXBWNnRTcFU0a2ZEUVNBaW81Q0NWQUdyRisvWG5mZmZYZUorZzRhTk9pNHgvdjA2YU5CZ3dacDl1elphdGl3WWI1bm0zUGRlT09OeHgwajk2WXUxNXR2dmlscmJhSGJpeFpteXBRcFNrdExVMlJrcERaczJDQy8zeCthWnQreFkwZDk5dGxuK1c3WVhubmxGV1ZrWkNnaUlrS0ppVWQzdG03ZHVuV1I0ei82NktNbGlnTTRFOHA2L3M2Yk4wL1oyZG02OHNvcml6em44Y2NmbDlQcFZMVnExUlFSRWFHMHREUXRYYnBVa3ZLZFIvNEMwcHc1YzdScjF5NDkrK3l6SlZvUTljc3Z2OVNFQ1JQVXVIRmpQZmpnZzFMdzBaMGZmL3l4UU4vTm16ZHIvLzc5K3ZYWFh5VkpNMmZPVkd4c2JHZzlrbVBQT1hiUjVyWnQyMnJHakJseXVWeUZGbkJ6SCtYNTRvc3Y5T0dISDJyVnFsWDY3YmZmcE9CaTdSUktBT0FvQ2lWQUdYRHV1ZWZxK2VlZkw1V3htalJwb3IxNzl5bytQcjdJUlJidnUrKys0MDZaSHpWcVZPaHJhNjB5TXpOMStlV1hGN2xiaDhQaFVFeE1qQ0lpSWlSSkd6ZHUxQmRmZkNFRjF5ZHAxNjZkcnIvKytsRC9Zei9WemwyN1FNRUZKdSs4ODA1MTc5NzloSzRiQ0pleW5MOEtmbHFzWXdvZWhWbTBhSkVDZ2FPYm14aGoxS1JKRTkxMzMzMXExcXhadm43a0x5cXp6TXhNdmYvKysxSXhCY0ZjaXhjdjF2RGh3MVdyVmkyTkhEa3lWUERvMUtsVGdXMjU5Ky9mcjZsVHAycnExS25xMEtHRFZxeFlvV2JObW1uMzd0MjY5ZFpiZGROTk54VTZXeXNqSTBNdnZmU1NIbnJvSVRWczJMREF6TSsxYTlmcXJiZmUwcXBWcTVTU2tpSkorczkvL3FQV3JWdnJwcHR1VWtaR2h2NzV6MzhXV0RnYUFDb3pDaVZBR1ZDalJnMzE3Tm16Vk1kOC9mWFhDN1RkZlBQTnV2bm1tNHM5Tis5T0dNWVl2ZmJhYTRYdWZKR3JkdTNhb1RVUUpPbTU1NTdUczg4K0s3L2ZMMk5Nc1kvckZCWXJVRjZVNWZ5VnBNY2VlMHczMzN5ekdqZHVYT1E1Yjc3NXBoUjhqTWp2OXlzaUlxTEVhNk9RdjZoTUprMmFwSjA3ZDVhbzcxZGZmYVZodzRZcE9qcGFvMGVQTG5TTnI1eWNIQzFidGt4ZmZmV1Z2djc2YTdWcjEwNmpSbzJTMCtuVTNYZmZyYUZEaDJyWHJsMGFQWHEwM252dlBWMTExVlc2OU5KTDFhRkRoOURzajE5KytVV0xGeS9XZDk5OXB4ZGVlRUdkTzNmV2UrKzlwLy8rOTc5U2NBWk1yVnExRkJjWHArN2R1MnZPbkRrYU4yNmMyclJwSTBtYU5XdVdKQ2t5TXJJVVh5a0FLTjhvbEFBb1Z2WHExVlc5ZXZVVE9zZmhjSlJvU2pLQTArOTRSWks4bkU2bm5FN25hWThIS0krMmJObWlqejc2U0E2SEl6VDdxaWlmZmZhWjVzNmRxenAxNnVqZGQ5OE5yU09TYTlhc1dabzNiNTY4WHE4Q2dZQ3V2UEpLalJzM0xyUklhKzdNRDBucTFxMmJ1blhycHFWTGwycjI3Tmw2NmFXWGRQandZZFdzV1ZOZHUzYlZzODgrcTBtVEp1a3ZmL21MSG52c01UMzExRlB5Ky8yS2k0dlQxcTFiOWZEREQrdUJCeDZRSkMxWnNrUno1c3pKOS9zNWQ0RlpacFFBd1A5UUtBRUFBQUNPdytmemFlalFvWEk0SExydHR0czBiZHEwNC9hZk8zZXVtalp0cWpmZmZGTU5HalFvY0R6M0E0aG5ubmxHblR0M1ZyVnExYlIwNlZMTm5EbFR2WHIxVXZYcTFkVzVjK2ZRaHhSZmZQR0ZhdGV1clJkZWVFSFoyZGxhdlhxMUVoTVRRK3NZTld6WVVCOTg4SUdlZSs0NWRlclVTVTJhTk5HUkkwYzBlL2JzWW5lbnlwMHhHaFVWZFFxdkVBQlVMQlJLQUFBQWdPTll2bnk1MXF4Wm8ySERoaWs5UGIzSVBoOTk5SkVrcVh2MzducnV1ZWVLTEQ1MDdkcTF3SGJkQ3hZc1VISnlzbnIxNnFWR2pScnByYmZlQ2gyYk5tMmFtalZycHNzdXUweVJrWkh5ZUR6eWVEejV6cTlaczZaR2poeDV3dGQyNE1BQlJVWkdNcU1FQVBLZ1VBSUFBQUFjUjhlT0hkV25UeC8xNnRWTC8vem5QL01keTExREpIY1JjMG5xM2J0M3NUTTBldlRva1crNzhKeWNIQVVDQVYxMjJXVUYrbVpsWmVtbm4zN1MzTGx6UTIyeHNiSDYrT09QOC9YYnNXT0h6am5ubkdLdkp6czdXMTkrK2FWaVltSTBkKzVjTldyVXFOaHpBS0F5b1ZBQ0FBQUFISWZMNWRKVFR6MVZvUDNOTjkvVXRHblRGQWdFMUtkUEg5V3JWMC92dlBOT2ljWjg4Y1VYNWZQNVF0OVBuVHBWbXpkdjFwQWhRd3IwZmZubGw5V3dZVVBkZGRkZG9iYm82T2g4Zlh3K24rNjQ0dzVkY2NVVkdqNTgrSEYvZGtSRWhFYU1HS0hEaHcvTDRYRG9tV2VlS1ZITUFGQlpVQ2dCQUFBQVRrS1ZLbFYwNmFXWDZySEhIbE9USmswMFk4YU1JdnZ1M2J0WDA2ZFBWNjlldmRTd1lVTzFiOTgrMy9HdnYvNWFPM2Z1TExCdHNDUlZxMVpOWjU5OWRxSEhjaVVuSnlzOVBWMW5uWFZXc1hFYll6UnAwaVJsWm1hcWZ2MzZTa3RMMDZoUm85UzdkMi9WclZ1MzJQTUJvS0tqVUFJQUFBQ2NoRC85NlU4bDdydDc5MjVObURCQmtaR1JhdGV1blE0Y09KRHYrSysvL3FyMDlIUjkvZlhYQmM0OWVQQ2d0bS9mWHVCWWpSbzExTEZqUjBuUzRzV0xwZUQ2SnlVUkd4c2IrdHJyOVdyQ2hBbHEyYklsaFJJQW9GQUNBQUFBbkg2Ly92cXJKS2xCZ3dhYVBIbXlmdnJwcDBMN3ZmNzY2NFcycDZhbUZqaldyRm16VUtIa20yKytVZlhxMVJVZkgxOWtEQTBhTkZEZnZuMVZ1M2J0Zk8xYnQyNlZKSjEzM25rbmVGVUFVREZSS0FFQUFBQktRV1JrcENUcDhPSERCWTZscEtSSWtzNC8vM3k5L2ZiYkJZNXYyTEJCLy83M3YzWDk5ZGVyYmR1Mm9mYmx5NWRyK2ZMbDZ0YXRXMmc3NEdPdFhidFdtemR2VnMrZVBlVnl1VUt4R0dPMGI5KytVTC9ZMkZnTkhqeTR3UG1yVnExUzFhcFYxYmh4NDVPNmJnQ29hQ2lVQUFBQUFLWGd3Z3N2bENUOTR4Ly9VRXBLaWlJaUlpUkp2LzMybTJiTW1LR3p6ejVielpvMUMvVlBTMHZUTjk5OG8vLzg1ejlLVGs1V25UcDExS3haczN5RmtvMGJOMnIyN05tYU1HR0M2dGV2cjZ1dXVrclhYSE9OMnJScEUrb3paODRjU1ZLWExsMUNiUzZYUzgyYU5kUFVxVk4xNU1nUjFhaFJvOUNZVTFOVDljMDMzNmhYcjE1eU9CeW40VlVCZ1BLSFFna0FBQUJRQ3BvMWE2WW5ubmhDVTZkTzFjY2ZmeXhyclJUY1phWjE2OVlhT0hDZ0hBNkhObXpZb0pFalIycjU4dVh5Ky8xcTM3NjlSb3dZb1N1dnZESTBJeVJYMzc1OTFiZHZYeVVuSit1cnI3N1NWMTk5cFk4Ly9sZ05HalRRMEtGRGRkRkZGMm5kdW5WeXVWeTY5TkpMODUwN2ZQaHd2ZnJxcS9yeXl5K1ZuWjFkYU14VnExYlZOZGRjbzRFREI1N0dWd1lBeWhjS0pRQUFBRUFKOWV2WFQvMzY5U3Z5K0IxMzNLRTc3cmpqdUdQVXIxOWZXVmxaR2pCZ2dLNjk5bHJWcTFldjJKL2J0bTFidFczYlZnTUhEdFFQUC95ZzJiTm5oMmFuakIwN1ZtdlhybFcxYXRYeW5YUGhoUmRxM0xoeEpiNDJBTUJSRkVvQUFBQ0FNNmg2OWVvYVAzNzhTWjNyZERwMTJXV1g2YkxMTGd1MUdXUFVxbFdyVW93UUFDbzNIa1FFQUFBQUFBQUlvbEFDQUFBQUFBQVFSS0VFQUFBQUFBQWdpRUlKQUFBQUFBQkFFSXU1b3RMeSsveGF1MzZEcWxTcEV1NVFVQUdrckYydm5KeWNjSWRSYWZoOWZxV3NYUi91TUZCQmtMOW5Gdm1MMGtUK0FqZ2RLSlNnMHNySXpOU1k4UjhvTWlJeTNLR2dBc2pKeWRIQlE0ZkNIVWFsa1pHWnFYZEdqMVZFUkVTNFEwRUZRUDZlV2VRdlNoUDVDK0Iwb0ZDQ1NpZGc3RzZIekk2QXRWRUhEdktMRmFYTTJsM1oxdTRJZHhnVlZiWU43SWcwUi9NMzdlREJjSWVEaW9iOFBhM0lYNXhXNUMrQVVrU2hCSlhPTHh1U1V4czNiWDJYd3hWUk45eXhvT0x4Rzd0Mys3cWtEZUdPbzZMYXZqNXBBL21MMDRYOFBiM0lYNXhPNUMrQTBrU2hCSlZSNEplTmExSWtwWVE3RUFBbmpQd0Z5aS95RndCUUxyRHJEUUFBQUFBQVFCQ0ZFZ0FBQUFBQWdDQUtKUUFBQUFBQUFFRVVTZ0FBQUFBQUFJSW9sQUFBQUFBQUFBUlJLQUVBQUFBQUFBaWlVQUlBQUFBQUFCQkVvUVFBQUFBQUFDQ0lRZ2tBQUFBQUFFQVFoUklBQUFBQUFJQWdDaVVBQUFBQUFBQkJGRW9BQUFBQUFBQ0NLSlFBQUFBQUFBQUVVU2dCQUFBQUFBQUlvbEFDQUFBQUFBQVFSS0VFQUFBQUFBQWdpRUlKQUFBQUFBQkFFSVVTQUFBQUFBQ0FJQW9sQUFBQUFBQUFRUlJLQUFBQUFBQUFnaWlVQUFBQUFBQUFCRkVvQVFBQUFBQUFDS0pRQWdBQUFBQUFFRVNoQkFBQUFBQUFJSWhDQ1FBQUFBQUFRQkNGRWdBQUFBQUFnQ0FLSlFBQUFBQUFBRUVVU2dBQUFBQUFBSUlvbEFBQUFBQUFBQVJSS0FFQUFBQUFBQWlpVUFJQUFBQUFBQkJFb1FRQUFBQUFBQ0NJUWdrQUFBQUFBRUFRaFJJQUFBQUFBSUFnQ2lVQUFBQUFBQUJCRkVvQUFBQUFBQUNDS0pRQUFBQUFBQUFFVVNnQkFBQUFBQUFJb2xBQ0FBQUFBQUFRUktFRUFBQUFBQUFnaUVJSkFBQUFBQUJBRUlVU0FBQUFBQUNBSUFvbEFBQUFBQUFBUVJSS0FBQUFBQUFBZ2lpVUFBQUFBQUFBQkZFb0FRQUFBQUFBQ0tKUUFnQUFBQUFBRUVTaEJBQUFBQUFBSUloQ0NRQUFBQUFBUUJDRkVnQUFBQUFBZ0NBS0pRQUFBQUFBQUVFVVNnQUFBQUFBQUlJb2xBQUFBQUFBQUFSUktBRUFBQUFBQUFpaVVBSUFBQUFBQUJCRW9RUUFBQUFBQUNESUZlNEFBQUJBK1JRZkgzK0Z3K0g0U05KRENRa0pYeFhTeGNUSHgvL0I0WEE4WksxdFk0eHhTVXF4MW83emVyM3ZTN0poQ0JzQUFPQzRtRkVDQUFCT1NMdDI3ZHh1dC92ZkRvZGpvYVRHUmZWenU5MXZPeHlPRHlXZGJZejVqN1YybnJXMnVURm10TnZ0SG45bW93WUFBQ2daWnBRQUFJQVM4M2c4S3lTMWw1UmhyVTB4eHJRNlR2ZW1rdTVPU0VpWWt0dlFwazJiUmhFUkVUOFlZKzcxZUR5akVoSVNWcDZaeUFFQUFFcUdHU1VBQUtERXJMWE5KVTBNQkFLdGpERUxpK25lUDIrUlJKSldyMTY5VmRLWTRGaVhudFpnQVFBQVRnSXpTZ0FBUUluNS9mNzZTVWxKaDNWMGRzbHgrM3E5M2oxRkhEb2dTY2FZck5NUUlnQUF3Q2xoUmdrQUFDaXgzQ0xKS2JwY2tnS0J3SnBTR0FzQUFLQlVVU2dCQUFCbmpNZmp1ZkwvMmJ2eitLaXErLy9qNzNObnNoSWlhRkJyUmFLeXlKYk1UQVF0aXR2RHJWb1hhZ1gxSjdiVmltMEZGVVcvU3IvUzRzSVgvYnFCVnJSQ0ZSRVJhbFZRVWRSYStTSXVTREtUQkFKQmhDaUlMRUVnQkxMTjNQUDdnMG1ha0lRMVpFanllajRlZVpnNTk5dzdueHY5T0hNKzk5NXpKUDNTV3JzMEZBb3RqSFU4QUFBQXU2TlFBZ0FBbW9YUDU3dlNXanZIR0xNakVvbmNFT3Q0QUFBQUdzSWNKUUFBNEpES3lzcUtzOVkrS3VrT2ErMWFTVmZtNWVYbHhEb3VBQUNBaGxBb0FRQUFoMHlmUG4yT3NkYk9sblNhdGZhZmxaV1Z3NVl1WGZwanJPTUNBQUJvRElVU0FBQndTUGo5L2s2U1ByWFdkcmJXRGd1RlFpL0VPaVlBQUlDOW9WQUNBQUFPbFJja25lUzY3czl6YzNNL2lIVXdBQUFBKzRKQ0NRQUFhSEpaV1ZrbldHdXZrUFJ2aWlRQUFLQWxvVkFDQUFDYW5MVTJNL3JQay94Ky8xc045VEhHYk1uSnlmbHRzd2NIQUFDd0J4UktBQUJBazNOZE45VnhIQmxqdWtqcTBsQWZhKzJHNW84TUFBQmd6eWlVQUFDQUE1S1Rrek5jMHZDR3RvVkNvZW1TcGpkL1ZBQUFBQWZIaVhVQUFBQUFBQUFBaHdzS0pRQUE0TERRcDArZll3S0JRTTlZeHdFQUFObzJIcjBCQUFDSEJhL1gyMVBTREwvZlh5cnBINjdyZm1pdExkcTVjK2U2bFN0WFZzUTZQZ0FBMERaUUtBRUFBSWNWWTB4WFNmYzVqbk83cENYdDI3ZlA5dnY5WDRURDRVL3o4L05YUzdLeGpoRUFBTFJlRkVvQUFNQmh5UmlUTEttL3RiYWZwSnZpNHVMSy9INy9JdGQxcCtUbTVyNGhxU3JXTVFJQWdOYUhRZ2tBQURnc0dHUHEzQ2xpYmMxTEl5bmVXaHR2akxuQTQvRmM0UGY3dDFoclowdWE3VGhPNFk0ZE85WVdGaFp1ajBuZ0FBQ2dWYUZRQWdCQUcrSHorYTZVcEpLU2tuK3ZXclZxVzdRdFhaTFBXbHU4WThlT3I2cm5Bc25NekR6WEdITkVKQkpabnArZnYxeVN1bmZ2bnBhU2tuS3E2N3FlblR0M2ZybGl4WXBpU2VyYnQrOHBIby9uRkd2dHp0emMzQStpYnhlWG1abDVtakVtTFJ3TzV5OVpzdVFiU1kwcmZFd0FBQ0FBU1VSQlZEcnV1T09Tano3NjZBdTFhd25odDZwajY5dTNiMTlKQTYyMUNjWVlhVmZocEhheFJJb1dUNHd4TXNaME5NYjhSdEpRU2Q4bUp5Y3Y5Zmw4S3lXOVhsbFp1Ymlnb0tDeW1mNnNBQUNnbFdIVkd3QUEyZ2pIY1dZNGpqT2pRNGNPWFdvMW4rODR6Z3lQeDNOL1ltSmloK3BHajhmelA0N2p6SWlMaTd1cXVxMWR1M2E5ckxXVEhNZVozSzVkdTE3VjdYRnhjVmRGanpHeHVpMHJLeXZaNC9IYzd6ak9qUGo0K0o5WHQvL2tKejlKcTQ2amRteHhjWEUzU0xwZlVvZmE3ZEdpaUtxTEo5V3N0ZFZGRkkra2t5VDl3aGh6dXpIbWc0U0VoSzk4UHQvZGZyKy9VNVA4NFFBQVFKdkNIU1VBQUxSQ2ZyKy9sNlFSa3VJbFBSNE1CZ3NrRlVsU1ZWVlZ6ZDBXanVOc2wxUmtyVjFmV1ZrWnFYV0lkWktPa0xTMXVzRjEzWEtQeDdQV1dodnZ1bTU1cmI1Ym84ZjR2cnFodExUVVRVNU9YbStNS2JMV2x0UTZSdGdZVTdSN3ZLN3IvdWc0em5wSngrM3QrMG50dTB4cTNXRmlyTFdWeHBoVmt2SWw3WDQrQUFBQSs0UkNDUUFBclpDMTltakhjYTYwMWlaYWE2ZEpLbkJkOTFwSjJySmx5N2ZWL1hidTNQbFJZbUppWVZWVlZlbUtGU3RxaWlMaGNQZyt4M0dTS2lzcjExZTNWVlZWRlVqNnZldTZUaVFTV1YzZFhsNWUvcy80K1BpRnhwaWFBa3hoWWVITzNyMTdQeGdYRjVkU1dscGFVMENwcUtnb2pvK1B2N2FCZUY5MlhYZVQ0emovSXltdFZudUQ1MWQ5aDRtMTFwVlVZSzJkWjYwTlNncFdWRlNzNU5FYkFBQndvQ2lVQUFEUU9oVzVydnU0TWNaYmZTZEpLQlFLN2Q1cCtmTGxteVZ0M3IwOUx5K3ZjUGUyZ29LQ1VrbExHMmhmTDJuOWJzMlJwVXVYcm15Z2I2V2tlbkhrNXVaK0g1MWpKRnpkVnJ0STBzQ2pOOXVzdFgrWE5Da1lESDdkd1BrREFBQWNFQW9sQUFDMFFxRlFxRWpTWTdHTzQwQTBVQ0NKV0dzM1Nsb2xLVnZTKzF1MmJQbDNVVkZSK1o2T0F3QUFjQ0FvbEFBQWdNTktyYnRIdGt2NnlIWGQ5MXpYemZONFBLdUN3V0N4cElhZnh3RUFBR2dDRkVvQUFNRGhKay9TVStGd2VGWmVYdDZPV0FjREFBRGFGZ29sQUFDMFFqNmY3eHpIY1daRUozTWRGQXFGUG9sMVRQc2dWRmxaMlgvSmtpVnJZaDBJQUFCb3V5aVVBQUNBdzBJb0ZOcGFlemxpQUFDQVdLQlFBZ0JBS3hTOWcrUW5zWTREQUFDZ3BYRmlIUUFBQUFBQUFNRGhna0lKQUFBQUFBQkFGSS9lQUFEUUN2WHQyL2NrajhkenJTUnZKQktabHArZnZ5cldNUUVBQUxRRUZFb0FBR2lGUEI3UENZN2pETGZXSm5vOG52bVNLSlFBQUFEc0F3b2xBQUMwUXBGSVpMM2pPRE9OTVhIaGNIaDlyT01CQUFCb0tTaVVBQURRQ3VYbjV5K1hkRWVzNHdBQUFHaHBtTXdWQUFBQUFBQWdpa0lKQUFBQUFBQkFGSS9lQUFEUUN2bDh2bk1jeDVsaHJVMjAxZzRLaFVLZnhEb21BQUNBbG9BN1NnQUFBQUFBQUtLNG93UUFnRmFvc3JKeWNWeGMzUG5XV2hNT2g0dGlIUThBQUVCTFFhRUVBSUJXcUtDZ29GVFMwbGpIQVFBQTBOTHc2QTBBQUFBQUFFQVVkNVFBQU5BSzllalI0N2prNU9UelhkZjFsSmVYenlzc0xGd1g2NWdBQUFCYUFnb2xBQUMwUWtsSlNkMk5NWTg0anBPWWxKUTBTQktGRWdBQWdIMUFvUVFBZ05acHE3WDJNMk5NdkxWMmE2eURBUUFBYUNrb2xBQUEwQXFGUXFFbFhidDIvYTNydW1iVnFsVTdZaDBQQUFCQVMwR2hCQUNBMWltOGN1WEtrbGdIQVFBQTBOS3c2ZzBBQUFBQUFFQVVkNVFBQU5BS1pXUmtuTzd4ZUNZYVl4TEM0ZkF0ZVhsNVg4UTZKZ0FBZ0phQVFna0FBSzJRNHppSnhwak8xdHBFeDNFU1l4MFBBQUJBUzBHaEJBQ0FWc2gxM1pXU3hoaGpQTkhmQVFBQXNBOG9sQUFBMEFybDVlV3RsZlJDck9NQUFBQm9hWmpNRlFBQUFBQUFJSW83U2dBQWFJVzZkKytlbHBLU2NxcnJ1cDZkTzNkK3VXTEZpdUpZeHdRQUFOQVNjRWNKQUFDdFVMdDI3WHBaYXljNWpqTzVYYnQydldJZER3QUFRRXZCSFNWb2s0NDd1VS9uK0RqdnliR09BNjFQUlVYRjZoOVdML3MyMW5HMFp1VHZ2dGxaNFo2U21PQnNOOWFXbFZXNHZkSlA4WEZ4WkMvSVh3QUFJQW9sYUl0KzJqWGorRGl2ZVZuR25oTHJXTkQ2SkNUR2Y1ZWU3aHRTVkJRcWluVXNyVkY2dWk5ZGNmWkY4bmZ2S3F3MTRYTFhZeVc1c24rUmtZMTFUSWM3OGhjQUFJaENDZHFpT09sNEdaMWlaSTVOU2txUzErdUpkVWhvQlNMaGlNckt5K1ZhbTZoRXBVdGlvSFVvSkNxOU9uK1RrNUxrSVgvUkJNaGZBQUJRRzRVU3RGbkpTVWthL29kaDhtWDBpWFVvYUFVS2xoWHE2VWwvMDlhU2tsaUgwaVlrSnlYcHp0dHVWYStlUFdJZENsb0I4aGNBQU5SR29RUnRsc2ZyVWM4ZTNYUjYvMU5qSFFwYWliaTR1RmlIMEdaNHZCNzE2dG1EL0VXVElYOEJBRUExSm5ZREFBQUFBQUNJb2xBQ0FBQUFBQUFRMWVZZXZmSDcvVjBralpGMHNhUTBZOHhhYSswcjI3ZHZIN2R5NWNxS1BlM3I4L25TalRHRnhwajRjRGpjT1M4dmIyM3Q3YjE3OXo0eVBqNyt6OGFZSzYyMXgwaGFKMmxtUlVYRnd3VUZCYVdIL09SaXBGZXZYaWtKQ1FuL1pZejVsYVQwWFlzdDJLV1JTR1RJN24ralFDQXd5RnA3dDZRTVNWWEdtRS9ENGZCOWVYbDVTMkozQmtETFJnNENyWUxINy9mbkcyTjZTaHFhazVQenl1N2JBNEhBYlpKdWxOVFZXbHRpalBtd3FxcHFUSDUrL3FvWXhRd0FRS3ZVcHU0b3ljakk2Q01weHhoem82U1ZrbVpLc3NhWU1lM2J0MzlUa3RuVC9vN2pQR1NNaVc5b1c5ZXVYVk1URWhJV0dtTnVrL1NEcEduR21LM0dtSHNURXhQbnA2ZW5KeDZ5RTR1aFBuMzZkRTVNVEF3WlkvNWJVcVcxOWxWSjg0d3h4enVPazFhN2J5QVF1RVBTRzVLNlNucmRHTFBJV251cHgrUDVQUHJ2QnNCK0lnZUIxc0huOC8wMldpUnBrTi92bnlicENVbkoxdHJweHBpZ3RmWTZyOWViblptWjJiMTVvd1VBb0hWclUzZVVlTDNlbHlRZEtlbkdZREQ0b25ZVk9CSlNVMU5uR0dNRytmMytvY0ZnOE9XRzlnMEVBbG5XMnV1TU1SRko5ZGFqVEVsSkdTYnBGTmQxSHcyRlF2OFZiVFordi8rdnhwZy9kT2pRNFhwSmt3LzFPVFl6YjF4YzNOdlcyaE1sM1JRTUJ2OWVhNXVwL1hmS3lNZzRVZEtqMXRxaVNDUnlXbDVlM2tidCttSjR1K000VDNrOG5pY2xYUkNUc3dCYUxuSVFhQVY2OWVxVllvd1pLNm5CN3hoK3YvOVVZOHkxa2hhVWxKUmNVSDBIck4vdnY4WVlNOFBqOFl5UmRIMU1nZ2NBb0JWcU0zZVVSSysyWkVuNk1pY241OFhxOXBVclYxWVlZMjZWRkRIRy9LNlIzVDJTL21hTUtaVDByNFk2R0dNeUpNbDEzYWRyTlZ0cjdaTzF0N2NtZnIvL1ptTk1wcVJ4dXczUUpNbEtDbGUvY0J6bjk1TGlyTFZqcXdkb2toUUtoU1phYTR1TU1lZG5abWIrdEZsUDRCRDYrdXV2RlE2SDk2Rm5mWldWbGFxcXFtcnltQnBqcmRYT25Uc1BPTjREOWZYWFgydk9uRG4xMm4vNDRRZU5IVHRXUlVWRlRmNmVLMWV1MU9iTm01djh1TEZDRGg0YTVPL2VrYjlOS3lFaDRXRkpSMWxyRzd1Z1V2MGQ0bSsxSHhNT0JvT3ZXV3ZYMWRvT0FBQ2FRSnNwbEVTZjI1ZTFkc1h1RzdLenMzK1FWR1N0N2QvSWxadzdKQVdzdFNNa05mZ04yQmp6alhZTlJrNm8zUjY5MGl0Slh6ZlptUndtakRFM1N5cDNIT2V4dmZWMUhPZGlTU292TDM5N3QwMVcwanhKOG5nOFp4NnFXSnZUdW5YcmROMTExK252Zjk5OTNMcDMxbG9OSHo1Y28wYU5hcExCMXIvKzlTK2RjY1laMnJwMWE2TjlObTdjcUlFREIycnUzTG1OOWlrcEtkSFdyVnNQK3FlaTRqL1RBSDM2NmFjYU4yNWN2ZmRhc0dDQjNuNzdiYVdrcE96VE9XN2J0azMzM251djFxNWRXMjliS0JSU2NYRnh6ZXNoUTRabyt2VHArM1RjbG9BY2JIcmtML25iM0h3K1h6OUp3NjIxajFsclZ6YlM3WnZvUCt0OHg4akt5anJDR0hPa3RiYlZmY2NBQUNDVzJzeWpOOWJhYmRvMXNPald3R1lqNlFoalRFSkdSc1pQYWs5KzZQUDV1a2thSytrZndXRHdvK2d6L3ZVUFlNeGZyYlUzT280enhlZnozZVR4ZUVLdTYvN01HUE9DcE9VVkZSVXZOclJmUzlXN2QrOGpKZmtsZlp5ZG5WMFNDQVF1dHRZT2lBNjZGZ1NEd1k5cWRmZFlhMCtSdEc3NTh1WDFMZ2NhWTVacjE3K2podjdkdERqVHBrMVRmSHk4Qmc4ZXZOLzdHbU4wNjYyM2FzU0lFUm8xYXBRZWUrd3hsWmVYNjV4enp0bW4vZVBpNHZURkYxL1V2QTZId3lvdkw5L3ZPSFkzZVBCZ2JkcTA2YUNQYzg4OTkyaklrQ0Y3N1BQQkJ4OG9JeU5EeWNuSjJybHpaNlA5NHVMaUZCY1hwNDBiTnlvVUNtbm8wS0VhUDM2OFRqdnRORW5TamgwN2RNc3R0K2lLSzY3UTZOR2pEenIyd3cwNWVHaVF2NDBqZjV0ZTE2NWRFeHpIbVdLdFhWTmNYUHh3V2xyYXJRMzFDd2FEOC8xKy8xeEo5d1VDZ1cvS3k4dmZUVWhJT01GYSs0eTFOaUxwZ2VhUEhnQ0ExcXZORkVyaTR1SnlYTmZkYUl3NVBUb1h5YlRvSmhNSUJCNlNsQmJ0VjNNWkxDc3JLODUxM1ZjbFZZWEQ0VHYzZFB6czdPemlyS3lzZ2E3cmZ1NDR6a0pycll3eHN0YXVycWlvT0xlMXJYb1RGeGRYZlp2dnlrQWdNRlBTMWNiOFp5NWN2OTgvMjNHY3E3T3pzNnN5TWpLT2lrNkN1NkdoWTdtdXU5RnhIRW5xMkV6aE41bGdNRmpuVm5EWGRUVm56aHoxN05sVGl4Y3YzcWRqOU8vZlg2bXBxVFd2TXpNejlkeHp6Mm5VcUZINnYvLzdQdzBjT0ZCMzNYWFhYby96NmFlZktpY25aNi85NXM2ZHE5ZGZmMTB2dlBDQ1BKNTZOMUExNkw3NzdtdDB3RlpXVnFZSEgzeFFXVmxadXVxcXEvWjRuSjQ5RzUyblVKSzBldlZxQllOQlNkTEFnUVAzMlBmNjY2L1h5SkVqMWExYk4wMmRPbFhEaHcvWGlCRWpOSGJzV1AzODV6L1g1NTkvcm5BNHJIUFBQWGV2NTljU2tZTUhqL3dsZjJPdGZmdjJqMHJxYTR5NWJPM2F0V1ZwYVdtTjl0MnlaY3RWSFR0MmZGdlNhNG1KdSthSHQ5WldHbVBPejhuSnlXM0dzQUVBYVBYYVRLRWtPenU3S2pNemM0VGpPRE9NTVMvNy9mN2JqREdybzgvMXBrbktrNVFSaVVScXZrMjZydnVBTWVaVTEzV3YzMzJKemQzMTdkdTNvN1YycGpIbU9FazUxdG9WeHBqZXhwaStpWW1KcjJaa1pGeVdsNWUzbzFsT3Roa1lZNnEvelYxdXJWMWpyZTFmV1ZtNUxENCtQdE1ZOHpkanpCWFcyajlKK292ak9NbmE5WVd1d1cvcWp1T1VSNCtaMEl5bjBDU21USm1penovL3ZGNTdNQmlzR1REc3piUnAwOVNyVnkrVmxwYnE4c3N2MTIyMzNhWXJyN3hTNzc3N3Jxb0h2dGRkZDkxZWo3Tmx5NVo5R21odDJMQkJ1Ym01c3RZMjJxZXNyRXlMRmkzU2FhZWRwc1RFUkoxOTl0bU45bjN2dmZja1NUZmRkRlBOMWVBOWVmenh4eFVNQmxWY1hLeXFxaXBkZi8ydStRY25UcHlveVpNbjY2aWpqdEw5OTkrLzErTWNmL3p4TmI4ZmM4d3htakpsaXNhUEh5Ky8zeTlKbWo5L3ZpUnAxS2hSZGZhYlBuMjZaczZjV2FkdDBLQkI5Zm9kN3NqQmcwZitrcit4RkwwTGJJUzFkbkl3R0h4bkw5MU54NDRkbnpUR25CK2RVMmlSdGZZWVNRTWx2WktSa1hGaFhsNWVZVE9GRGdCQXE5ZG1DaVdTbEp1Yk95c1FDQlJiYSs4M3h2U1gxTU5hdTFEU0w0MHhVN1RyR2YwdDJ2WEl6UldTL2t2U0s2RlFhSzhQUlVkWDFEbmRXbHRuNVlsQUlEQlMwaE5lci9kcFNUY2U0bE5zTnNhWTZ1V09reUtSeUM5cVRRNjVNRE16YzdEak9QbkdtR0dTL3VLNmJqaDZ0YnJCLzk2c3RmSFJBVVhqOTJrZnBzYU5HNmZLeWtvcE9nL0EwS0ZEZGRGRkYrbVBmL3lqRkowL1lOeTRjZnJ0YjMrcnpNek1Cby9Sb1VNSEtUcS93Ylp0MjJybUFUREdhTnUyYlh1ODlUNDFOVlZKU1VsTmNpNGJObXpRekprenRXREJBaTFldkZoVlZWWDY1Sk5QVkgzbGN1M2F0UTFPR0RsNzlteWxwYVhwNktPUDN1TUVqbWxwYVVwSlNWSFhybDNsT0k2V0xsMnF6WnMzS3lzclM1TDB6VGZmYU42OGVicnR0dHRxcmtZSGcwRzkrdXFyZXVpaGg1U1FzT2N4ZkdwcWFzMmNDY1hGeGZyb280ODBZTUFBOWV2WHI2YlBoQWtUNVBQNWRNWVpaOVRadDBlUEh2djF0em9ja0lNSGovd2xmMk1sdWdyVks4YVl3dkx5OHBGNzZ4OTk3UGYzMXRvcGp1UDhJVHM3dTBxN3ZxdWNZWXo1d09QeHZDMnBWKzBKbkFFQXdJRnJVNFVTU2NySnlmbFkwc2U3dHdjQ2dXN1cyblU1T1RuYi9INS9MMlBNTkd2dDhuQTQvUHU5SFRNakkrTkVZOHpsMXRvUGQxOTVJaWNuNTBtLzMvOHJZOHdOdlh2M0hyVjA2ZElmbS9xY1lzRjEzVkxIY1dTdFhWaDdCUTN0S2tndERRUUNheVNkMExkdjM0N2hjSGlyMSt1Vk1lYklobzVWZldYY1d0dmdZd0dIczlxMzNFK2ZQbDNoY0ZqRGhnMVQ5ZTNUcGFXbFdyWnNtYXkxMnRNdDFZMTU2S0dIOVBISDlmNXpyZEhZbkFHVEowL1d1blhyOVAzMzMwdlJxOEJ4Y1hINmYvL3YvOVgwc2RZcUx5OVBIMzc0b1NUcHVlZWVVMkppb3ZyMTY2ZlRUejlkQ3hZc3FETzR1ZVdXVzdSKy9mcEdZL25WcjM2MXgzTjU4TUVIZGNrbGwraUtLNjZRSkwzNDRvdGFzbVNKUm80Y0tXdXRoZzRkcXJTME5GMTk5ZFUxKy96d3d3LzYrT09QRllsRUdqeG1PQnpXcUZHajFMOS8venBYN1Y5ODhVVlZWVlhwbm52dVVlZk9uV3ZhSjB5WW9ONjllK3VHRzI3WVk2d3RBVGw0OE1qZi95Qi9tMDlHUmtZN3I5ZjdWclRJK2F0OWVUVFhXbnU3TWFaa3k1WXR3NHVLaW1wbUNnNkZRZ3NEZ2NCVHhwalJQcC92MGxBb05QdVFud0FBQUcxQW15dVVOQ1F6TTlNdjZTaGp6S3hvMHdoSjdZMHhQYjFlYjJrZ0VLaTNqOWZyWFJNSUJPUzY3aUJyN1U3dCtpS3pwSkczeUpjMHdPdjFkcFcwNkZDZVMzTnhIR2VWZGcyd0dydEN2ZDBZSTlkMVRVRkJRYW5mNzE5bmpPbVNsWldWbkoyZHZmdFY2MU9peDFyYUhMRWZDcHMyYmRMTW1UTjF4UlZYNk5oamoyM1NZMmRrWk9pMjIyNnIxMzdyclEzTytTZEordkhISDdWeDQwWnQyN2F0Smo2djE2dXRXN2RxM2JwMWtxU0xMNzVZVzdkdTFSRkhIQ0ZKdXZIR0cvVzczLzFPQ1FrSmV1bWxsN1Jnd1FMRng4ZlhPZTVsbDEybVAvemhEMUwwMXZoSEhubEU3N3p6anFKM0swalJRVjUyZHJZbVRab2tTZHE4ZWJPR0RoMjZ4M00weHVqdXUrOVdmbjYrM24vL2ZRMGFOS2pCZnFXbHBjck96dGJSUngrdG5qMTdLaHdPS3k0dVRvOC8vcmp5OC9QMWw3LzhSWTdqNktPUFB0TEFnUVByRExKYUczS3c2WkMvNUc5ejhucTl2NmhlenRmajhTeHA2RHVHcEdtQlFHQ2FwQWtsSlNYL1pZenBJaWxZVkZSVTd4WWxhMjIrTVVhTzQ3UzhXMnNBQURoTVVTalpOZUNvZnJoNW1uWjk2ZnRFVW9PWHdLeTFseHBqMGlXOUpHbUg0emlySXBHSUo3cGYxMGJlb2tkMCs4Wkd0cmM0T1RrNUJZRkFZUE91T1cvckRyeTZkdTJhYW93NTJWcTdvZFlkTko5SXVpNFNpVndvNmExYWh6S1NMcGEwYytQR2pmT2IvMHlheHQvKzlqZEowczAzMzl6a3gwNU5UYTE1YnIrMjJoTjM3dTZlZSs2UkpNMmJOMCtqUjQvVytQSGo1ZlY2ZGY3NTU5Y3NXenBvMENDZGM4NDVTa3RMMDZXWFhxck9uVHZYWElHdXJLeHM4RmI1cEtRa0hYUE1NWkpVTTBEcjFLbVR2TjcvL0s4a09UbFpIbytucHQrK3NOWXFNek5UWDMvOXRSNTY2S0dhZ1picnVsTDBhbmx1YnE0S0Nncmt1cTcrOUtjL3FXZlBua3BNVE5Tamp6NnF4eDkvWERObXpOQ1BQLzZvNTU5L1hyTm16VkpKU2NrK3YzOUxSQTQySGZLWC9HMU80WEQ0YTYvWCs5ZUd0bGxyZmNhWU02eTFIeHBqVmxockY2eGN1YklpRUFoc3M5YW1SNyszMVhtOHhoalRROUZKbVp2ckhBQUFhTzNhVktFa016UHpwN201dWV0ckYwSDhmdjlkeHBqcnJMWC9WejJaV2s1T3preEpNeHM2UmlBUVNKZVVIZzZINzY4MXdhdngrLzFmUzdyVTUvTmRFZ3FGNXRZNi9nM0dtSE9zdFl0RG9WRGpENEMzUEdGSmY1ZDB0N1YycktTN28rMU9hbXJxLzBwS05NWThYZDNaV3Z1Q01lWTZ4M0VlN05xMTY4Y3JWNjRzMGE2L3p3aEpKMHVhc0hidDJyS1luYzFCMkx4NXMyYlBucTN1M2J2WHU4Mitla1dOeno3N3JNN3FHb29PVkM2KytPSzlIcit5c2xMRnhjVUhIV2RLU29wR2poeXBWYXRXNmZYWFg5ZnZmLzk3ZWIxZWJkaFEvMm1Mc3JLeWZaNDc0YXV2dnFwelJYcFB0L2Z2em5WZFBmTElJMXE2ZEtsZWZ2bmxtbHYwSDMvOGNZVkNJUlVXN3BxYmNQNzgrZXJYcjUrdXVlWWFqUnMzcnM2VmNtT01SbzBhcFk0ZE8rcWtrMDVTZm43K0hpZmlySDZ2M2ZYczJiUE9mQWd0QURuWUJNaGY4cmU1NWVYbDVVaHFjT1plbjg4M3loaHpoakhtNVp5Y25GZXEyNjIxL3pERy9NN3Y5ejhRREFiL0ZGMEdYSDM3OXUwcmFhU2tjby9IczdjSllRRUF3RDVxVTRVU3gzRitHd2dFaGtuNlFsS3B0ZlowWTB4UFNZVVZGUlgxSHhUZmQ5WVljNE8xOWlQSGNkNzErLzJmR0dOV1cydFBNY2I4ekZxNzFSaHpVeE9leW1HaHBLVGtvZFRVMUlzbGpmTDcvV2RKV21LTTZTZXByNlJnT0J3ZVc5MDNGQXA5NHZmNy8yNk11YkY5Ky9aTC9YNy9CNUk2U3pyZldydlVjWncveC9ac0RseHBhYW5pNHVLMGV2VnFUWnc0c2NFKzc3MzNudWJObTFlbjdhU1RUdHFuZ2RhaVJZdDAwVVVYTlVtc1E0WU0wWXN2dnJqWGZpVWxKVXBPVHQ2blkrNisya1E0SE5ZSko1elFhUC9GaXhmcm80OCtxcG03WVA3OCticnl5aXMxZlBqd21oVklGaTVjcUt5c0xIWHIxazJ6WjgvV2pCa3phdUo1NktHSDZqMVNvT2lxSFpJMGRlclVtanNFRkIyb1dtdVZrSkNneE1SRWhVSWhMVjY4dUdhU3kycURCdzl1TVFPdGF1VGd3U04veWQrV29LeXM3TjZrcEtTempESDNCUUtCeTZ5MTJaSTZHV011c05aNnJMVTNoVUtoZzYvSUFRQUFxYTBWU3F5MVgwcTZ3aGh6a2FRNFNhc2wvU1VjRGo5V1VGQndVRXYzNXVUa2ZKR1ZsWlVaWFk3elFtdnRBR1BNQm12dDgxVlZWUTh2V2JKa1RaT2R5R0ZpNWNxVkpUNmY3eXhqekZoSlZ4bGovTmJhN3lVOVVsRlI4ZER1ZjlOZ01IaXozKzh2a0RSTTB2V1NOa3A2Mm5HY01kbloyZHRpZHlZSHAwdVhMbHE0Y0dHRDI0cUtpblRWVlZmcHdRY2YxUG5ubjM5QXgrL1RwMC9OS2h5MTNYSEhIUWQwdk1aczNicFZDeFlza0NSOSt1bW42dGF0Mno3dE4zLysvRHEzN2ovNTVKUDY3TFBQR3UwL1ljSUVGUlVWcVZPblRpb3BLYWxaUm5YV3JGbnEyTEdqNXM2ZHF6ZmVlRU9TTkhmdVhNMmUvWis1Q1YzWFZYbDVlYjJyNWRaYXJWcTFTaWVmZkxKKy9ldGY2OWUvL25YTnR1SERoMnZMbGkyYVBuM1g0bFV2dnZpaW5ubm1HWDM4OGNkN1hZbmpjRWNPSGp6eWwveHRDWll2WDc2NVI0OGVweVlsSmYyWE1lWnFTZGNZWTdaYmErZGFheDhOaFVLTi8wc0RBQUQ3clUwVlNrS2gwSWVTUGp5WVkrVGs1UHlpc1czWjJkbmZ0S1lsZ1BkRktCVGFLdW4yNk0vZXVNRmc4SEZKanpkRGFLMUdodzRkZE5wcHA5VnJyMzI3ZkZPb3JLeXNHYndsSkNUVUdhdzBwZEdqUit2RUUwL1VqQmt6OVB6eno5Zk0xVEI0OEdBNWpxTzVjK2ZXMitmYmI3L1Y1czJidFdMRkNrbXFOMy9DdDk5K3E4R0RCK3Z1dSsvV05kZGNVMmZiNXMyYmErWmphSTNJd2NNYitVdis3bzlRS1BTWXBNY2EybFpZV0xoZDBuOUhmd0FBd0NIVXBnb2xRRXZrdXE0cUtpb08rZnNjZmZUUmV1V1ZYWS9FZCs3Y1dhdFhyOVlycjd5aUs2NjRRdTNidDI5MHZ6bHo1dFNabUhMbHlwVjdmSitlUFh2dWQyeHIxNjdWdmZmZXE3aTRPRjErK2VWS1RVMVZjWEZ4elpLdFM1ZnVXcXhsOTBjR0tpb3FWRlJVcE1zdXUyeS8zeE5vQ3VRditRc0FBRm9lQ2lYQUFabzFhNVltVEppd1QzM3Z2LzkrL2ZuUERVOEIwYUZEQjczNzdydU43dnZaWjU5cHdJQUJCeHluSkMxWXNFQ0xGaTFTYVdtcE1qSXlHdTFYZXhDMGJOa3lQZm5raytyWHI1OTY5R2g4MWNrWk0yYlVlYjE1ODJZZGRkUlJCeFh2N3M0NDR3eDk5ZFZYTXNiSUdGTnorLzF6enoybmZ2MzZLUlFLeVhHY2V1ZjIyV2VmcWJLeVVvMHN2MWxqenB3NVNrdExPK2kvTTFvTzhuY1g4aGNBQUtBK0NpVm9FZExUMHhOVFVsSk9YTEprU2FFa045YnhhTmRxQTdybGxsdjIyR2ZMbGkxNitlV1hkY0VGRjZocjE0WlhqOTU5VXNMZDllelpzMmFpdzkxMTc5Njl3ZmJ5OG5KOS92bm5ldXV0WGF2QS91VXZmMUhuenAxMXpUWFhxS3lzN3NJbTdkcTEwN1hYWHF1VFRqcXBUdnVhTld0a2pGR1hMbDMyR04rTUdUUDJhNDZEQTFYN1VZVjE2OVpKVXMyQUxqYzNWOTI3ZDFkS1NrcE5uMGdrb2lsVHBpZ2xKVVZubm5ubUhvLzk4Y2NmYTl1MmJReTBEaEh5bC93bGZ3RUFRRXRDb1FRdFFtcHFhcHJYNi8zYzcvZXZ0TmErNGpqT082N3JGb2RDb2UyMWwzdHVUajE3OXR6cmJlaEZSVVY2K2VXWGRkWlpaeDNRWkpBWFhIQ0JJcEdJemozMzNMMzJMUzB0bGNmamtldTZ1dkxLSzdWcDB5WWRjY1FSdXZycXEzWHBwWmRxMXlxUzBxdXZ2aXBGQjRHZE9uVlNTa3BLdlpVdnRPdFplWFhwMG1XdkE4RURaYTJ0MTFiOUNJRHJ1bkljUndNR0ROQkxMNzFVTDRabHk1Yko2L1dxYytmTyt2SEhIL1hOTjkvVW05dmdtV2VlMGJKbHkvU0hQL3loemdDczludFUyN0JoUTZPRFZodzg4cGY4clkzOEJRQUFoenNLSldoSkhHTk1scVNBdGZiUHhwaVEzKy8vMGxyN2hjZmorVEk3Ty91SFdBZlkxQzY4OE1KR3QwMmJOazFsWldXS2o0OVhTVW1KNXN5Wm95NWR1c2h4SFAzdWQ3OVRXbHFhemp6enpEcFhpMVhyOXZ5UkkwZnF2UFBPcTdjOUhBNHJKeWRIQlFVRkdqWnNXSjF0Yjd6eGh1Yk1tU05Gci9oSzB0bG5uMTF2LzBna29qUE9PS1BCdU45KysyMXQzNzVkSDN6d2dWSlRVK3RzTy9MSUl5Vkpqejc2YUowcitJV0ZoVkowY0pTYm02dGx5NWJwN0xQUFZseGNuTDc4OGt0SlVtWm1wclJyR1UwOS92ampldlBOTnhVSUJQU2IzL3ltd2ZkNC92bm4xYWRQSDYxZHUxWXJWcXpRb0VHREd2MWJvMG1RdjdXUXYrUXZBQUE0ZkZFb1FZdGhyVFhSWjl5TnBBNlN6ckhXbm1XTTJXcXQzZVQzK3hkWmE2ZFZWbGJPTHlnb3FJeDF2SWZhVjE5OVZiT3NxZGZyVmRldVhUVjY5R2hKMHE5KzlhdEc5L1A3L1JveFlvUm16cHlwdi83MXJ3MzI2ZGl4b3dZUEhsenZrWUhUVGp0dHZ3Y2syN1p0MDRNUFBsanpldmJzMlFvR2cwcE1UTlR3NGNQcjlEM3p6RE0xY09CQXZmWFdXNnFxcW1yd2VDa3BLVHIzM0hOcnp2WFRUeitWSlBsOFB2MzQ0NCs2NXBwcnRIbnpacDE5OXRsNjZLR0g2ZzBrenp2dlBMMzExbHQ2NVpWWFpLMlYxK3ZWNmFlZnJrc3Z2WFMvemd2N2gveXRpL3dsZndFQXdPSEw3RU1mdEFBWkdSbW5lNzNlTjYyMWlkYmFRYUZRNkpOWXg5U1VNakl5anZkNnZRV1MydS9wbG0vdEdwQjlMMm1tdGZhMTh2THlWWTdqYks4OThFcnZtbkc2NHN5YnFlM2JIenZ4c2ZFNmUyRERWMDViaWtna0lzZHg2dndORHRYN0dHTU9lbG5UY0RoY004QnBpcGczYnR5b1JZc1c2UmUvMkxWeTk0d1pNM1Rra1VmcW9vc3VPdWhqNzQ4dkZpM1diWGZkcTAyYk4yK1YxYUNpNWEwckJ3OUdrK2J2S2I1elpPeU0xUGJ0ajMzKzZTZDFldjlUbSs5RURnSHlsL3dGQUxRdVBwL3ZITWR4WnJUV2NWbGIwU0x1S01uTXpId20xakVjN293eHg3aXVXNzBHcE0vbjg4VTRvaWJYcWZaL3I5VmYwR3NQdW1yOS9sTmp6SjNHbUQ4bUp5Y3ZrL1NWeitmTGkwUWkvNWVmbjcrazJTTS94RHdlVDR0Nm45MnZFQitzbzQ4K3VtYVFKVW5YWG50dGt4NS9mMW5YS3M0VE9ha1ZzbWtrZ2dBQUlBQkpSRUZVNXVEQklIOGJRZjRlZnZtYjREVmRNakl5VG85cElFQ1VNV1pOYm03dTk3R09Bd0RhbWhaUktIRWM1OVpZeDlEQy9Oa1lVeDdySUpxU3RkYXgxaWJzZmdXenNTdWEwVUZYb2pIR2I2MzFPWTVUWVl6WjRQUDVDcXNpZHRHT0tzdmRWRGdraktUa3VManJITWYwam5Vc2g0c216dDhnK1l0RHhVaEs5Sm9iUEk3bnBIM29EaHh5eHBqVnZYcjErazFCUWNGM3NZNEZBTnFTRmxFb3dmNngxc2JGT29hbVpvd3gxdTcvNEtqV1ZXcXZNU1pGMHJHT2JESVBuZUdRTWpiT1doMmE1VVphb0tiTVgyTnNFdm1MUThVNFJvNVJlMlBNc2JHT0JXMmJ0ZGFSRkdldDdSQWZIMytTSkFvbEFOQ01Xa1NoeEhYZGhtZXNRdzFqekRIR21FdWlMLy9iV2h1S2NVaE55bHJieVJqemtxVGszZHFsQnE1TVIxK0hyYlVycmJXTFhkY05XbXNYNXVYbFphZDN6VGhWY2VhNlpqMEJ0QmxXMHM3SzhOU1VlTytxV01keXVHalMvRDNGZDZhTUJqZnJDYUROY0YycnNrcjc5M2FKbnFKWXg0SzJ6VnFiWVl6NUwwa0hON0VRQU9DQXRJaENTVzV1N3ZCOTZOYW1SU2R6UGROYW15Z3AxTm9tRGNySXlEamU0L0c0MWEvM05DR2t0WGFMdGZZZGErMU0xM1VMS2lvcWlnc0xDN2MzYjhSb3E0eGpGSGE5cTFwYkRoNE04aGN0aFhHTUtsd3RMOHpKSVg4UlV6NmZyOXdZVXhuOVhnY0FhR1l0b2xBQ2FOZEF5cTMxdTdSclVHVWw3WlJVNHJwdXZyVjJ5cVpObTk1WnQyN2R6bGpHMnRaODg4MDNXcnAwcVM2ODhFSWxKdktkRHZXUnYwM0xXcXMxYTlib2hCTk9PT2hqa2I4QUFBQjFVU2hCUzJMMG4wRldpYVNRcEs4a2ZXR3QvU29VQ24wYjZ3QVBOK1hsNVNvdlAvQjVmVHQwNkxCUC9SWXVYS2dKRXlab3dJQUJETFRRR1BLM0NVMmVQRmt2dmZTU3BrMmJwcE5PT3JoNVI4bGZBQUNBdWlpVW9DV3gxdG84U2E5WFZWVzk1N3J1MnFTa3BNM1oyZGxWc1E3c2NEVmp4Z3c5ODh5QnI2NjlZTUVDSlNjbjcwTlBZSy9JM3laMDdiWFhhdmJzMlJvM2Jwd21UNTRjNjNBQUFBQmFGUW9sYUJGKy9QSEh6VWNkZGRTQTNOemNaWkxjZmRnRnRZd1pNNmJlbGVLMzNucExlWGw1R2pObVRMMys4K2ZQMTd4NTg1cnMvY3ZLeXBTVWxOUmt4MFBMUXY0ZW1Ja1RKMnJxMUtsNzdQUEREejhvS3l1cjBlM1BQdnVzVGp2dHRJT0tnL3dGQUFCdERZVVN0QWhyMTY0dFc3dDI3ZEpZeDlGU25YZmVlV3Jmdm4yZHRzV0xGNnVnb0VBWFhYUlJ2ZjdyMXEwN29FTEpsMTkrcVVzdnZiUk8yK1RKa3pWdjNqdzkrK3l6NnRTcDB3RkVqNWFPL0QxdzdkcTEwL2p4NCt1MVJ5SVJlVHllT20ybHBhVktTVW1wMDlhalI0OTlmaS95RndBQVlCY0tKUUQyNnROUFA5WFNwZlhIdWNZWURSczJyT2IxNjYrL1htZWc5Y1liYjJqU3BFazY2YVNUNURpc2NBanNMNi9YcXdFREJxaTR1RmpQUGZlY3JyLytlcVducCt0UGYvcVRObXpZVVBQWXpmcjE2elZreUJCZGVPR0Z1dTIyMitvVVJzbGZBQUNBL1VPaEJHZ0QxcTlmciszYjY2Nnd1blBuVHJtdXEzWHIxdFhyWDFKU1V1ZjFva1dMOU05Ly9yTk9XemdjbHJXMnprQXJMeTlQK2ZuNTZ0dTNyOTU4ODAyTkd6ZE8zYnAxMDZSSms5U3hZOGNtUHkrZ3JYam5uWGMwZCs1YzNYcnJyWktrRlN0V3FGdTNialhianozMldJMGVQVnIvOHovL28vbno1MnZLbENucTNMbXpSUDRDQUFEc053b2xRQnR3elRYWE5McnRzc3N1Mit2K2Q5NTVwKzY4ODg0NmJjT0hENjlYZkduZnZyMWVlT0VGWldWbGFlTEVpZkw1ZkhyaWlTZDB4QkZISEVUMEFHYlBucTF6enoxWGtVaEVHelpzMExmZmZxdUJBd2VxdUxpNHBrOVdWcGFlZmZaWmZmREJCMHBLU2xKeGNiR09PdW9vOGhjQUFHQS9VU2dCMm9DSkV5Y3FJU0doVHRzcnI3eWlyNzc2U2hNbVRLalgvLzMzMzllYmI3N1o2UEcyYnQycVJZc1dhY1NJRVhYYWh3NGRxbWVmZlZZTEZ5N1VoUmRlcUxGanh5bytQcjRKendSb2U3Ny8vbnQ5OTkxMyt1Njc3L1QrKysvWHRFK2RPclhSeVY2blRac21TZnJrazAvcXpVOUUvZ0lBQU93WmhSS2dGWXRFSXBLa2Z2MzYxUnZ3ekpzM1QxNnZWNmVlZW1xOS9mTHo4L2Q0M1BmZWUwK1JTRVRubjM5K25mWmYvT0lYZXZ2dHQ3VnQyemFOR1RPR1FSWndrSXd4NnRTcFUwM2hROUZsdi8vMXIzL3ArZWVmcnplaDYrNGFXdDZiL0FVQUFOZ3pabWNEV3JGd09DeEppb3VMYTdKalZsUlU2S1dYWHRKWlo1MmxuL3prSjNXMmVUd2UzWG5ublNvcEtkRVRUenpSWk84SnRFVmxaV1ZLVEV4VWZIeThldlhxVmZPVG41OHZ2OSt2OVBSMGRlN2N1Y0dmN3QyN3ExZXZYdlVLS2VRdkFBREEzbkZIQ2RDSzdkaXhReDZQUnl0V3JLaTNiZHUyYllwRUlpb3NMS3kzcmZhOEI3dDcvZlhYVlZ4Y3JCdHZ2TEhCN1dlZGRaWXV2L3h5dmZIR0cvTDVmUFdXR3dXd2I4ckt5dW90OTd0czJUS3RXYk5HYTlhczBUbm5uTlBvdm84OTlwak9QZmZjZXUza0x3QUF3TjVSS0FGYXNhMWJ0eW9TaWVpNjY2NXJ0TStldHUxdTdkcTFtalJwa243MnM1K3BiOSsramZZYk5XcVVzck96OWNBREQ2aFRwMDdxMzcvL2ZzY090SFhidG0yclZ5aDUrZVdYbFpLU29vcUtDdDE4ODgwNjg4d3o2MngvNFlVWDlOVlhYeldZbitRdkFBREF2cUZRQXJSaVAvendnOUxUMHpWdTNMaDYyNlpNbWFMUFB2dE1VNlpNcWJkdHpwdzVldTIxMStxMHVhNnJNV1BHeUZxcmUrKzlkNC92MjY1ZE8wMmNPRkUzM25palJvNGNxZi85My8vVmdBRURtdUNNZ0xhanFLaElQcCt2NXZYcTFhdjE0WWNmYXRpd1lhcXFxdEtzV2JOMDlkVlhLelUxVlpMMDVaZGY2dC8vL3JmKy9PYy9LeTB0cmM2eHlGOEFBSUI5eHh3bFFDc1ZEb2YxOWRkZjYrU1RUMWFQSGozcS9SeHh4Qkh5ZUR3TmJ0dDlrQ1ZKVHp6eGhISnpjM1hycmJmcStPT1AzK3Y3cDZlbjY2bW5ucEsxVmlOSGp0UWJiN3h4aU00VWFIMHFLaXIwL2ZmZjYrU1RUNVlrV1d2MTJHT1BxWDM3OXJybW1tdDAwMDAzS1NrcFNiZmZmcnRLUzBzVkNvVjB6ejMzNk9jLy83a3V2L3p5ZXNjamZ3RUFBUFlkaFJLZ2xjck96bFpwYWFuNjlPbHowTWQ2OWRWWE5XUEdESjF6emptNjVwcHI5bm0vakl3TS9mV3ZmMVZ5Y3JJZWZ2aGhKb2dFOXRHaVJZc1VpVVRVdTNkdlNkS3NXYlAweFJkZmFNU0lFVXBOVFZWaVlxSW1UWnFrOWV2WDY4WWJiOVN0dDk2cUFRTUdhT3pZc2ZXT1JmNENBQURzSHdvbFFDdjE5dHR2UzVJR0RoeTQzL3RXVlZWSjBhVkpyYlg2N0xQUDFMTm5UejM4OE1OeW5Qci8yOWk0Y2FNa0tTa3BxZDQydjkrdmwxNTZTWDM2OU5GVlYxMTFBR2NDdEQwZmZmU1IwdExTbEptWnFjV0xGK3VwcDU3U2dBRUROR2pRb0pvK1c3WnMwVTkvK2xOOTg4MDNLaTh2MS9ISEg2L3QyN2ZYT1E3NUN3QUFzUCtZb3dSb2hRb0tDdlRlZSsrcFg3OStPdkhFRS9mYWYvWHExWHJqalRmVXJsMDd1YTZydDk1NlN5a3BLVFVEcDhjZmYxdzdkKzVVWW1LaUpDa1lER3JXckZsS1NVbFJhV21wUHY3NFk2V25wNnRkdTNZTkhyOUxseTZhT25WcUU1OGwwRHF0V2JORzc3Ly92Z1lQSHF6Q3drTGRjY2NkT3VhWVkvVHd3dzlyNjlhdFdyaHdvZDU3N3oxOThjVVg2dE9uanlaTm1xUkZpeFpwMnJScG1qNTl1aTY4OEVLZGZ2cnA2dGV2bjQ0NjZpanlGd0FBWUQ5UktBRmFvUjA3ZGlndUxrN0Rodzl2dEU5aVltTE5paG9KQ1FsNjlkVlhhN2FscEtSbzVNaVJOYThURWhLVWtKQlE4N3BkdTNiNjRJTVBKRWx4Y1hIcTFxMmJSbzhlZllqT0JtaGI4dlB6RlI4ZnI5Lzg1amZ5ZUR3NjlkUlRkZDk5OStuOTk5L1hvNDgrS2trS0JBSjY1SkZIZFA3NTUwdVMrdmZ2cnlGRGh1alZWMS9WTysrOG83ZmZmbHRwYVduNjV6Ly9xWlNVRlBJWEFBQmdQMUFvQVZxaGZ2MzY2YlhYWGxONmVucWpmZTY2Nnk3ZGRkZGRrcVRqamp0TzJkblpDb2ZEY2wxWDhmSHhlengrOSs3ZGxaMmQzZVJ4QTVBdXVlUVNkZW5TUlVjZGRaUWs2YW1ubnBJa1hYbmxsYkxXNnB4enp0RXh4eHhUYjc5T25UcnA5dHR2MS9EaHc1V1hsNmVFaElSNnl3dUwvQVVBQU5nckNpVkFLN1duSWtsanZGNytsd0FjRHFvbmNhMHRQajVlUTRZTTJldStIbzlIZnIvL0VFVUdBQURRK2pHWkt3QUFBQUFBUUJTRkVnQUFBQUFBZ0NnS0pRQUFBQUFBQUZFVVNnQUFBQUFBQUtLWXVSRnRWaVFjMGJMQ3Irc3Ntd2tjcUlKbGhhcXFxb3AxR0cxR0pCeFJ3YkxDV0llQlZvTDhCUUFBdFZFb1FadFZWbDZ1NXliL1hmRnhlMTRLRjlnWFZWVlZLdG0rUGRaaHRCbGw1ZVY2ZXRMZkZCY1hGK3RRMEFxUXZ3QUFvRFlLSldoelhHTTNPakkvdU5ZbWJpdmhpekdhbUxVYktxMzlJZFpodEZhVjF2MGgzdXpLMzYwbEpiRU9CNjBOK1FzQUFDaVVvQzM2N3V2OG9oTzY5cjdlOGNZZEhldFkwUHBFakMxZXR6enY2MWpIMFZxdEs4ejdtdnpGb1VMK0FnQUFVU2hCRytWK3QzSnBnYVNDV0FjQ1lMK1J2d0FBQURpa1dQVUdBQUFBQUFBZ2lrSUpBQUFBQUFCQUZJVVNBQUFBQUFDQUtBb2xBQUFBQUFBQVVSUktBQUFBQUFBQW9paVVBQUFBQUFBQVJGRW9BUUFBQUFBQWlLSlFBZ0FBQUFBQUVFV2hCQUFBQUFBQUlJcENDUUFBQUFBQVFCU0ZFZ0FBQUFBQWdDZ0tKUUFBQUFBQUFGRVVTZ0FBQUFBQUFLSW9sQUFBQUFBQUFFUlJLQUVBQUFBQUFJaWlVQUlBQUFBQUFCQkZvUVFBQUFBQUFDQ0tRZ2tBQUFBQUFFQVVoUklBQUFBQUFJQW9DaVVBQUFBQUFBQlJGRW9BQUFBQUFBQ2lLSlFBQUFBQUFBQkVVU2dCQUFBQUFBQ0lvbEFDQUFBQUFBQVFSYUVFQUFBQUFBQWdpa0lKQUFBQUFBQkFGSVVTQUFBQUFBQ0FLQW9sQUFBQUFBQUFVUlJLQUFBQUFBQUFvaWlVQUFBQUFBQUFSRkVvQVFBQUFBQUFpS0pRQWdBQUFBQUFFRVdoQkFBQUFBQUFJSXBDQ1FBQUFBQUFRQlNGRWdBQUFBQUFnQ2dLSlFBQUFBQUFBRkVVU2dBQUFBQUFBS0lvbEFBQUFBQUFBRVJSS0FFQUFBQUFBSWlpVUFJQUFBQUFBQkJGb1FRQUFBQUFBQ0NLUWdrQUFBQUFBRUFVaFJJQUFBQUFBSUFvQ2lVQUFBQUFBQUJSRkVvQUFBQUFBQUNpS0pRQUFBQUFBQUJFVVNnQkFBQUFBQUNJb2xBQ0FBQUFBQUFRUmFFRUFBQUFBQUFnaWtJSkFBQUFBQUJBRklVU0FBQUFBQUNBS0FvbEFBQUFBQUFBVVJSS0FBQUFBQUFBb2lpVUFBQUFBQUFBUkZFb0FRQUFBQUFBaUtKUUFnQUFBQUFBRUVXaEJBQUFBQUFBSUlwQ0NRQUFBQUFBUUJTRkVnQUFBQUFBZ0NnS0pRQUFBQUFBQUZFVVNnQUFBQUFBQUtJb2xBQUFBQUFBQUVSUktBRUFBQUFBQUlpaVVBSUFBQUFBQUJCRm9RUUFBQUFBQUNDS1Fna0FBQUFBQUVBVWhSSUFBQUFBQUlBb0NpVUFBQUFBQUFCUkZFb0FBQUFBQUFDaUtKUUFBQUFBQUFCRWVXTWRBQkFMeDUzY3AzTjhuUGZrV01lQjFxZWlvbUwxRDZ1WGZSdnJPRm96OGhlSEN2a0xBQUJFb1FSdDBVKzdaaHdmNXpVdnk5aFRZaDBMV3ArRXhQanYwdE45UTRxS1FrV3hqcVUxU2svM3BTdk92a2orNGxBZ2Z3RUFnQ2lVb0MyS2s0NlgwU2xHNXRpa3BDUjV2WjVZaDRSV0lCS09xS3k4WEs2MWlVcFV1aVFHV29kQ290S3I4emM1S1VrZThoZE5nUHdGQUFDMVVTaEJtNVdjbEtUaGZ4Z21YMGFmV0llQ1ZxQmdXYUdlbnZRM2JTMHBpWFVvYlVKeVVwTHV2TzFXOWVyWkk5YWhvQlVnZndFQVFHMFVTdEJtZWJ3ZTllelJUYWYzUHpYV29hQ1ZpSXVMaTNVSWJZYkg2MUd2bmozSVh6UVo4aGNBQUZSajFSc0FBQUFBQUlBb0NpVUFBQUFBQUFCUlBIcURKdEdyVjYrVXhNVEVSeVFGY25KeWZ0WklOMDhnRUxoTjBvMlN1bHByUzR3eEgxWlZWWTNKejg5ZjFjd2hBMjJLeitjN3gzR2NxWkp1eWNuSmViK2hQbjYvdjVla3NjYVljeVVsUzFvdTZmbWNuSnkvU2JMTkh6WFFOdkFaQ2dEQTRZVTdTbkJRc3JLeWt2MSsvNGpFeE1RVmt2NG95VFRXMSsvM1Q1UDBoS1JrYSsxMFkwelFXbnVkMSt2Tnpzek03TjY4a1FOdFEyWm1wdC92OTcvdU9NNi9KWjJ3cDM3R21LOGsvVkxTNTVKZWs1UW02YmxBSVBCTTgwWU50QTE4aGdJQWNIaWlVSUlENXZmN3I3WFdyamZHVEpTMGJpOTlUelhHWEN0cFFVbEpTYTlnTVBpN25KeWNpeVZkWjR6cDRQRjR4alJmNUVEYkVBZ0VGbnM4bmh4anpDWFcyb0k5OWZWNFBBOWFhNU9zdFpmbjVPUmNscE9UYzJNNEhPNHBLZHRhK3djR1lrRFQ0ak1VQUlEREY0VVNISXlUcmJWclhOZjlUVGdjdm1RdmZUT2kvL3pieXBVcks2b2JnOEhnYTliYWRiVzJBMmdpMXRvZWtsNXlYYmVYTWViZmUrbWVZWXhaRlFxRjNxMXV5TXZMMitHNjd2UEdHT1B4ZUZoSEcyaGFmSVlDQUhDWW9sQ0NBeGFKUko0TUJvTzlRNkhRMUxpNE9IY3YzYitKL3JQT3JmOVpXVmxIR0dPT3ROWitmZWdpQmRxbVNDUnliRTVPem05RG9WRFIzdnBhYTcrUmxIYjg4Y2NuMVc0M3hwd29TVlZWVmVRbzBJVDREQVVBNFBERlpLNDRZSGw1ZVR2MnRXOHdHSnp2OS92blNyb3ZFQWg4VTE1ZS9tNUNRc0lKMXRwbnJMVVJTUThjMm1pQnRtZC9jdFIxM2ZzZHgvbFhwMDZkWmg1enpERWp0MjNidHFsOSsvWlhTN3BMMGl2NStmbjVoelphb0czaE14UUFnTU1YaFJJMG15MWJ0bHpWc1dQSHR5VzlscGlZS08yNmlsMXBqRGsvSnljbk45YnhBVzFaYm03dXA0RkE0SEpKNzFwckwwdE5UWlYyNWVoc1k4eU5zWTRQYU92NERBVUFvUG53NkEyYWkrbllzZU9UeHBqenJiVkZrbVpaYStkSGkzV3ZaR1JrOUloMWdFQmJscG1aNlpmMDBxNnhsLzJYdGZaMWErMWFTWmRiYXgrT2RYeEFHOGRuS0FBQXpZaENDWnBGSUJDNHd4anplMnZ0Rk1keHV1Zms1QXdKQm9QbldHdlBrcFRtOFhqZTVnNG5JRGF5c3JLU1BSN1B1NUtTSXBGSS8yQXdlSDR3R0x4NjA2Wk4zWTB4c3lUZDdmZjdiNGgxbkVCYnhXY29BQUROaTBJSm1vVzE5blpKSlZ1MmJCbWVuWjFkVmQwZUNvVVdTbnJLR05QTjUvTmRHdHNvZ2JZcEVva01sdlFUU1kvbTV1WUdxOXZYcmwxYnRtUEhqcHV0dFJXU1JzWTJTcUR0NGpNVUFJRG1SYUVFaDF6WHJsMFRqREZkSkgxVFZGUlV2dnQyYTIyK0pEbU93NjNEUUF3WVk3cHJWeTR1MlgxYllXSGhkbU5Na1RHRy9BUmlnTTlRQUFDYUg0VVNISElyVjY2c2tMVE5XcHZlMEszQjFRTXcxM1UzeGlSQW9JMHp4bXlLL3RwMTkyM3A2ZW1Ka2s2dzFwS2ZRQXp3R1FvQVFQT2pVSUptWWEzOWh6R21vOS92ZjBDU3FXN3YyN2R2MytndC9lVWVqK2VkMkVZSnRFM1cyamNrUll3eGQyZGtaSnhZYTVQM3lDT1BuQ2dweVJqemp4aUdDTFJwZklZQ0FOQzhtUGdMemFLc3JPemVwS1NrczR3eDl3VUNnY3VzdGRtU09obGpMckRXZXF5MU40VkNvZUpZeHdtMFJjRmc4RnUvM3o5UzBnU3YxN3ZFNy9kL0pHbXJwSjlKNm1hdHpkMjVjK2NEc1k0VGFLdjREQVVBb0hseFJ3bWF4ZkxseXpmdjNMbnpWTmQxSDdiV3hrdTZ4aGpUMzFvNzExbzdNQlFLdlJUckdJRzJMQmdNUGgxZGV2UVRZOHdaeHBqQmtxcXN0V00yYmRyMHM4TEN3dTJ4amhGb3EvZ01CUUNnZVhGSENacEVkbloyY2UzYmdSc1NIV2o5ZC9RSFFEUEt5Y2taTG1uNFh2cDhMT25qNW9zS2dQZ01CUURnc01NZEpjQWg4UFhYWHlzY0RoL1F2dVhsNVFlODc0RjQvLzMzTldQR2pDWTczc3FWSzdWNTgrWW1POTdCK3VhYmJ6Um56aHlWbDlkYkxBSm9FUGw3Y1BscnJkVjMzMzNYSlBHUXZ3QUFJQllvbEFCTmJOMjZkYnJ1dXV2MDk3Ly8vWUQybno1OXVpNjk5RkpaYXlWSk8zYnMwSVlORy9iNTU4Y2ZmNVMxVmc4ODhJRGVldXV0dmI3Zi9QbnpOWHYyN0QzMjJiWnRtKzY5OTE2dFhidTIzclpRS0tUaTR2ODhHajlreUJCTm56NTlyKzliWGw2dXJWdTNIdkRQdmxxNGNLSEdqaDJyMHRMU2ZkNEhiUmY1dTIvNXV5ZVRKMC9XdGRkZXExV3JWaDNVY1VUK0FnQ0FHT0hSRzdRSTZlbnBpU2twS1NjdVdiS2tVSkliNjNqMlpOcTBhWXFQajlmZ3dZTVBhUDlRS0tUZXZYdkxtRjEzWWMrYU5VdlBQUFBNUHUvZnJWczN2ZkxLS3lvdkw5ZUREejZvVFpzMjZlYWJiOWFHRFJ2MDVaZGYxdXYvL2ZmZnE2U2tSSFBtekttM0xTMHRUUU1HRE5ER2pSc1ZDb1UwZE9oUWpSOC9YcWVkZHBvVUhRVGVjc3N0dXVLS0t6UjY5T2o5T3M4Wk0yYnMxM250YnNHQ0JVcE9UajdnL2RGOHlOL1dsNzk3Y3UyMTEycjI3TmthTjI2Y0prK2UzR1RIQlFBQWFDNFVTdEFpcEthbXBubTkzcy85ZnY5S2ErMHJqdU84NDdwdWNTZ1UyaTRwRXF1NGdzRmduZHZVWGRmVm5EbHoxTE5uVHkxZXZIaWZqdEcvZjMrbHBxWXFOemRYcnVzcVB6OWZGMTk4c1lMQm9DUXBNek5UTDczMG4zbjZ4bzBicDFOT09VVy8vT1V2bFplWHA2ZWZmbG92dlBCQ3pmYkV4RVI1dlY0OS9QRERTa3RMMDNQUFBhZnQyN2ZyN0xQUDFyUnAwK3E5LzhhTkcxVlpXZG5ndHQ2OWUydkFnQUhxMXEyYnBrNmRxdUhEaDJ2RWlCRWFPM2FzZnY3em4rdnp6ejlYT0J6V3VlZWV1OTkvdTJwanhveFJZbUppbmJhMzNucExlWGw1R2pObVRMMys4K2ZQMTd4NTh3NzQvWFpYVmxhbXBLU2tKanNlNmlOL1cxLytUcHc0VVZPblR0MWpueDkrK0VGWldWbU5ibi8yMldkcmlqWUhpdndGQUFDSEFvVVN0Q1NPTVNaTFVzQmErMmRqVE1qdjkzOXByZjNDNC9GOG1aMmQvVU56QnpSbHloUjkvdm5uOWRxRHdXRE5RR2x2cGsyYnBsNjlldW1XVzI1UlZWV1ZKT2tmLy9pSC92R1BmMGlTcnJqaWlqb0ZnNlNrSkIxMzNISHEyN2V2dG03ZEtxL1hxNzU5KzlZN3JqRkdkOTU1cDFKU1V1VHhlSlNWbGFVcFU2YW9yS3lzVHIveDQ4ZHJ6Wm8xRFY3MVB2TElJMnQrUCthWVl6Umx5aFNOSHo5ZWZyOWZpaFl0SkduVXFGRjE5cHMrZmJwbXpweFpwMjNRb0VIMStrblNlZWVkcC9idDI5ZHBXN3g0c1FvS0NuVFJSUmZWNjc5dTNib0RLcFI4K2VXWHV2VFNTK3UwVFo0OFdmUG16ZE96eno2clRwMDY3ZmN4c1YvSTMxYVd2KzNhdGRQNDhlUHJ2VzhrRXBISDQ2blRWbHBhcXBTVWxEcHRQWHIwcUxkdlk4aGZBQURRbkNpVW9NV3cxaHBqak15dWU5bzdTRHJIV251V01XYXJ0WGFUMys5ZlpLMmRWbGxaT2IrZ29LQ3lPV0lhTjI2Y0tpdDN2VlZKU1ltR0RoMnFpeTY2U0gvODR4K2w2TlhlY2VQRzZiZS8vYTB5TXpNYlBFYUhEaDBrU1Y5ODhZVmVmZlZWVFowNnRWNGhZTU9HRFRXL1YxUlVxS3lzVEJzMmJGQnhjYkdNTVhXMkgzSEVFWFh1MEJnMmJGak43NDgrK3FqZWUrKzlCdU80NUpKTDZyVk5uank1WmxDbFhYY0dhTnk0Y1pLazR1SmlmZlRSUnhvd1lJRDY5ZXRYMDJmQ2hBbnkrWHc2NDR3ejZoeHJmd1pGKytQVFR6L1YwcVZMNjdVYlkrcWMrK3V2djE1bm9QWEdHMjlvMHFSSk91bWtrK1E0VE5kMHFKRy91N1NtL1BWNnZSb3dZSUNLaTR2MTNIUFA2ZnJycjFkNmVycis5S2MvYWNPR0RUV1AzYXhmdjE1RGhnelJoUmRlcU50dXU2MU9ZWlQ4QlFBQWh5TUtKV2d4akRGVzBSVVZhbkVrSFNucFNHTk1EMlBNMElTRWhPLzlmdjlNYSsxcjVlWGxxeHpIMlg2b0JsNnBxYWsxdjArZlBsM2hjRmpEaGcxVFdscWFGTDJLdW16Wk1sbHJhOXIyNVBQUFA5Y1paNXloeHg1N1RJbUppUm8rZkxncUtpcnFEWUtXTDE5ZTU3YjMydHNmZlBCQnVhNnJUejc1UktOSGo2NXpWZm5lZSsvVkhYZmNVZWRZNDhhTjA1bzFhelJwMHFSNjhYVG8wRUhoY0ZpalJvMVMvLzc5ZGQxMTE5VnNlL0hGRjFWVlZhVjc3cmxIblR0M3JtbWZNR0dDZXZmdXJSdHV1R0d2NTZ2b0lHcjc5dTExMm5idTNDblhkYlZ1M2JwNi9VdEtTdXE4WHJSb2tmNzV6My9XYVF1SHc3TFcxaGxvNWVYbEtUOC9YMzM3OXRXYmI3NnBjZVBHcVZ1M2JwbzBhWkk2ZHV5NFQ3SGl3SkcvLzlHYThsZVMzbm5uSGMyZE8xZTMzbnFySkduRmloWHE5di9adS9Pd3FLci9EK0R2T3pNZ200RUxwb1NKZTdnQm9xWG1tbHVhbVpZUmFWcFptZWFXUzJxYWFKcVpHeW5tbXZwMUtiY1VUVnh3d3dWeFEyUUFGWGRSVVhGQkFSRlpadTc1L2RITS9CaG0yQlJrOGYxNm51L3pNT2ZlZStaenpjUFgrN25uZkU3dDJvYmpsU3RYeHZqeDR6RjkrblFjT25RSXk1Y3ZOM3dueHk4UkVSRVZSMHlVbEQ0cUFPN3U3dTVGSFVkQmM4ejg5MVZmS0RIelExZW1uMStUSkdta0pFbmYyZGpZUkFNSWRYZDNqOVJxdFllam9xTE9GRVp3OSsvZng0WU5HL0RCQngrZ2N1WEt6OVJIV2xvYXdzTENNRzNhTk96WnM4ZGszZjJrU1pOUXQyNWRqQnc1RWwyNmRFSEhqaDBSSEJ5TWRldldZZUhDaFFDQVFZTUdBYnBFUTNCd01ENysrR1A4OU5OUGFOZXVIYjc2Nml1VEpBTXkxVGpRWDV2Vi9QbnpZV0ZoZ1RsejVpQXFLZ3FUSjArR1FxSEF2bjM3MEtwVks2T0hyR2ZoN2UyZDdiSDMzMzgvMSt0SGpoeUprU05IR3JVTkdUTEVKUGxTdG14Wi9Qbm5uL0QwOUlTZm54L2MzZDNoNitzTGUzdjc1NGplbEpBRkxKVGFHcVZ3REQ0UGp0OVNPbjRCNE45Ly8wVzdkdTJnMVdweDkrNWRYTDkrSGExYXRUTGFUY2ZUMHhNTEZ5NDAvTms4ZVBBQUZTcFVLSmJqVnduNXRkTDRmNkprVEtQUjNEbHo1c3pkUEp4S1JFUXZJU1pLU2g4YlNaSW1TcEwwUXFhdXZ5aENDSVVRb296K0FVc3Y2K2RNNXdPQWxTUkpIa0lJZDRWQ2tTWkowbDEzZC9jTEdWcHg4a21HTUgvaE0xcTZkQ2tBNEp0dnZubm1QazZjT0FFaEJKbzFhNFk5ZS9hWUhLOWF0U3JxMXEyTGpJd011TGk0b0c3ZHVsQ3IxYkN6c3pOTWk5ZlhCZkR5OGtMdDJyVXhldlJvL1BqamovRDM5NGVYbHhmUzB0THlIWmVEZ3dObXpweUpPWFBtWU4yNmRYajQ4Q0dXTEZtQ2pSczNtbjF3eXk4L1B6K1VLVlBHcU8ydnYvNUNhR2dvNXMyYlozSitZR0FndG16WmttMS9DUWtKT0hueUpJWU9IV3JVM3Jkdlh5eGN1QkFoSVNIbzFLa1Rmdjc1WjFoYVdqNTMvRmxKQUd3c0xIb3JGRkw5QXUrOGhDcmc4UnZPOFp0M2hUMStiOTI2aFJzM2J1REdqUnNJREF3MHRLOWF0U3JiWXEvNndyTUhEeDQwcVU5VTVPTlhBZGhacXZvcUZGSzFBdStjaWhWTFM4dkxibTV1QXlNaUltNFZkU3hFUkZUOE1GRlNTZ2doN2dHNEE4QUtnRUlJWVpXSHkwb01TWklrSWZML2NKVHBMYlZLa2lRN0FKVVZFRFlvd01lcytQaDQvUHZ2djZoVHB3NkNnb0pNamdIQTBhTkhqWGJYZ0s0V3didnZ2bXY0dkcvZlByejExbHM1N3VBZ3l6SWVQMzVzS0lyNCtQRmpvK1VEbVhsNGVHRFZxbFc0Y09FQ25KeWM0T1RraEpzM2J4clZROGlKZzRNRGF0V3FaZmc4ZXZSb2xDdFhEalZxMUVCVVZGU094UzdQbmoyTDFhdFhtN1M3dXJvYTZpRm90Zjl0ZHRLMGFWT1RCNTdkdTNkRHBWS2hTWk1tSm4xRVJVWGxHUGV1WGJ1ZzFXclJvVU1Iby9adTNib2hJQ0FBaVltSjhQSHhLWlNITEFOSldBaUJValVHbjBkQmpsOUpFdFljdjdrcjdQRUxYYUxMMGRIUmFNZWRkZXZXWWYvKy9WaXlaSWxKUWRlc3pHM3ZYZFRqVnhLU3BKRHdLb0EzQ3VVTHFOZ1FRbFNXSktrMkFDWktpSWpJQkJNbHBVUlVWRlNNaDRmSFowS0lTa1VkUzJFUVFqaEtrclFTZ0UyV2RzRE1tMm5kWjQwUTRySVE0cFFzeStGQ2lKREl5TWd3bDFxTm1zQkM2bzBDa3B5Y0RBc0xDMXk3ZGcxK2ZuNW16OW0xYTVkSmdjY2FOV29ZUFdoZHZYb1ZseTVkd3R0dnYyM1lQV1AzN3QzWEd5cktBQUFnQUVsRVFWUVlNbVNJNFp3Yk4yNGdQVDBkOCtmUFI2TkdqWEQxNmxXekR4dDZ6czdPY0haMk5uemVzR0VEMXExYkJ3c0xpeHp2S1NNakEyM2F0SUd2cjY5UisxZGZmUVhvM2hicjM4SURRSHA2T29RUUtGT21ES3lzcktCV3EzSHExQ21UYlgrOXZMd01EMW9halFZQWNvMGxQOUxTMHJCeTVVcTBidDBhVmFwVU1UcW1WQ294Y3VSSWpCZ3hBcjYrdnBnd1lVS0JmVzltQWtCS3VtYVZuYVhxYXFGOFFRbFVvT1AzRGZlV2tPQlZVTEZ4L0Q3YitIMzY5Q21zckt4Z2FXbUpldlhxR2M2SmlvcUNoNGNIWEZ4Y3NvM1AydG9hS3BYcFB6K0t3L2lWaFJDcDZXS0ZsYVYwczFDK2dJcWNKRWtOQUl6VVRRQWtJaUl5aTRtUzBrTU9EdzgvQitCY1VRZFNHQm8xYXVTc1ZDcGwvZWNzQlNFQjQ3b0hqNFFRMjRVUUcyUlpQcGVXbHZiZ3dvVUxqMDB1S0NEVnFsVkRTRWlJMldNeE1USDQ2S09QTUhYcVZKTTNwRm1OR2pVS3ljbkpnTzVCcGt5Wk12RDI5amFxSVJBZUhvNUtsU29acHVYSHg4Y2pOallXLy83N0x6NzQ0QU9UUHFPaW9uRG56aDIwYmR2VzhBYTJjdVhLMkxGalI0Nng5Ty9mMzZSTkNJR3JWNitpWnMyYStQenp6L0g1NTU4YmpnMFpNZ1NQSGozQzMzLy9EZWdLUmY3eHh4OElDZ295V1ZhajkrVEpFeWlWU2x5OGVOSGtXR0ppSXJSYUxTNWN1R0J5TEhQZGc2dzJiZHFFQnc4ZW1JMGZBRnEzYm8zdTNidkQzOThmN3U3dUp0dU5GZ1JKSVVFanE2NnExZXFEQmQ1NUNjWHgrNS9TTkg2ZlBuMXFzdDF2ZEhRMGJ0NjhpWnMzYjZKdDI3Ylp4amQ3OW15MGE5Zk9wTDI0ak45VUdWSG5PWDVMTFhkMzl3U0ZRakc0dE0yOEpTS2lnc1ZFQ1pVWWtpVEptWDRHL3Z2SHZ3Q1FBaUJKbHVVb0ljVHkrL2Z2Yjc5OSszWktVY2I2TERKdjQ3bHo1MDVZVzF1alZhdFdSblVKZHV6WWdVNmRPbUhnd0lINDU1OS9NRy9lUFBUcTFRdS8vdnFyMlRlNDI3WnR3NVl0V3hBVUZHUjQwSXFMaTBPYk5tMXlqQ1VsSlFXdFdyVXlhcnQrL1RxOHZMend3dzgvbUJSZ2pZK1B6M2RSeFlTRUJHaTFXcU9kT0xMSzZWaFdzYkd4V0xSb0VabzNiNDZHRFJ0bWU5N28wYU1SRmhhR0tWT213TkhSRVcrKytXYSs0cVpudy9GYnVzWnZZbUtpU2FKazllclZzTE96UTFwYUdyNzU1aHUwYk5uUzZQaWZmLzZKME5CUXMrT1Q0NWVJaUlpS0V5WktxQ1NSOFA4UFdVa0ExQUJDQVJ3WFFvU3ExZXJyUlIxZ1FYcjgrREdPSFR0bWVLZzhjdVFJSWlJaU1INzhlRmhiVytQeTVjdW9VNmNPZnZ6eFI5eTlleGUvLy82N1NSOWhZV0dvVzdldVVSMkU4dVhMWS9yMDZUbCs5OHlaTTAzYXpwNDlDd0I0L2ZYWGpkclQwdElRRXhPVHB4MXFNcnR6NXc1Y1hGenc2NisvbWh4YnZudzVqaDQ5aXVYTGw1c2MyN1p0RzlhdlgyL1VKc3N5Zkh4OElJVEF1SEhqY3Z4ZVcxdGIrUG41b1gvLy9oZ3hZZ1JtelpxRkZpMWE1Q3QyZWlZY3Y2Vm8vTWJFeENEenhqRFhybDNEM3IxN01XREFBR1JrWkdEanhvMzQrT09QRGJHZk9IRUNCdzRjd0tSSmsweTJXdWI0SlNJaW91S0dpUklxU1lRUUloTEFwb3lNakYyeUxNZGFXMXZIaDRXRlpSUkZNQnMzYmpTN0s0czVFeWRPeEtSSms4d2VjM0J3d0xadDJ6Qmh3Z1RjdTNjUGNYRnh1SC8vUG1SWlJraElpR0dLL0k0ZE85Q3JWeS9VcUZFREJ3NGN3STRkT3pCbnpod0FnSStQRDFRcUZUNzY2Q05Ednc4ZVBNRDE2OWZSdDI5Zm8rK1RKQ25iNmZSNkNvWENwRTJ0VmtPaFVLQlJvMFpHN1VlUEhrVjZlam9hTjI2Y1k1L2J0bTFEeFlvVjBhSkZDMmcwR2x5NmRBbHZ2ZldXWWNlUHpPenQ3YUZVS3MwZXkvcVFCUUMrdnI2SWlJakFxRkdqakdvNlpNZkZ4UVZ6NTg3RndJRURNV0xFQ0l3ZE94WWZmdmhocnRmUmMrSDRMU1hqTnkwdERiZHUzVExFSzRUQTdObXpVYlpzV1hoN2U4UFMwaEo3OSs3RjhPSERNWC8rZkZ5K2ZCbGp4b3hCbHk1ZDBMMTdkNU8rT1g2SmlJaW91R0dpaEVxRWh3OGZ4bGVvVUtGRlJFUkVOQUE1RDVjVXVvWU5HK0xiYjcvTjhaeEhqeDVoOWVyVjZOaXhvOUVPRkpsWldWbEJxVlRDMHRJU0RSczJSTGR1M2JCejUwNDRPVGxoeXBRcFNFdEx3OUtsU3pGMjdGaDRlbm9hcnZ2d3d3OE5kUURLbHk5djB1L1JvMGNCM2E0eW1jWEh4K2U2RFdwR1JnYWNuSnlNMmlJaUlsQ25UaDJqNmZaYXJSYkxseStIbloyZHlUVDdySUtDZ3BDWW1JZ1dMVm9nTEN3TXljbkphTkNnUVk3WDVNWGF0V3V4YnQwNnRHM2IxbVJKUVU0YU5XcUVCUXNXWU9USWtaZzJiUnBpWW1Jd2N1VEk1NDZIVEhIOGxxN3hlL0xrU1dpMVd0U3YvOThPMkJzM2JzVHg0OGN4WWNJRXd3eVNSWXNXb1gvLy91amZ2ejl1M2JxRjFxMWI0K2VmZnpicGwrT1hpSWlJaWlNbVNxaEVpSTJOZlJvYkczdTJxT1BJek5YVkZhNnVyam1lRXhNVGc5V3JWNk4xNjlhNUZvT2NNbVdLNGVmUTBGQ1RYU0VjSEJ3TUR5SHQyclV6V3d4UnE5VWFwdm9mUG53WUtwWEtxSFlDOGxnTThvc3Z2akRhaWVUaHc0ZTRjdVdLeVlQTUgzLzhnZWpvYUF3YU5Nam9BVXgvclN6Ly96UHgzYnQzVWFkT0hRQkFRRUFBQUpqVVVjZ0wvWTRpa2lSQkNJR2pSNC9DMWRVVjA2Wk5NL3NtL2Q2OWU0QnVwNDJzUER3OHNITGxTdmo0K0JpOXphZUN4ZkZidXNidnZuMzdVTEZpUmJpNXVlSFVxVk9ZTzNjdVdyUm9nWjQ5ZXhyT2YvVG9FVjU3N1RYRE5zVE96czU0L1BneEhCd2NET2R3L0JJUkVWRnh4VVFKVVFtMmMrZE9wS2VuUTZWUzRjcVZLMGhNVElTVGt4UFMwdEp3N05neDFLdFhMOGZ0Ui9YV3JWdUhlL2Z1d2RMU0Vzbkp5WWlPampaNjZEbHg0Z1FBd00zTkRkRHRlREZuemh4czJiSUZqUnMzeGhkZmZHSFVuLzROK1pJbFM5Q2dRUVBFeHNiaTRzV0w2Tm16Sjg2ZE80ZGR1M2FoYWRPbXFGNjllcTZ4WGJ0MkRmNysvckMxdFlVc3k5aTZkU3ZzN093TUQwNXo1c3hCU2txS1lTdlQ4UEJ3Yk55NEVYWjJka2hPVGtaUVVCQmNYRnhnYTJ0cnR2OXExYXBoMWFwVnVjWkJWTkJLNHZpOWVmTW1BZ01ENGVYbGhRc1hMdUQ3NzcvSHE2KytpbW5UcGlFaElRRWhJU0hZdFdzWGpoOC9qZ1lOR21EUm9rVTRlZklrMXF4Wmc3Ly8vaHVkT25WQ3MyYk4wTFJwVTFTb1VJSGpsNGlJaUlvbEprcUlTckNqUjQ5aTE2NWRnSzdJWVo4K2ZlRG01b2E3ZCsraVNaTW1oZ2VqM0NRbUp1TFFvVU9BN20zeTIyKy9iZlR3ZE9USUVlQy9iUlh4OE9GRGVIdDdJejQrSG0zYXRNRXZ2L3hpOHZiOG5YZmV3ZGF0Vy9IWFgzOUJDQUdWU29WbXpacmh2ZmZldzdsejUyQmhZWUVoUTRaa0c0K1ZsWlhoRFhlWk1tV3dkdTFhd3pFN096dU1HREhDOExsTW1USkdOUnRzYlcyeFo4OGVBSUNGaFFWcTE2Nk44ZVBINStuUGdlaEZLb25qOTlDaFE3QzB0TVFYWDN3QnBWS0pKazJhNE1jZmYwUmdZS0NoaUd6anhvMHhZOFlNd3l5Y045OThFNTk4OGduV3JsMkw3ZHUzSXlBZ0FCVXJWc1Rtelp0aFoyZkg4VXRFUkVSRVZOUmNhalZxNXVMcWRxZlJteTNGd2NOSFJIRW55N0k0ZmZxMGVQejRzZG5qR1JrWklpMHRyVkJqdUh2M3JnZ0lDREI4WHJ0MnJRZ01ESHptL3E1ZHU1YnZhMTdFZlQ2UFl5ZENSZE9XN1lXTHEvc2psemZjMnhiMTMvUFN5dVVOOTdiNjhYdnNSR2hSLzJmUFZXa2N2MmZPbkRGcFMwdExFK3ZYcnhkeGNYRTVYcXZSYU1UcDA2ZkYyYk5ubi9uN0N3UEg3OHZEM2QyOWJlUEdqZTk0ZUhnOGNuY3Z2dit0UzBxY1JHU0s0N2QwNEl3U29tSk9raVNUT2dXWlpYMGJYQmdxVmFxRWJ0MjZHVDUvK3Vtbno5V2ZpNHRMdnE5NUVmZEpWTkJLNC9qVkYzSE56TkxTRXA5ODhrbXUxeXFWeWh6L1BJaUlpSWlLQTlQS2FVUkVSRVJFUkVSRUx5a21Tb2lJaUlpSWlJaUlkSmdvSVNJaUlpSWlJaUxTWWFLRWlJaUlpSWlJaUVpSGlSSWlJaUlpSWlJaUloMG1Tb2lJaUlpSWlJaUlkSmdvSVNJaUlpSWlJaUxTWWFLRWlJaUlpSWlJaUVpSGlSSWlJaUlpSWlJaUloMG1Tb2lJaUlpSWlJaUlkSmdvSVNJaUlpSWlJaUxTWWFLRWlJaUlpSWlJaUVpSGlSSWlJaUlpSWlJaUloMG1Tb2lJaUlpSWlJaUlkSmdvSVNJaUlpSWlJaUxTWWFLRWlJaUlpSWlJaUVoSFZkUUJFQlVWclVhTDZBdVhVS1pNbWFJT2hVcUJjOUVYa0pHUlVkUmh2RFMwR2kzT1JWOG82akNvbE9ENEpTSWlvc3lZS0tHWDF0UFVWQ3hldGdLV0ZwWkZIUXFWQWhrWkdVaDYvTGlvdzNocFBFMU54ZnhGUzJGaFlWSFVvVkFwd1BGTFJFUkVtVEZSUWk4ZFdSTDNGSkR1eUVKWUpTYnhIOFpVd0lTNG15N0VuYUlPbzdSS0YvSWRTK20vOFp1UWxGVFU0VkJwdy9GTFJFUkVUSlRReStqR3BhaVkxMnZWLzB5aHNxaFUxTEZRNmFPVnhJUGI1eU12RlhVY3BkWHRDNUdYT0g2cHNIRDhFaEVSRVpnb29aZVVmT1B5MlhNQXpoVjFJRVNVYnh5L1JFUkVSRlNvdU9zTkVSRVJFUkVSRVpFT0V5VkVSRVJFUkVSRVJEcE1sQkFSRVJFUkVSRVI2VEJSUWtSRVJFUkVSRVNrdzBRSkVSRVJFUkVSRVpFT0V5VkVSRVJFUkVSRVJEcE1sQkFSRVJFUkVSRVI2VEJSUWtSRVJFUkVSRVNrb3lycUFJaUlpSWlJQ3BxSGgwYzFJVVRiekcyU0pMMEJ3RnFTSkFzQW5kM2QzYXRsUGk3TDh1SEl5TWhyTHpKT1QwL1BpcklzMTgvY0pvUndFMEpZNnY2dDd1Ymg0U0V5SDlkcXRkR1JrWkgzWG1TY1JHVEswOVBUWHBabGx5ek5OUUdvSkVsU0FxanA0ZUh4S1BOQkljUjF0VnFkOEdJanBmeGlvb1NJaUlpSVNoMnRWcXRRcVZRcnN6c3VTZEk0U1pLTTJwUktaYTBYRVZ0bTZlbnBWU3dzTEE1bWlTM3p6M096WHFOUUtEd0FNRkZDVk1RMEdrME5wVko1T3J2amtpUXR5OW9taEhnVFFHaWhCMGZQaFV0dmlJaUlpS2pVaVl5TXZDYkxja2h1NXdueDMyUU5XWlpQaElXRlhYa1JzV1VXRlJWMVZnaWh6dXY1UW9nb3RWb2RXYmhSRVZGZVJFUkVSRHpEK0EwcjNLaW9JREJSUWtSRVJFU2xraVJKLzRNdUdhSlBpR1NXdVUyU3BMVXZOam9EV1pibEZjZ2x6a3dKbmI4QnlDOCtUQ0l5UTVabGVRM3lQbjQzY3Z5V0RFeVVFQkVSRVZHcHBOVnFnd0RFNStIVStJeU1qSU41T0s5UVNKSVVLSVRJdFdhQkVDSkJDTEgzeFVSRlJIa2hoTmdCSUNrUHB5WnB0ZHJBRnhBU0ZRQW1Tb2lJaUlpb1ZFcEpTWWtYUXB6T1dvc2tNMG1TSUlRNHJWQW80bDVvY01idUExRG5GaWNBdFVhanVmMGlBeU9pbkNrVWlydDUvVDBqeTNMc0N3Mk9uaGtUSlVSRVJFUlVLbDIrZkRsWmtxU2pBRFRJc3RRbTA4OWFTWktPUmtaRzVtWG1TYUZRcTlWSnVqaTF5Q1pPSVlRc1NkTFJjK2ZPUFNpcU9JbklsRnF0Zmd6Z3VCQkNSZzdqRjhCeGp0K1NnNGtTSWlJaUlpcXRaRm1XUXdIa3RLd2xSWGVPOWdYR2xaVXN5M0tvRUNJeGgzUDBjV3BlWUZ4RWxEc3RnRk1BY2hxL1QzWG5jUHlXRUV5VUVCRVJFVkdwSlVuU1NRQ0d0N2haQ3k0S0laSjA1eFNwM09LVUpLbFl4RWxFWmgzVExhRUR6SS9mUk4wNVZFSXdVVUpFUkVSRXBWWjRlUGg5V1phRHpkVVAwTFVGaDRlSDN6ZDM3WXNVSGg1K1d3aHhNcnM0aFJDaDRlSGhyRTlDVkF4eC9KWStUSlFRRVJFUlVha21oRmlYM1RGSmtsYSsyR2h5dERxN0E3SXNMM3V4b1JCUmZtaTEybXkzR0JkQ0ZLZmZNNVFIVEpRUUVSRVJVYWtXRVJGeFFKYmwyTXh2ZTNWdmVXK2ZQbjE2ZDVFR2w0bGFyVDRnaEREWmZVY0ljVmVsVWhXYk9JbkkxTk9uVDRPRUVIZXp0Z3NoN2lja0pIQmI0QktHaVJJaUlpSWlLdlVrU1ZxUjZXZjlqK3VMTENEek5KSWsvYVdQVDVJa2ZVSm5jMWhZV0VaUkIwZEUyYnQ4K1hLYUpFbHJ6SXpmZjJKaVlsS0xPajdLSHlaS2lJaUlpS2pVRTBKc0FaRDVZU1VWd0xZaURNbXNqSXlNOVVLSU5QMW5JVVNhTE11Yml6WXFJc29MclZiN2p4QWlYZjlaOS9QV29vMktuZ1VUSlVSRVJFUlU2cVdtcHQ0VVFwekpOSnZrckZhcnZWSzBVWm5LeU1pSWtTVHBYS1k0bzJWWnZsUzBVUkZSWGp4OSt2UXFnT2hNczByT0s1WEtDMFVkRitVZkV5VkVSRVJFVk9yWjJ0b21DU0ZPQ0IwQUo1S1NraDdrNGRJWFNxRlFQQlpDbk5USEtVbFM2TU9IRCtPTE9pNGl5cDFLcFVvQ2NEeno3NWs3ZCs0VXU5OHpsRHNtU29pSWlJaW8xQXNMQzh1UUpPbWtKRW5Ka2lTbHlySjhzampXRFRoMzdseTZFT0lVZ0JRQTZiSXNoOTYrZlR1bHFPTWlvdHh4L0pZZVRKUVFFUkVSMFV0QkNIRU13SDBoeEdOWmxvOFhkVHpaa1dVNUdNQTlBSW1TSklVVWRUeEVsSGVTSkIwRmNCOUFraXpMeDRvNkhpSWlJaUlpb3B4SWpSczMzdTd1N2g1Y3pGOFlTaDRlSG9FZUhoN0hpbm1jUkdTSzQ3Y1VrUEp3RGhFUkVSSFJjM09xMmFDcXBZV3FabEhHWUdzaE9nTUt5eWNaSXFBbzQ4aU5qU1c2S2lES0pLZExXNG82bHBJZ0xTM3QycDFyMGRlTE9vN1NyRGlNMzVLQzR6ZC9pdVA0WmFLRWlJaUlpQXFkaTR1N0M2ekUveURoamFLTlJFaENBSklraWFLTkkyY1NJSW4vQWkzV2NSWWpOL0JVK2lRbVJoMVQxSUdVUnNWbi9KWVVRdmVjemZHYlI4VnUvS3FLT2dBaUlpSWllZ2xZd1FVUzNwQWdWYmF4dG9aU3BTenFpS2dVMEdxMGVKcWFDbGtJSzFqQkJVQ3hlZEFxVlRoK3FSQVU1L0hMUkFrUkVSRVJ2VEEyMXRZWU9Xd3c2cm5XTGVwUXFCUTRGMzBCOHhjdFJVSlNVbEdIOGxMZytLV0NWSnpITHhNbFJFUkVSUFRDS0ZWSzFIT3RpMlp2TmlucVVLaVVzTEN3S09vUVhob2N2MVRRaXV2NFpSVmVJaUlpSWlJaUlpSWRKa3FJaUlpSWlJaUlpSFM0OUlhSWlJaUlpQ2dMZDNkM0J3Q0RGQXBGTHlGRWRVbVNGQUF1eTdLOFJLMVdyd0NnemVGYUYwbVNWZ0k0SGg0ZVBxNGcreWFpd3NjWkpVUkVSRVJFUktiYUtoU0tuNFVRU1FDMkNDRU9BcWluVUNpV2VuaDQvTS9jQlI0ZUhrNGVIaDZ6RlFwRnRDUkpiUXF5YnlKNmNUaWpoSWlJaUlpSUtBdFpsaU1rU2FvZEhoNStYZC9tNmVsWlU1Wmx0U1JKZlQwOVBYOEtDd3U3b1QvV3VISGp1UUFHNjU2eHdnQjRGbFRmUlBSaWNVWUpFUkVSRVZFKzNiaHhBNDhlUFNxUXZqSXlNdkQwNmRNQzZZc0tUbVJrNUxYTWlRd0FDQXNMdXlKSlVpaitTM2FVeTN4TUNGRlBOek9rdFJEaXQ0THNtNHFIR3plZVBYZDErL2J0QW8yRkNoZG5sQkFSRVJGUmlYWDQ4R0drcDZjYnRUVnUzQmdSRVJFbTdkbHhjbkpDdzRZTmtacWFpamx6NXFCLy8vNm9VcVZLanRmMDdkc1hQWHIwd0lnUkk3STk1OUtsU3poMjdCajY5ZXVYWTErTEZpM0NoZzBiRUJJU2txZDRxVWlwaEJBMUpFbEtWQ2dVbHpJZjBHcTFQU01qSTUvZ3Z5VTR2UXF5NzlJa09qb2FjWEZ4ejlWSGt5Wk5VTFpzV2FTbnArT1hYMzVCNzk2OThjWWJieFJZak9Zc1dyUUlLMWV1eE9iTm0rSHM3Snl2YXpkdjNveTVjK2RpNjlhdHFGQ2hRcTducDZTa0lDWW1CaytmUG9Xblo3WVRrNTdaelpzM01XM2FOSXdaTXdZMWF0UW84UDVMQXlaS2lJaUlpS2pFbWp4NU1wNDhlUUtWNnI5LzFxYW1wbUxSb2tWWXZIZ3hFaE1UODlSSHg0NGQwYkJoUTl5NGNRTkJRVUhZdDI4ZmZ2MzFWelJ2M3Z5NVlnc01ETVRLbFNzUkZSV0ZLVk9td05yYStybjZLeWlCZ1lHWU1HRUNWQ29WZHUvZURRY0hoenhmTzNMa1NCdzllaFNCZ1lGRzE5MjRjUVByMTY5SGFHZ280dUxpb05Gb1VLbFNKVFJwMGdTZmZ2b3BhdFdxVlVoMzgySzR1N3M3U0pMa0N1QkhTWkplRTBMMFAzMzZkRXJtYy9SSmtzTG91elJadjM0OXRtL2YvbHg5ckZtekJ2WHExVU5jWEJ6Q3dzS3dlL2R1REJzMkRIMzY5RUY2ZWpwT25EaVI1NzRjSEJ6UXNHRkRuRDE3RnZmdTNjdjJQRWRIUjJnMEdzeWVQUnNmZlBCQmpuMjJiTmtTV3EwV3Npd0RBTnEyYll1RkN4ZGl5NVl0Nk4yN3QrRThhMnRyckY2OUdsRlJVVWhPVHNhVEowL3c0TUVEUXh5MnRyYllzMmNQckt5c2tKQ1FnUGZlZXkvUDkyWE9yRm16MEtKRkM5eS9meDhYTDE3RVo1OTloakZqeHFCSGp4NUlUazVHdTNidDh0elhGMTk4Z2NHREJ6OVhQTVVaRXlWRVJFUkVWS0lOSGp3WS9mcjF3L0hqeHpGNDhHQlVyMTRkR3pac3lIYy9kZXJVd2FwVnF6Qmt5QkFNR3pZTVAvNzRJejc4OE1Obmptdm8wS0d3c2JIQndvVUxjZXZXTGN5Yk53ODNiOTdFOU9uVE1XdldMTGk0dUR4ejM4OGpJQ0FBQUtEUmFMQno1MDZqQjdlYzNMdDNEOEhCd2VqY3ViTlJrbVQxNnRYNDQ0OC9vTlZxWVcxdGpXclZxa0dTSkZ5L2ZoMWJ0MjdGdi8vK2k4R0RCK1BMTDc4c3RIc3FMQjRlSGdNbFNWcVVxU2xNcTlXK0dSRVJFVjZjK3k3T2hnOGZqcSsvL3Ryc3NkVFVWSGg3ZStPRER6N0k4ZS9McTYrK0NnQjQvZlhYc1hidFdvd2ZQeDYrdnI2SWlJakE5OTkvaisrLy96N1A4VFJ0MmhTTEZ5L0crdlhyRVJRVWxPTzVWbFpXQ0EwTlJXaG9hSTduN2RpeEF3TUhEc1NsUzhZVGd4WXRXb1JGaS83L1AvbnUzYnR4N05neDNMaHhBNDBhTlVMMTZ0VlJvVUlGT0RvNjR0VlhYMFdWS2xWZ1lXRmhPRDgxTlJYMTY5ZEhreVpOOG54L21UazVPUUc2V1hkLy9mVVhSbzRjaWFsVHB5SXBLUW5lM3Q0WU9uUm9udnRxMkxEaE04VlFVakJSUWtSRVJFU2x3cEVqUjFDL2ZuMDRPam9DQU1hTUdaUHJjcGFBZ0FDVUwxL2U4Tm5aMlJrclZxekFtREZqNE9ycUNuOS9mOHlaTThma3V0VFVWS3hmdng2Yk5tMHlPWGJnd0FGWVdsb0NBTDc2Nml2WTI5dkQzOThmVmxaV2VQTGtDYTVldllxMHRMUnNZOUpxdGJoMDZSTE9uVHYzWElrYWMrN2R1NGNUSjA3Z3pUZmZ4TW1USnhFUUVKRG5STW5XclZzaHl6SSsrdWdqUTl2YXRXc3hiOTQ4bENsVEJxTkhqMGFQSGowTTk2N1JhTEJqeHc3TW5Ea1RmL3p4QjZ5dHJlSHQ3VjJnOTFQWVpGaytvMVFxRndnaEtnQ29JVW5TbTBxbGNrL2p4bzIvUFgzNnRIOXg3YnM0SzErK1BHeHNiTEJueng1MDc5N2Q2RmhLeW44VGFjcVdMWXVxVmFzYUhRc09Eb2FOalkzSlVoUjdlM3ZNbXpjUE0yZk94S05Iai9EcXE2OGFrb0Y2ZCs3Y3dZQUJBOUN2WHo5OC9QSEhSc2ZLbENrREFKZzZkU3FtVHAxYVlQYzVlL1pzWEx4NEVjbkp5YWhYcjU2aFBUazVHWWNPSFVMWHJsME5DY2RtelpyQng4Y25ULzE2ZUhoZzJMQmhTRWxKUVhKeU1pcFZxcFR0dVFjT0hJQkdvMEhIamgxTmpqazVPV0hGaWhXWU5Xc1czbjMzWFZoYVd1YTZUUEJsd2tRSkVSRVJFWlVLd2NIQlJsUGkwOUxTMEtoUkk3TnZsOCtjT1lOZmYvM1ZNRFUrcy9MbHkyUFpzbVhBZjhzcGtKcWFpdUhEaHhzZXFBQmczcng1YU5Tb2tkRlU5Wk1uVCtMZ3dZTVFRaGoxMTZ0WEwvVG8wY093UENncklRUzBXaTJXTGwySzhQQndSRVZGNGVuVHAzQndjQ2p3Uk1uMjdkc2hoTUI3NzcySDlQUjBxTlZxWExwMENiVnIxODd4T3ExV2l5MWJ0cUJHalJydzhQQUFBTVRGeFdIZXZIbVFKQW0vLy80NzNucnJMYU5yVkNvVlB2amdBN3oyMm1zWU9IQWc1czZkaXc0ZE9xQml4WW9GZWsrRktTSWk0Z2lBSS9yUEhoNGViZ0QyU0pLMDBjM05yZW56elA0b3pMNkx1MTI3ZHVHWFgzNUJZbUlpK3ZidG0rdjU5KzdkZzQrUEQxUXFGYlp1M1FwYlcxdWo0eXFWQ3VQSGowZEdSZ2FVU3FWaDVvU2VWcXNGQUx6eXlpc214OHpadW5VclpzMmFsZWY3c2JHeHdkNjllNDNhbkoyZHNXYk5HaHc0Y0FCcjE2NDEvTDMvK2VlZkVSZ1lpQzVkdW1UN095RXZ4bzRkaTRzWEwrTDMzMzgzU3NUbzNieDVFNU1tVFVLWk1tWHcxbHR2NFpWWFhqRWI5NlJKazU0NWh0S01pUklpSWlJaUt2RXVYcnlJMk5oWXZQUE9PMGJ0ZG5aMnFGdTNyc241Q1FrSlJwL1QwdEl3ZXZSb2ZQVFJSMmpidHEzSitUMTc5a1Rac21VTm54Y3VYSWk2ZGV2aWswOCtNZXJqNE1HREFJQ3JWNi9pNzcvL3h1alJvMkZ0YlczeVFIVHc0RUZzMnJRSkVSRVJ1SHIxS29RUVdMZHVIZHpkM1RGZ3dBQ0Vob2JpOHVYTHVkNTMwNlpOTVhUbzBEeS9DZDYrZlRzc0xTM1J0bTFicEthbVFxMVdZOXUyYlJnMWFsU08xeDA1Y2dUMzd0M0Q1NTkvYm1qYnNHRUROQm9OZXZUb1laSWt5YXhKa3libzNMa3pBZ01Ec1huelpuejc3YmQ1aXJVNENnOFBqM0IzZDU4Z1NkS2ZTcVh5YTkxMndNVys3K0ttWjgrZU9ITGtDUHo4L0ZDclZxMGM2d0VKSVRCNThtUWtKeWRqNGNLRmhpUkpSa1lHaGcwYmh2ZmZmeDlkdTNZRkFLTmxLczlEbzlFZ05UVVZpeGN2empXWnNXM2JOdXpaczhmc3NSRWpSdURreVpQdzkvZkhnQUVEY1BUb1VXemJ0ZzIvL1BJTDZ0U3A4MXd4ZnYvOTl4ZzhlREMrK2VZYi9QTExMMFpKMjlUVVZJd1pNd1pwYVdtWU4yK2VVWkxrMGFOSEdEWnNHUHIzNzIrNDVzR0RCemg2OUdpK1k2aGV2WHFwWFlMRFJBa1JFUkVSbFhqNzl1MkRpNHVMU2QyUGd3Y1A0dTIzM3pZNVArdE1rc2VQSHlNdUxnNmpSbzNDWjU5OWhtSERoa0dwVkQ1elBHZk9uTUcyYmRzUUZSV0YyYk5ubzBxVktoZzdkaXdpSXlNQkFFdVhMb1d6c3pQYzNOemc0T0NBczJmUElpZ29DSklrQVFDdVhidjJYRnVSbWhNWkdZbnIxNi9qblhmZWdaMmRIVHAwNklCWnMyWmgxNjVkR0Q1OGVJNFBoSnMyYlVLWk1tV01pa2tlUDM0Y0FFeVdUNWpUc1dOSEJBWUc0dVRKa3lVNlVRSUFDb1hpak83SGFpV3A3K0ptOHVUSjZOMjdOMzc2NlNkczJMQWgyNWxHZm41K09ISGlCQVlQSG95bVRac2EydVBqNC9IdzRVTk1uRGdSKy9idHcvang0d3Q4dHBLenMzT3V5UmR6TXpVT0h6Nk1qUnMzQXJxbFBaR1JrUmd5WkFpaW82TmhZMk9ESFR0MllNZU9IV2pac3VVengxYXpaazJzWExrU2d3Y1B4ZzgvL0lBeFk4YkF5OHNMUWdoTW5EZ1JGeTlleFBqeDR3MHp3UFFlUEhpQWh3OGZZdlRvMGVqUW9RUEdqeCtQSzFldTRPZWZmODUzREY1ZVhreVVFQkVSRVJFVlYxV3JWa1ZzYkt6Uk1wSTZkZXJnOWRkZlI3ZHUzVXpPdjNIakJqWnYzbXlvcDFHeFlrWDg3My8vdzdoeDQvRFhYMzhoSlNVRkV5Wk1lT1o0dW5mdmpnb1ZLbURzMkxINDdMUFBzR0RCQW1nMEd0U3ZYeDlIamh6QnNtWExEQTh3Zm41K09IdjJyQ0ZKQXQzYmNpc3JxMmYrZm5QMGRSdTZkT2tDNkhiN2FONjhPWUtEZ3hFU0VvSTJiZHFZdmU3T25UczRkdXdZM24vL2ZhTlpOZGV2WHdlQVBHM0xxdC8xNXZidDJ3VnlMMFZKbHVXNkNvVUNRb2lDeldRVmN0L0ZUZG15WlRGNThtUU1HREFBUGo0K1dMQmdnY2s1bXpkdnh1clZxOUdsU3hmMDc5L2Y2RmpseXBXeFpzMGF6SjgvSDJ2WHJrVjRlRGpXckZtVDc2MTdjMkx1ZDRjNVdjZXFvNk9qU1MwVnJWYUx4bzBiRzQzemF0WCt5NGR0Mzc0ZHUzZnZOdHUzaDRjSC92ampEN1BIS2xldWpPWExsMlBZc0dHWU1XTUc0dUxpSUlSQVVGQVErdlhyWjFSUFNLOTI3ZHBZdjM0OWZ2NzVaK3pidHcrM2I5L0cvLzczUCt6ZnZ4L1FMWXVhUFhzMi9QejhVTDkrL1J6dk8vTnl4TktHaVJJaUlpSWlLdkhlZi85OWJONjhHUXNXTE1EY3VYTng2ZElsdEc3ZEdnQ1FucDV1Y243bHlwVXhlUEJnWEw5K0hkV3JWNGVkblIzczdPd3diOTQ4TEZ5NEVEMTY5SGp1bU41KysyMzgrZWVmK1BQUFAxRzdkbTM0K2ZraE9EZ1lSNDRjZ1kyTlRZN1hwcWFtbWp4OGFiVmFzNG1HeE1SRTNMeDUwL0RaenM0TzVjcVZNem9uTFMwTmUvYnNnYTJ0cmRFTW15NWR1aUE0T0JnQkFRSFpKc2RrbUxFQUFDQUFTVVJCVkVyOC9mMGhoRENxbDVLUmtZRzB0RFJZV0ZqazZXSEp6czRPQVBEMDZkTmN6eTB1UER3OFJxV2twQ3k5Y09IQ1kzMWI0OGFOYXdraGZzRi9TMEwrS281OWx5U2VucDd3OHZMQ25UdDNrSnFhYW5MODl1M2JhTnk0Y2JaMU5Dd3RMVEZxMUNpNHU3dmo2TkdqQlpZa2NYWjJ4anZ2dklQUm8wZm5PclBzOE9IRGh0bFZlcTZ1cm5CMWRUVnE4L1QweE5TcFV3M0xoUFJXclZvRkR3OFB3L2phdm4wN0xsNjhpSkVqUndLNm1razVjWEJ3d0pJbFMvREREejlnMWFwVkFJQk9uVHBoMkxCaDJWNVR0bXhaeko0OUd4czNia1R0MnJXaFVxa01oV1d2WHIwS3BWSUpUMC9QQWsvV2xpUk1sQkFSRVJGUnFlRGw1UVVmSHgvRXg4ZGo0c1NKdUhidFdxNzFCVkpUVTdGa3lSTERkcHRLcGRMc0ZwazllL1kwZWhPY25KeU1UWnMyWWVmT25VWjlaZVhxNmdwZlg5OTgzMHRpWXFMUjdBM29hZ3VZUytDc1hMa1NLMWV1Tkh6KzRJTVBUSGJRT0hEZ0FKS1RrOUd0V3planhFYWJObTFnYlcyTjRPQmdKQ1FrR0czN0MxMnRobi8vL1JkMTZ0UXhtbUp2WVdFQnBWS0pqSXdNWkdSazVMbzg0Y21USjREdUFhMEVHV0ZyYSt2ajRlRnhVSktrdXdCZUYwSzBreVRKRXNCa3RWcWQvNklPTDZidkVtWGt5SkZRcVZTUUpNbXc2NDNlMEtGRG9kRm9jaDNIN2R1M1IvdjI3Wjg3bGt1WExobG1Tblh1M0JsUlVWRzVYdlBLSzYrZ1U2ZE8yTGR2SHdDZ1pjdVdzTEt5UW5KeXNrbGg1OVRVVkR4K2JNaU53YzdPRGxxdEZ0V3JWMGZuenAwQkFGRlJVYmgxNjViaGMxNVlXMXZEMDlNVHg0NGRBM1NKMFl5TURNT011ZXg0ZVhtWnRFVkdScUptelpwUXFWVFFhRFRaWHZzOGhXaExndEo5ZDBSRVJFVDAwbkJ6YzRNUUFoY3ZYZ1FBOU9uVEI3MTc5NGF2cnk5Ky9QRkh3MFA2dkhuejBMQmhRelJxMU1qc3cwaDBkTFRoTGF0ZXYzNzlUSGE5YWRpd29kbGRieklUUXVEdTNidW9YTGx5cnZIZnZuMGJaOCtlaFZhclJWUlVGSHIyN0dsMC9KVlhYc0dNR1RPTTJzYU5HNGV1WGJzYVpzOEF3R3V2dldiU3QzN1pUZVkzMVhxV2xwWjQrdlFwQWdNRFRiYnZQWGp3SU9MajR6Rmd3QUNUUHF0VXFZTFkyRmhjdkhneDF5bjZWNjllQlFDVEdqTEZtU1JKb3dBTUFOQUVnQ09BUkVtUzlzaXk3S2RXcS9mbW9Zc2k2YnM0VzdWcUZaWXVYWnJyZWRsdHZaM1p2bjM3WUcxdERRQjQrUEFoSGoxNmhKbzFhejVYZk51M2I4ZmZmLy85VExWTzB0TFNrSlNVaEowN2Q4TEt5Z3E5ZXZYQy9mdjNqYzZaTm0wYXBrMmJadmk4ZS9kdVBINzgyR3lkay94WXNHQUJWcXhZZ2FaTm04TGUzaDc3OXUzRHNHSEQ0T3ZybStQc3RkallXRGc1T1VHaFVBQzZoT2FWSzFjZ2hNaXhRRE1BbkRoeG9sUW5TMHJ2blJFUkVSSFJTOFhlM2g0QWpONUsyOXZiNC96NTg1Z3padzRtVDU2TXExZXZZczJhTlpnK2ZYcTIvWXdlUFJwVnExYkY0c1dMRFczNTNmVkdMem82R2w5KytTWEdqaDJiNjFhL2lZbUpHRGR1SEtCNzA1eDE5b2lscFNVNmRPaGcxQ1pKRW1yVnFtWFNudG05ZS9kdzRzUUpRSmNvMFNlU3Nnb0lDREJKbEd6ZXZCblcxdGFHdWlhWnZmWFdXNGlOamNXdVhidHlUWlRvZHdWcDFxeFpqdWNWSjZkUG45NEFZTU96WEJzZUhyNEpnSlRkOGVmcHV5UnIwS0FCZXZmdW5lMXhqVWFEMWF0WHc5WFYxYWh3cXptWkg5SjM3dHdKUHo4LytQbjVQZmZmc1hMbHlpRXdNQkRRaldselMvY3lzN096Z3lSSjJMMTdOOGFQSDI5b1g3WnNtZEdNakk4KytnakRodzgzU21xV0sxY09TVWxKejV3bzBXcTFtREZqQmpadjNveFdyVnBoeG93WlVDcVZrR1VaUVVGQkdEaHdJQllzV0pEdFRLNmZmdm9KVDU0OHdZWU5HNkJRS0pDZW5vNGZmdmdoeCsvY3NtVUw3dHk1VTZxVEpHQ2loSWlJaUloS092MzA5blBuemdHNndxeDZGaFlXR0R0MkxJS0NncURWYXVIbjU0ZldyVnVqWThlT2VQRGdnVWxmVjY1Y1FWeGNuRWtkZ1djVkVoSUNqVWFUYTUwQjZJb3NybDI3RmdxRkFsV3JWc1d4WThlZ1ZxdlJvMGVQNXlxYXVIMzdkZ2doMEx0M2I3UGJBR3MwR25UcDBnWG56NS9INWN1WERZVlhiOTY4aVpNblQrTEREejgwYk1tYW1iZTNOL3o5L2ZIUFAvK2dTNWN1MlNaTFRwOCtqY0RBUU5qYTJ1WnBoeHdxdlR3OVBVMktuR2FXa3BLQzFhdFh3ODNORFlNSDUzMTM1TURBUUNnVUNwTzZJTTlyeVpJbGhyb2YyZG0vZjcvSmtqWG82cHo4OU5OUHFGYXRHcjc1NWhzQVFJVUtGYkJseXhiVXFWTUg3NzMzSHBLU2tuRDM3dDFubW1uMTRNRURqQnMzRHVIaDRlalFvUU9tVFp0bVNGNU1uejRkWThlT3hjR0RCL0h0dDk5aTRjS0ZKakVtSkNUZ3pKa3phTnEwcVdGR1NibHk1WXlTditZY09IQUFhV2xwK1k2M3BGRVVkUUJFUkVSRVJNOWo4K2JONk5DaEF3WVBIb3dhTldxZ1hyMTZobVBlM3Q0WU1tUUkvUDM5MGF4Wk13UUhCK1B3NGNObzJyUXBRa05EVGZvS0NRa0JBTHp6empzRkVsdElTQWpLbENtVHA3ZmNLcFVLZGV2V1JlM2F0V0ZsWllXd3NERE1uRG56dVI5S3RtL2ZEbVRhN2NiYzkrcVA2WmZvUVBmbkN0MmJjSE5xMUtpQnI3NzZDaHFOQnQ5OTl4MTI3ZG9GclZack9LNnZiekpzMkRESXNveHg0OGFWdEJvbFZBTGN1SEVEMGRIUmVPZWRkd3l6eWdxU3M3TXpkdTdjYWZLL3FWT241bmpkcFV1WHNHdlhMbFNvVU1IUUpra1NrcEtTTUgzNmROeThlUk5uenZ5M0czUit0OWdORFEyRnQ3YzN3c1BEOGNVWFgyRDY5T2xHTXp4VUtoVm16SmlCMXExYjQ4S0ZDL2p1dSsrTXhpWUFIRHQyREVJSXRHM2JObC9mblpDUVlIUlBwUlZubEJBUkVSRlJpZGFtVFJ2WTJkbkIzdDRlWGJ0Mk5Tb3NPbWZPSEdSa1pBQzZtaVdEQmcxQ3k1WXRnV3lLRVI0OGVCQ1ZLMWN1a0RmVER4NDh3Smt6Wnd6RkhiUGo0ZUZoVXZRUnVnZkE4dVhMNXpndHYwS0ZDb1k2RGVaRVJrYmkrdlhycUZxMXFsRUNLYXZ1M2J2ajc3Ly94cTVkdXpCMDZGQUlJUkFRRUlENjlldm51UDN2d0lFRGtaNmVqdFdyVitPbm4zN0N6Smt6NGVMaUFsbVdjZlhxVmFTa3BFQ2xVbUhDaEFrRk5rdUg4c2JGeGNYS3pzNnUrcGt6Wnk0QWtJczZuc0tpVCs1bHJlbFRVRFFhamRuZHB1TGo0M084YnY3OCtYQjJkamFaUlRWcTFDZ2NQWG9VYytmT2hZMk5EZXJXcld1eVMxVnU5TDlQZnYzMTEyeUx2cXBVS3N5Y09STmp4NDVGMTY1ZFRYYnZPWFRvRUtENy9abFhRZ2pjdVhPblJDMmhlMVpNbEJBUkVSRlJpZWJvNkloKy9mcVpQWmExc0ttam82TmhtbnZXcFRlM2I5OUdSRVNFMlJvS2NYRnhScnRWeUxLTUowK2VHRDFBWlQ0TzNYS0FyRzlzOVV0b0hqNThhR2hyMWFvVldyVnFaWFN0UnFQQnVYUG5jcTM5b2ErbGtCMzlRMlIyczBuMGF0V3FCVmRYVjBSSFIrUFlzV05JVGs1R1FrSkNqbHVNUXZlR2ZQanc0ZWpZc1NNMmJ0eUlzTEF3bkQ5L0hrcWxFbFdxVkVHelpzM3c2YWVmd3NuSktjZCtxT0M5OHNvckZWVXExVEVQRDQvTFFvaS9GQXJGZGxtV0g2alY2c2NBdEhub290aExUMCtIdjc4L0tsZXVqQ1pObWlBcEtRa1JFUkVtNSttTHFzYkV4Q0E0T05qa3VKT1RVN2FGWU9QaTRqQmt5QkN6eHpJblFQVzFUQlFLQmFLam94RVNFb0paczJaQnBWSVp6ZWF3czdQRDNMbHpvVktwOE5sbm4rSEhIMy9NOXoyN3VMaGcvZnIxS0ZPbWpNbnZuYXgrL3ZsblFQZjd5Y0xDQWxaV1ZuajgrREVPSFRvRVYxZlhQQldhMWxPcjFVaE9Ua2IxNnRYekZYTkp4RVFKRVJFUkViMVV0bTdkaXZUMGRFTlJVLzJNREgzU3dkeXltNnhGVHFFcmFyaGx5NVpzdjJmSGpoMlFKTWtvQ1ZLelprMVlXbHBpMnJScDZOeTVzOW50TzdWYUxVNmRPb1ZIang2aFk4ZU96M2lYLzVrd1lRSW1USmlRcDNQLyt1c3Z3ODlmZi8wMTdPenM4cnhGYWIxNjlUQjU4dVJuanBNS2pVS1NKRThBallVUWt5UkpVbnQ0ZUp3UVFoeFhLcFVud3NMQzdoUjFnTThqTURBUUNRa0orUHJycnlGSkVxNWN1WUx2di84KzIvTzNiOTl1V0lxV21aZVhGOGFPSFd2Uy92cnJyNk43OSs2WU5HbVN5YkhVMUZRY09IQUFXN2R1UldKaUl2YnUzUXRyYTJ1VUwxOGVqbzZPMkxoeEl4NDllb1R0MjdmanlwVXJnRzduS2dDb1c3Y3V2dnZ1TzFTdVhEblhKR1pXR3pkdXhNYU5HL04xalo1KzYvQTllL1lnUFQwOXh5V0dJMGFNZ0ZLcGhLMnRMU3dzTEpDUWtHRFlmcmlnbGlZV1oweVVFQkVSRWRGTDVmang0d2dKQ1lGQ29VQzdkdTFRdDI1ZFFQZmdVNzE2ZGJpNXVabGNNM2Z1M0J5WHVFQzNzNHUrcmtkQ1FnTHUzcjJMQmcwYUdLM25yMUNoQW43NTVSY3NXYklFLy96emowbmRBT2htYWRqYjIrUHJyNy9HZSsrOVZ3QjNuRC9YcmwxRGVIZzR2THk4Y2x3eVJNV2ZFRUtTSkFtU0pFa0FIQUMwRlVLMGxpUXBRUWh4MzhQRDQ2UVFZazE2ZXZxaGMrZk81Ynk5U3pFVUhoNE9BT2pXclJ1ZzIxVm41ODZkK2U0bnV5MTBlL1RvWWJMN2xKNVNxY1NLRlN1UWtwSUNJUVRLbFN1SFVhTkdHWmE0MUt4WkU4dVdMY09pUll1Z1VxblFva1VMdzVhNzZlbnBrQ1FKdi96eVM1NExOZHZZMkpoTjJPUkh0V3JWQU4yMndNaER3dVBRb1VPUTVmOVdiVW1TaEdyVnF1R3JyNzVDblRwMW5pdU9raURiTGF1SWlJaUlpQXFLeXh2dWJTR0pkYStVTFZ0NXlmemYwZXpOSm9YNmZSa1pHWkFrNmJtM3NOUm9ORWhQVDgvMlFTb25xYW1waUkyTk5ld2lVMUtvMVdxY09IRUM3NzMzSHB5ZG5ZczZuQndkUDNrS3cwYU53LzM0K0FRSTlJdzVyejZZaDh0ZUNvMGFOWEpXcVZUbkFKUTFWd1Budjl6SmY0UVF0d0JzRUVLc1QwMU52YXBRS0I1blRweTg2UEdiSDZkT25VS1RKc1VubnBMaXhvMGJlUDMxMTNNOVQ2dlZRcXZWd3NMQ3d1anZURUVvenVPWE0wcUlpSWlJcU5USlhORDFlYWhVcW1kT3RsaFpXWlc0SkFrQXVMdTd3OTNkdmFqRHlCY2hDNVJSaVZvbExlNUM1cGo1ZVUvL2tKczVhWkxwNTlja1NSb3BTZEozTmpZMjBRQkMzZDNkSTdWYTdlR29xS2d6THp6eWZHQ1M1Tm5rSlVrQzNjeVpySVZnWHdaTWxCQVJFUkVSVVlrbUFiQ3lVUFJWS0JTbGYwMUFIZ2toRkVLSU1sbG5BV1EzSzBDWE5MR1NKTWxEQ09HdVVDalNKRW02Nis3dWZpRkRLOEtmWkFpdVJxQ1hCaE1sUkVSRVJFUlU0aWtreVVJSXdhSXFPcElrU1VMa1A3bVJhWmFKU3BJa093Q1ZKVWxZczJnRHZVeVlLQ0VpSWlJaW9oSk5BRWhKMTY2d3NWQmNMdXBZaWdzaGhLTWtTU3NCMkdScEI4ek1MTkY5MWdnaExnc2hUc215SEM2RUNJbU1qQXh6ZWNPOUpTUjR2ZEFiSUNwQ1RKUVFFUkVSRWVXRFJxTjU3aUt4SlVGQ1FnTHM3T3hNN2pVdExRMVBuanhCK2ZMbGl5eTJyQ1NGaEhTdGRQbmkyZUpURExLb05XclV5Rm1wVk1yNnp6a1ZkQlZDUEJKQ2JCZENiSkJsK1Z4YVd0cURDeGN1UEg2eEVSZThLMWV1NE96WnMralVxVk8rZG5EU2FyVlFLQlFGWHJ5VVNvN1MveHVlaUlpSWlGNDZWNjllUldwcXF0bGpWYXRXeGZuejV3M2JYdWJFeHNZR0RSczJOSHhPU0VoQTU4NmQ4ZTIzMzZKLy8vNW1yL240NDQvaDRPQ0FQLy84TTk5eHA2YW1JaU1qSTlmemxFcWwwVTQ4RHg4K1JIaDRPTnEzYjI5MFhuSnlNaUlqSTdQdDU3WFhYak5zR1pwWmVubzYrdlRwZzg2ZE8yUFlzR0ZHeDNidDJvVnAwNlpoL2ZyMXFGbXpaaDd2aklxQ0pFbHlwcCtCLzVJaUFrQUtnQ1JabHFPRUVNdnYzNysvL2ZidDJ5bEZHV3RoQ0FrSndieDU4OUNpUll0OEpVb09IandJSHg4ZnpKOC9INDBiTnpZNW5wQ1FnUGJ0MjJQQWdBSDQ5dHR2OHgzWGt5ZFA4dlQ3eDlMU01zL2JCMVBCWXFLRWlJaUlpRXFkOGVQSDQ5S2xTMmFQelo0OUcyUEdqTW5UZzBxTkdqWHd6ei8vR0Q1SFJFUkFvOUdnZHUzYXp4emJnUU1IOFBpeDZjdjZ5cFVyNC9EaHcxaTNibDJ1ZmJpNXVXSEZpaFdHei9QbnowZEFRQUNtVFp1R3pwMDdHOXB2M0xpQm9VT0hadHZQNTU5L2JwSUlnZTRCclUrZlB2RDE5VVdMRmkyTWRoYng5L2RIM2JwMW1TUXBHU1Q4ZjVJa0NZQWFRQ2lBNDBLSVVMVmFmYjJvQXl5TzFHbzEwdFBUVWFmT3M5VUdUazFOeFo0OWU4d2VxMSsvUGlaTW1KRHQ3NmZNK3Zmdmo4R0RCeHUxZGV6WUVTa3B6NWJUY25Cd3dJNGRPNTdwMnBjTkV5VkVSRVJFVk9yTW56L2ZhR2FHTE1zWU0yWU00dVBqMGJCaFF4dzRjTUJvS2NMRWlSTngvZnAxckY2OTJxZ2ZoVUpoOUZtdFZrT2hVTUREdytPWlkxdTJiQmxpWW1JZ3l6TFMwOU1OYjdyZmZ2dHRWS3BVQ1U1T1RwZ3laUW9BNFBidDIvRHg4Y0c0Y2VNTVd3MHZXN1lNVDU4K05lcHo5T2pST0gvK1BDWk9uQWdiR3h1MGF0VUt5TFRjWXNxVUtTWXhmL3p4eHpuRzZlM3RqWFBuemhrdHZibHc0UUxPbmoyTFNwVXFaVHVqQmdES2xpMkxlZlBtNWZOUGhncUJFRUpFQXRpVWtaR3hTNWJsV0d0cjYvaXdzTERjcHkyOUJKNCtmUXByYTJ1VGRyVmFqVGZlZUFOMmRuYlAxRzlLU2dwbXpKZ0I2SmJxYVRRYXd6Z2ZNbVFJQUtCZHUzYm8wNmNQQUNBb0tBanIxNi9IMHFWTERYMk1IajA2Mjc0emovSDhzTFcxZmFiN2VSa3hVVUpFUkVSRXBZNmpveVB1MzcrUHlNaEl0Ry9mSG5QbXpNRzFhOWZ3NTU5L29tTEZpaWJuWDd0MkRZMGFOVUxac21WejdEYzRPQmlWS2xWQ2VIaTRVYnV0cmEzWktmcm0vUDMzM3dDQW8wZVBZdWpRb2Zqbm4zL2c1T1FFNkdhN1dGbFpHWklhK25ocTFhcGxhQ3RYcnB4Sm9zVFcxaGEvLy80Nyt2VHBnNy8vL3R2d0VIWHYzajBBUUowNmRRemZrWk4xNjliQjE5ZlhxRzMzN3QwQWdHN2R1aUV4TVJHT2pvNG1TM3l5TXZmd1NTL1d3NGNQNHl0VXFOQWlJaUlpR2tEdTA2ZEtzUk1uVHVDOTk5NHphbHUyYkJsMjc5Nk5oUXNYd3RIUjBkQWVIeCtQNk9ob3RHelpFc0hCd1ViWE9EazU1V2ttVmZueTVSRVNFZ0lBOFBQencrN2R1NDFtY3Z6Nzc3OXdkSFEwak9tTEZ5OENnRkV5MDhMQ0l0ditxMWF0Q2g4Zm56emNPVDBySmtxSWlJaUlxRlE2ZE9nUXBrK2ZqdmJ0MjJQLy92MllPblVxR2pSb0FPZ2VodlMxTzdSYUxXSmpZK0htNW9ZREJ3NFlybGVwVkVadmJXL2V2SWxyMTY0QkFMNy8vbnVqNzhxNlJPZDVwS1NrNE9qUm93Q0FPM2Z1QUFET25EbGpTSTQ4ZVBEQTdIV1ZLMWZHNHNXTGpXcU9CQVVGd2M3T0RxKy8vcnJKK1pJa1FhdlZHclcxYU5FQzVjdVh4N0pseTJCdmIyODA2K1RXclZ2WXRtMGJmdnJwSi9UczJSTUFzSGJ0V2h3K2ZCaUxGeTh1a0h1bmdoTWJHL3MwTmpiMmJGSEhVWmlPSERtQ3MyZE5iMUdTSkF3WU1NRHdlZE9tVFVhSkVuOS9meXhhdEFnMWF0UXdtVFYyK1BCaENDRVFIQnhza2lqeDh2TEMyTEZqQ3lUMk8zZnVHTWI1dFd2WElJUXdmQWFRcDFwRlZIaVlLQ0VpSWlLaVVxbFhyMTVJVEV6RXdvVUwwYng1YzNUdDJ0Vnc3Tnk1Y3laVDIzZnMyR0gwMXRmS3lzcndWaGdBOXU3ZEN3QllzR0FCS2xldWJHZ2ZOMjZjMlNudGUvYnNRZlBtelhPZHBaSlZYRndjUm80Y0NXUmFPdlBISDM4WWluRnFOQm8wYXRUSTdMV1phNmZzM2JzWHUzYnR3cGRmZm1tMklLUzl2VDEyNzk0TlcxdGJXRmhZb0VtVEptallzQ0dxVmF1R2pSczNvbHExYWtiMVRnWU1HQUJuWjJlMGJkc1dzaXhEb1ZEZzhlUEhobGtyUkMvYXlaTW5zWG56WnFNMmpVWURJWVJSb2lReU1oSlJVVkZvMkxBaHRtelpnbDkvL1JXMWE5Zkdva1dMVUs1Y09hUHI5KzdkaXdvVktoZ3RnMGxQVDhlbm4zNXFNcFkxR2cwQ0FnTFF0V3RYS0pYS2ZNVWVFaEtDNDhlUEE3cWxnVUlJdzdnSEV5VkZqb2tTSWlJaUlpcDFidCsrRFFEbzBxVUx6cDA3aDF1M2JpRTJOaFlLaGNKb1N2dnUzYnRSc1dKRlBIejRFTGR1M1RMc2NMTjI3Vm9zV0xEQWNKNFFBbHUzYmtYRmloWFJyRmt6bysrS2o0ODN6RlRSdTNQbkRpWk9uSWp5NWN0anlwUXBhTnEwYVo1anp6dzc1ZkxseS9qa2swK3dlUEZpdzdUOG4zNzZ5WEIvcDA2ZHdzS0ZDdzNYZHUzYUZiMTY5Y0tDQlF1d2N1VktORzNhTk50ZE9RWU5Hb1Q1OCtkajFhcFZBSUFLRlNvWTdsK2owY0RTMHRMb2ZGOWZYNFNFaEtCRGh3N1lzR0dEb1daS1pyZHYzOGFGQ3hmUXJsMjdQTjh2MGJNYU9YS2tVWElCdWhvZ1dZc2xseTFiRm4vKytTYzhQVDNoNStjSGQzZDMrUHI2d3Q3ZTN1aThXN2R1NGNTSkUramN1VE5jWEZ3TTdURXhNUUNBNnRXckc1Mi9mLzkrWEw5K0hWdTNic1hVcVZQenRMeE5yMWV2WG9iWktSczJiTURzMmJNTmlSTUFlUGZkZC9QY0Z4VThKa3FJaUlpSXFOUjUvLzMzVGRvKytPQURRSmVJeUxyVFMxQlFFS1pQbjQ2d3NEQ3ovUjA3ZGd5M2J0MENBRHg2OU1qd0ZqbytQaDRQSHo0MFNScFVxVklGdi8zMkc4YU5HNGRCZ3diaHl5Ky94S0JCZzZCUUtIRGl4QW5jdkhrVFY2OWVCWFRiN2RyYjI2TnUzYnI1dnMrS0ZTdWlSWXNXQUlDVksxZkMzZDBkQU9EcDZRa3JLeXQ4L3ZublJzVllNK3ZXclJ1NmRldG05bGhhV2hvT0hEaUF5NWN2QTdydGlCY3ZYbXlvenlDRVFHeHNMR0pqWXhFZkg0K0JBd2Zpd29VTFNFcEtNcG1KUS9TaUpDUWs0T1RKa3lZN1BmWHQyeGNMRnk1RVNFZ0lPblhxaEo5Ly90a2tFUWpBTUR0Rlh6TkVULzg1NnpqdjNMa3pxbFNwZ2hrelpzRGIyeHVUSmsweTFPL1p2bjA3VWxOVGNmSGlSYVNrcEdEVHBrMEFnSll0V3o3M2ZXWmRMa1FGajRrU0lpSWlJaXAxMXF4WlkvaDV3SUFCZVBmZGQvSGhoeC9DMTljMzI4UkJUcFl2WHc0N096dWtwS1RnMkxGamhtVTgrc1NLdVJrakRSbzB3TnExYStIajQ0TVZLMVlnS2lvSzA2ZFBSMkJnSUlLQ2dxRFJhQUJkZ2tPaFVPQ1RUejRCQUNRbkp4c0txTjY5ZXhjQUVCb2FhbGppb3E5YkFnQXVMaTc0K3V1dkFkMWJhYjFtelpwaDRzU0pSbHNJWjJmVXFGSDQ4TU1QamRveU1qTGc2T2lJdW5YcjR2ejU4NGlLaW9KYXJVWkFRQUFBb0YrL2ZraFBUd2QwUzVTY25Kend6anZ2NE5LbFN3Z0tDc3JYbnkxUlFkbTFheGUwV2kwNmRPaGcxTjZ0V3pjRUJBUWdNVEVSUGo0K1pwTWtTVWxKMkxScEUrenQ3WEh0MmpYY3ZYc1hyNzc2S3FDYnVlWGc0R0IyRmxYMzd0MVJ2MzU5akI0OUdtUEdqRUh2M3IweGZQaHdMRisrSEE4ZlBrUmFXaG95TWpJd2YvNThBTUJycjcwRzZMYnUxby96OCtmUFF3aGgrQXhkc3RJY2pVYVRZNkZYS2hoTWxCQVJFUkZScVZPdlhqM0R6MHFsRW82T2puQjFkVVZNVEF5OHZiMU56cGZsN0RjRlVhdlZVS3ZWR0RSb0VFNmRPb1g5Ky9jYkVpWDc5KytIbzZOanRqdGh2UExLSy9EMTljWDgrZlBoNysrUEowK2VZTktrU1pnMGFaSmgxNXNOR3pZWTdYcHovLzU5dy9iQStob2xLMWV1Tk5Rb3ljaklNRm5xWTg0UFAveUEzMy8vSFU1T1R2am9vNDlNamg4N2RndzdkKzQwcWRFQTNVTmFseTVkOFBYWFgyUGx5cFc0Y3VVS0lpTWpjZWJNR1VDWGZHcmV2RG4yN2R1SG9LQWd3dzRjaXhjdmhvMk5UYTZ4RVJXMHRMUTByRnk1RXExYnQwYVZLbFdNamltVlNvd2NPUklqUm95QXI2OHZKa3lZWUhMOVAvLzhneWRQbnVDUFAvN0FEei84Z1AzNzk2TjM3OTdRYXJVNGRPZ1FtalZyWmhpRFdkV3NXUk9yVjYvRzJMRmpFUjRlRGxtV3NXWExGaUNiWFcvbXpadUhVNmRPUWExV0E1bnFxdWpIUFFDa3BxYWFmSTlXcXpYYWFwZ0tEeE1sUkVSRVJQUlNVS3ZWZVBUb0VWcTJiSW43OSs4YkhYdnk1QW5zN096TVhsZXZYajIwYnQwYTN0N2VLRisrUEg3NzdUZmN2MzhmRmhZV09IVG9FRDc3N0xNY3YxZWhVR0Q0OE9IbzA2ZVAyYTJKTTZ0ZnZ6NisvUEpMREI0OEdNaFVvMlRCZ2dXR0dpWCsvdjVJU0VqSTlYNDdkZXFFYTlldTRhKy8va0tMRmkzZzRPQmdPS2JSYUxCOCtYSlVyMTRkYmRxME1iazJLU25Ka1BCSVQwK0hwYVVsK3ZYcmh4WXRXdUNUVHo1QnExYXRVS3RXTFJ3NmRNam91cFNVRkxPRmJZa0syNlpObS9EZ3dRUDA3OS9mN1BIV3JWdWplL2Z1OFBmM2g3dTd1OGwyd1YyNmRNR1ZLMWZRdkhsenRHN2RHbHUyYkVIdjNyMFJFaEtDQnc4ZVpMdE1UYTlzMmJLWVAzOCtrcEtTek01WXlheE5temJvMTYrZkllR3FyMUdTZWNuYW5EbHo0T3JxYW5TZHZ2YktLNis4a3N1ZkJqMHZKa3FJaUlpSTZLVlFvMFlOVEpvMENXKzg4WVpKb3VUR2pSdEdpWVRNTEMwdDRldnJDMG1TMEw1OWUveisrKzlZczJZTkZBb0ZOQnFOWWF2YzNPU1dKSUh1WVMwM1daZko1TVRiMnh0cjE2N0ZuRGx6TUhYcVZFUDdpaFVyRUJNVGcwV0xGcG5VTzlCb05Iank1SWtoVVpLUmtaSG5OOWl4c2JGNXVrK2lnaFFiRzR0Rml4YWhlZlBtaG9MRTVvd2VQUnBoWVdHWU1tVUtIQjBkOGVhYmJ4cU9PVGs1WWRxMGFZQnVPYzNnd1lOeDZOQWhMRnUyREsrOTlwcEpFV2R6bEVxbDJSbGFXUTBhTkNqWGMwYU5HbVhTRmhjWEJ3Q0dKVUZVZUpnb0lTSWlJcUtYZ3IyOVBicDM3MjdTTHNzeVRwNDhtZU1EbG43S3ZiMjlQZnIyN1lzVksxWkFvVkNnZS9mdWhwb0RCU0VnSU1CUXV3U0FJYUVUSEJ4czJIbERyMzM3OXRtK1dVNU5UWVVrU2JDM3Q4Znc0Y014YmRvMHVMbTVvVmV2WGpoNDhDQ1dMbDJLWHIxNkdUMG82dWtmeHZUM2xacWFtbXVpWk1pUUlYajA2QkhPbnorUEgzNzQ0Um51bk9qWnlMSU1IeDhmQ0NFd2J0eTRITSsxdGJXRm41OGYrdmZ2anhFalJtRFdyRm1HWXNqSU5NNmJOV3NHVDA5UCtQajRJRGs1R1ZPblRzMTIyVTErSlNRazRNQ0JBMFp0a1pHUkVFSVlsdXZvbFNsVHhtaGJjMzFSMmN3NzhsRGhZS0tFaUlpSWlGNXFPM2Z1UkZ4Y0hGeGRYZk9VRlBEMjlzYnk1Y3VSbHBhR3ZuMzdGa2dNUWdna0ppYkN6ODhQS1NrcFJ1MEFzSDc5ZXBNSE5YZDNkN09KRXJWYWpVbVRKdUgzMzM5SGpSbzE4T0dISCtMVXFWUDQ3YmZmY09IQ0JXemJ0ZzFObWpUSk5xRngvdng1UURjREIzbE1sTFJxMVFveE1USDQ2S09QNE9ibWhtWExscUYzNzk2c1YwS0Z6dGZYRnhFUkVSZzFhaFNjbloxelBkL0Z4UVZ6NTg3RndJRURNV0xFQ0l3ZE85YnNMSzIrZmZ2aSsrKy9SOFdLRlF0c3E5NzA5SFJjdm53WnMyZlBObXJYMXlqSjJ1N2c0R0NVS05FdnpYRnpjeXVRZUNoN1RKUVFFUkVSMFV1blJZc1dDQTRPeHVYTGx6Rmp4Z3hVcWxRSkowK2VoSmVYRjM3ODhVZDRlWG1aWFZJamhNQ3NXYk9nMFdnZ1NSSW1UcHdJWDE5ZlZLcFVLZDh4NkJNaU0yZk94Smt6WjlDNGNXUHMzYnZYNkJ4ek5Vck1FVUlnSlNVRmUvZnV4ZXJWcTFHOWVuV2pKTXAzMzMySDRPQmcrUHY3dzg3T0RoTW5Uc3gyOXgrMVdvMktGU3VpUW9VS2dLNUlwclcxZFk3M290K3hCd0FPSERpQVJZc1dvVWVQSGt5VVVLRmF1M2J0LzdGMzUvRlJWZmYveDk5blpySkJDSXRRRUZBaWd1eGhKaEVVQkFUMWgzVkQ4VnRRcTFhL1VMQXR1SUFiZ2xVUlVXb0JCUlcwUWlzdW9OU0NvbFhBQlJWRnRpd2tBaUtvTEFFRUF3UUNKQ0V6YzM1L01PU2JZYktBSnBrc3IrZmp3Y1BNdWVlZSs3bkloK0YrN3IzbmFONjhlZXJidDIreGt6U1hKQ0VoUVMrODhJSkdqeDZ0aVJNbmF1dldyUm85ZW5UaDlweWNIRDMzM0hNeXhpZ3JLMHNUSmt6UW1ERmpGQlVWZGRveDV1Ym1LaWNuUjNmZGRaZVNrNU4xOTkxM2h5eWZYZHdjSlNmNzZhZWY5TmxubjZsOSsvYmwraFFiaXNjQ3pBQUFBS2pSVGhRMUczNE85UUFBSUFCSlJFRlVpakxHNlAzMzM5Y2RkOXlocUtnb3ZmRENDNW8vZjc3T1BQTk1qUnc1VXVQSGoxZEJRVUhJV0ZPblR0VUhIM3lnNjYrL1hzODk5NXkyYmR1bVFZTUdhZmJzMllYTDlnNFlNRUQ5Ky9jdk5oYWZ6NmNKRXlibzJtdXYxWU1QUGloSit2Nzc3M1haWlpkcDBLQkJ2L2djdi9qaUMrWGw1V24zN3QzNnd4LytvTGx6NTZweDQ4YmF2WHUzcGt5Wm9zR0RCOHRhcTJ1dXVVWUZCUVVhTkdpUW5ubm1HZTNidHk5b0hML2ZyNDgrK2tpWFhISkpZZHVCQXdjS0o3bzlNVW5sa1NOSEpFbDMzSEdIRml4WUVEVEc1czJiRlJjWHgxd2xxRkRXV3ExWXNVSWRPblRReElrVFErYmFrVlM0cEhaeGhUNlB4Nk5YWG5sRm5UdDNEbG9WS2pjM1YvZmNjNCsrLy81N1RaZ3dRU05Hak5DaVJZdDA0NDAzYXRHaVJjckp5VkYwZExSdXVlVVdKU1FrRkJ0YlptYW03ci8vZmwxNjZhV2FQMysramh3NW92Mzc5K3ZtbTI4dTluVzNVekZ0MmpSNXZWN2RkTk5OdjJoL25CNmVLQUVBQUVDTk0yL2VQUG45Zm0zYnRrMTVlWG1GVDBmNGZENHRXN1pNczJiTjB1Yk5tOVc1YzJjOTlkUlRoY3Z6dnZqaWkzcjk5ZGYxL1BQUGEvWHExWHI0NFlmVnUzZHY1ZWJtNnJISEh0UEhIMytzUG4zNmFNeVlNWEk2blpvL2Y3Nm1USm1pbVRObmFzYU1HV3JjdUxGYXRHaWhoZzBiS2lNalF4RVJFWEk0SFBMNy9UcDI3Smk2ZGV1bW5UdDNxbVhMbHJyaGhodlVzMmRQeGNmSHE2Q2dRTysvLzc0eU16T0R6cU8wT1Vva0ZUNzEwcVpORzhYSHgydmN1SEU2NTV4ejlPR0hIMnJKa2lWYXRXcVZIQTZIcnI3NmF0MXh4eDFxMnJTcGhnOGZyc21USit2MTExL1hHMis4b1k0ZE82cEhqeDY2NnFxcmxKeWNyS3lzTEoxenpqbUZ5Nld1WHIxYWYvempIeVZKelpvMVU5MjZkVFZwMGlSZGM4MDFJYXQ3N04yN1YzUG56bFcvZnYwcTZQOHNjSnd4UmxPbVROSFJvMGNMWHcxTFRVM1YvUG56RlJzYnE4T0hEK3ZUVHo5VmZIeDhpU3N4dFdyVlNuUG16Q244bkptWnFYdnZ2VmRidG16UjNYZmZYVGk1Y3RldVhmWE1NODlvL1BqeGV2enh4OVc4ZVhNMWI5NWN1M2Z2MXRLbFMrVjBPbVdNa2RmclZVRkJnYTY5OWxwbFpHVG9nZ3N1VU0rZVBkV3paMDgxYXRSSXUzZnYxc3FWSzVXYW1ob1VSMGx6bENnd0NmVGh3NGUxZE9sU25YZmVlYWMwNFROK1BRb2xBQUFBcUhFKysrd3pyVjI3VmhFUkVicmdnZ3NLNXhqWXVYT25ubmppQ1VWRlJlbWhoeDdTOWRkZkgzUW4yaGlqVzIrOVZXNjNXMlBHak5IZXZYdmw5WG8xYk5nd2JkeTRVUU1HRE5EWXNXUGxkRG9sU1dlZWVhWW1UNTZzM2J0MzYrdXZ2OWJHalJ1MWZmdDJiZHUyVFRrNU9jclB6NWZQNTVQRDRaREw1ZExWVjErdEYxOThNU1RlL1B6OGtQa0pUb2lPanRaYmI3MVY3TFlUaFpJV0xWcm8zLy8rdHh3T2g0WU5HNmFVbEJRMWF0Ukl0OTEybXdZTkdxUm16Wm9WN3RPOGVYTk5uVHBWR1JrWmV2ZmRkN1YwNlZMdDJyVkx2L3ZkNzVTV2xxYStmZnVxZGV2V3V1dXV1K1IwT25YaGhSY1d2dFlRR1JtcDhlUEg2NWxubnRIVXFWTUw1MUE1b1U2ZE91cmV2WHV4SzNZQTVTMHFLaXJvZFppNmRldHE2ZEtsa3FTSWlBaTFiZHRXWThlT1BhV3hkdTdjcVZ0dXVVVkhqeDdWZ3c4K3FNR0RCeGR1UzBwSzB1dXZ2NjZOR3pkcXpabzEycng1c3pJek0vWGRkOS9wOE9IREtpZ29rTS9uazlQcFZIUjB0TWFNR2FQRml4ZUhIS080K1VtS25rdHgyendlajBhTUdLSG16WnZyMFVjZkxmeTdCd0FBQUVBMUY5L2UzVGUrUTlmZENkMTcyYTlYcmJIaHRHM2JOcHVmbjE5bXY5emMzTUtmMTY1ZGErZk9uVnZCa1pXUDNidDMyNisvL3RwNnZkNVQ2cCtibTJzek16T3R0ZFllUFhyVTd0Mjd0NElqTEQ5ZnIxcGp1L1c2MU1aM2NCK0liKy91Rys0LzV6VlZWY3JmaXZUbW0yL2ExYXRYaHp1TVlwM0szMW5WVFZYT1g1NG9BUUFBUUsxeTl0bG5uMUsvb2l1OUpDVWxLU2twcVFLaktqL05talVMZW9La0xOSFIwWVdUUThiRXhKUTVjU3RRVXhXZGxMaXFPZmsxTjFRc0puTUZBQUFBQUFBSW9GQUNBQUFBQUFBUVFLRUVBQUFBQUFBZ2dFSUpBQUFBQUFCQUFJVVNBQUFBQUFDQUFGYTlBUUFBUUtYeGVYM2FzSEZUdU1OQURiRmg0eVlWRkJTRU80eGFnL3hGZWFySytVdWhCQUFBQUpVbU55OVB6ODM4aHlJaUlzSWRDbXFBZ29JQ0hjckpDWGNZdFFiNWkvSlVsZk9YUWdrQUFBQXEzREhyM3gxcHpHNi90ZEhaaHc1Vit2R05sWkdzckRHMjBnLytTMWhySkVuVkpkNXdzM2JQTVd0M2h6dU1taXJjK1lzYXJncm1yd2wzQUFBQUFLZ1ZIR2UzNmRUZTRZcjRUVGdPWGlkU1Z6bWtCb2VQNlkxd0hQOTAxWW5VVmNiS2VhUkFpOElkUzNYZ00vNnNIUnZUTjBqeWh6dVdHaXFzK1l1YWpmd0ZBQUFBS3AvRDdYYS9sNWlZK0gwMXVWSG84SGc4bjNnOG50WFZKRjRBcUZGWTlRWUFBQUExV3VmT25jOXhPQnh0ckxWTnUzYnQ2ZzUzUEdYcDBxVkxKMG5uU21xVm1KallQdHp4QUVCdFE2RUVBQUFBTlpyTDVlcGlyVDNMR0JOdGpMa3MzUEdVeGVGd1hHU00rWTJrK242L3YxZTQ0d0dBMm9aQ0NRQUFBR295cHpIbUFrbDFyTFVPWTB4aW16WnQ0c0lkVkVuYXRHa1Q1WEE0enJmV1JrdUtsSFIreTVZdFk4SWRGd0RVSmhSS0FBQUFVR01sSkNSRUcyTXVOd0dTa3VyVnE5Y3kzSEdWcEg3OSt2V01NZDNOLytuZW9FR0R4dUdPQ3dCcUV3b2xBQUFBcU1uYVNlb3NTZFphR1dQT3NkWjJDbmRRSmZGNnZlMGxkVkFnWGtrZFhTNFg4NVFBUUNXaVVBSUFBSUFheStGd0RKVVVFU2lTU0pMTEdITmR1T01xaWNQaHVFR1NLMUFra1RFbVV0SzE0WTRMQUdvVGxoc0RBQUJBamRTeFk4ZllxS2lvSFpJYW5MUXArK2pSbzJkdjJyUXBKMHloRlNzK1BqNjZZY09HT3lVMU9tblR6ems1T1dkdDJiSWxQMHloQVVDdHdoTWxBQUFBcUpFaUlpTDZHMk5PTHBMSUdOTWdKaWJtK3ZCRVZiSUdEUnI4MWhoemNwRkV4cGdtc2JHeFY0UW5LZ0NvZlNpVUFBQUFvRVp5T0J5RGkzNDJ4cHg0L1ViR21PSGhpcXNreHBoYlM5cm1jRGh1cTl4b0FLRDJvbEFDQUFDQUdpY2hJYUdsTWFiamliaytGSmdjOWNRdlNRbWRPblZxRTg0WWkzSzczZkdTRW9yR2UwS2dyYnZINDJrZWp0Z0FvTGFoVUFJQUFJQWF4K0Z3ZExEV3Rqanh1ZWpUSklIUFVSRVJFWDNERmQvSkhBN0hCY2FZd21XQVQ0N1hXbHRmVW85d3hRY0F0UW1GRWdBQUFOUTB4aGlUVU54OEgwVkVHR042dEduVEpxb1M0eXFKVTFLU3RUYXVsRDUxakRIZEpVVlVZbHdBVUN0UktBRUFBRUNOMHJKbHkyaGp6RlVuUHAvMEpFblJuejF4Y1hGblZYNkV3YnAwNlJKbnJlMWxqSEdvaEhqTjhSOTZkT2pRb1hISkl3RUF5Z09GRWdBQUFOUW9EUnMyUEZQU0JjWE45M0ZDWUZ0N244OTNibVhHVmh4alRBdEpYVTRoM3E1UlVWRXRLek0yQUtpTktKUUFBQUNnUm5HNVhMY0VYbFVKZWpyamhDSnRNUTZINCtyS2p1OWtUcWZ6ZW1OTWJGbjlyTFgxckxWaGp4Y0Fham9LSlFBQUFLZ3hrcEtTSWlUOW9heCtSWW9sVjRkNTNnK1hNZWIzS21ZQzF4Tk90QnRqak1QaEdCU1kwd1FBVUVFb2xBQUFBS0RHOFBsODNZd3hwL002VFN1UHgzTnhCWVpVcW9TRWhQTWx0VHVOWGRvSDlnRUFWQkJYdUFNQUFBQUF5a3RhV3RvS1NVR1BaYmpkYnJjeFpxRXhwcG1rZ1NrcEtZdkRGMkd3aUlpSVpFa05pcmI1Zkw1ZXhwalp4cGhvdjk5L3M5UHAvUExFTm1PTUhBN0gwYkFFQ3dDMUJJVVNBQUFBSUV5U2s1TUxKQjBzMnVaMnU0OFlZNnc5UG9QcmtlVGs1SU1sandBQUtHKzhlZ01BQUFBQUFCQkFvUVFBQUFBQUFDQ0FRZ2tBQUFBQUFFQUFoUklBQUFBQUFJQUFKbk5GcmRUODNNNW5SVWE0VG1mcFFPQ1U1T2ZuLzdqN3g0M2J3aDFIVFViK29xS1F2d0FBUUJSS1VCdTFhSlBRTXNKbFhwV3g3Y01kQzJxZXFPakk3Zkh4N2h1MmJrM2JHdTVZYXFMNGVIZThJdXkveUY5VUJQSVhBQUNJUWdscW93aXBwWXphRzVsbU1URXhjcm1jNFE0Sk5ZRFA2MU51WHA3ODFrWXJXdkdTdU5DcUNOR0tQNUcvZFdKaTVDUi9VUTdJWHdBQVVCU0ZFdFJhZFdKaU5QTFB3K1ZPNkJ6dVVGQURiTmk0U2MvTi9JZXlEeDBLZHlpMVFwMllHSTIrYTRRNmRtZ1g3bEJRQTVDL0FBQ2dLQW9scUxXY0xxYzZ0R3VyQzd1ZkgrNVFVRU5FUkVTRU80UmF3K2x5cW1PSGR1UXZ5ZzM1Q3dBQVRtRFZHd0FBQUFBQWdBQUtKUUFBQUFBQUFBRzhlb055MGJGang5am82T2kvU1VwTVNVbnBVVksveE1URWdkYmEreVVsU0Nvd3huenA5WG9mU2s5UC82WnlJd1pxRjdmYjNkZmhjTXlSZEVkS1Nzcmk0dnEwYjkvK2pKaVltQW1TQmtocUxHbWJwSCttcHFaT2x1U3IvS2lCMm9IdlVBQUFxaGFlS01HdmtwU1VWTWZqOGR3WkhSMzluYVMvU0RJbDlVMU1UTHhIMGdKSmJTUzliWXhaYmEyOXl1bDBmcDJRd0l5cVFFWG8ycldyeCtQeHZPMXdPSlpKT3J1a2Z1M2J0eitqVHAwNnE0d3hmNWEwMlJnelYxS3NNV2FTeCtPWlhibFJBN1VEMzZFQUFGUk5GRXJ3aTNrOG5wdXN0VDhaWTZaTDJsVmEzNFNFaEhNa1BXMnQzZXJ6K1RxbnBxYmVucEtTY3JtMWRwUXhKdGJwZEQ1VGVaRUR0VU5pWXVKYXA5T1pZb3k1MGxxN29iUytNVEV4VDBzNlY5SURxYW1wL1ZKU1VvWWNPM2FzaTZUdmpURzN1ZDN1aXlvdmNxRG00enNVQUlDcWkwSUpmbzF6cmJVNy9INy83VjZ2OThyU09qb2NqajlKaXJEV2prOVBUOTk3b2owdExXMjZ0WGFyTWVheXJsMjd0cWlVcUt1Um5UdDMvdW94ckxYS3pzNVdibTV1aVgyT0hEbWlnd2NQL3FMeEN3b0t0SHo1OG1LM3JWNjlXbmw1ZWI5b1hFbGF2SGl4NXMyYjk0djNQOW1XTFZ1MGI5KytjaHV2cXJQV3RwUDBpdC92NzJpTVdWWlN2NlNrcFByR21GdXR0VCttcEtSTVB0RytmdjM2L1pJbTZuZ08zMVpaY2RjVTVDLzVXd2ErUXdFQXFLSW9sT0FYOC9sOHo2U21wblpLUzB1YkV4RVI0Uyt0cjhQaCtLMGs1ZVhsdlhmU0ppdHBpU1E1bmM1ZUZSbHZSVm0vZnIwMmJ0d1kwcjVyMXk2dFdMR2l4Ri9aMmRtbGpydHMyVElOR0RCQUgzNzQ0YStLNzVWWFh0R2xsMTZxRFJ1S2Y2RGd5SkVqR2pCZ2dNYVBIMS9pR0QvKytLUCs5S2MvYWMrZVBTSGIzbnZ2UGQxenp6MTY5OTEzZzlyWHIxK3ZFU05HYVBMa3lVSHQxbG85L3ZqamV1ZWRkOHFNL2ZQUFB3OFo5MlFIRHg3VW1ERmpsSm1aR2JJdExTMU5XVmxaaFo5dnVPRUd2ZkhHRzJVZXQ2YncrWHpOVWxKUy9qY3RMVzFyYWYyc3RaZElpcEQwZmlBbkMrWGw1WjM0QTlpN1FvTU5FL0tYL0EwWHZrTUJBS2k2bU13VnYxaDZldnFSVSt6cXROYTJsN1RyMjIrL0Ria2RhSXo1VnNmL0FkNjIzSU9zWUQ2ZlQrUEdqZE9oUTRjMGE5WXN0VzdkdW5EYnh4OS9yR25UcHBXNDczUFBQYWVlUFhzV3UyMy8vdjJhTkdtU1ltTmo1WEs1dEd4WmlROERGTHI0NG92bGNBVFhQci85OWx1OStPS0xhdE9tamZMejg3Vml4WXFnN1ltSmlabzdkNjZ5czdQVnFWT25rTzA2L3NpM0lpTWp0WEhqUnQxNzc3MzY1ei8vcWNqSXlNTHQxMTkvdlZhc1dLRzVjK2ZxeWl1dlZFUkVoQW9LQ3ZUWVk0OHBQajVlbzBhTkN2azl5OHZMMDRRSkUvVHp6ejlyMkxCaDJyTm5qMWF0V2hWeTdKMDdkK3JRb1VOYXRHaFJ5TGJHalJ1clo4K2UycnQzcjlMUzBuVHJyYmRxMHFSSnV1Q0NDNlRBQmVRZGQ5eWhhNis5Vm1QSGppM3o5NjhtT3RVY3RkWjJNc2JJV3B0eDhyWU5HemI4bEppWWVERHdXbzVEVXFrWGROVUorVXYraGhQZm9RQUFWRjBVU2xEaEVoSVN6akRHUkVvS3ZaMHB5ZS8zN3cxY0lEU3M5T0IrSmFmVHFjbVRKMnZvMEtINjg1Ly9yTm16WjZ0bHk1WkJmUll1WENpWDYvOVNiY3VXTFNFWEgwVjV2VjQ5K09DRHlzcktrc3ZsMG1PUFBWWnFEQ2NlamYvNjY2K0RMb0IyN2RxbEJ4NTRRQzZYU3djUEh0VFlzV01WSFIwZHRPKzRjZVAwejMvK1UvWHExZFA4K2ZPVm41OGYwdWU1NTU1VDI3WnQ5ZGUvL2xVUFB2aWdwazZkcWpGanh1am1tMi9XMXEzSEgxVHcrNDlmTy9mdDIxY0szSFhPejgrWHkrVlMvLzc5QzhjYVBueTRicnZ0TmsyY09GR05HemZXaXkrK3FKeWNIRjE4OGNWNjdiWFhRczV0Nzk2OU9uYnNXTEhiT25YcXBKNDllNnB0MjdhYU0yZU9SbzRjcVR2dnZGUGp4NC9YRlZkY29hKy8vbHBlcjFmOSt2VXI5ZmNQa3FUbU9uN0JWV3lPV212M0dtUGF0bXZYcnU2bVRadHlLajI2Q2tMK2tyL1ZRVTMrRGdVQW9LcWlVSUlLNTNBNDZ1ajRQNzZMZmRuZDRYRGs2ZmhGV2xSbHgxWWUyclJwb3llZWVFTDMzSE9QUHZ6d1F3MGJOa3dLWENURXhjWHA3TE9ERnhvcDdaRjl2OSt2di83MXIwcExTOVBaWjUrdFk4ZU9hZWJNbVNGalNGSnVicTRlZi94eExWMjZWSC80d3grQ0xySTJiOTZza1NOSEZsNUE3ZDI3VjNmZWVhZkdqUnVuM3IxNzYrREJnMXExYXBXV0wxK3VaczJhYWM2Y09abzdkNjRXTDE2c0YxNTRRUzFhaEw3cWZ0bGxsNmwvLy81YXMyYU5qaDQ5cXJ2dnZsdEhqZ1RmRVAzdmYvK3I1Y3VYNjZtbm5wSXhvWXMzbkxoamI0elI2TkdqRlJzYks2ZlRxYVNrSk0yZVBUdGtIb1pKa3lacHg0NGRldjc1NTBQR2F0U29VZUhQVFpzMjFlelpzelZwMGlSNVBCNHA4TmkvSk4xMzMzMUIrNzN4eGh0NjY2MjNndG9HRGh3WTBxK1dxYVBqZi82S3pWRmpUSjRreGNiR1JrbXFNWVVTa2I5QmZjamZxcW1tZjRjQ0FGQVZVU2hCaGZQNy9kN0EzYTVpLzd4WmF5TUQveWcvV3RteGxaZmV2WHZydGRkZVU4ZU9IYVhBWGVYUFAvOWNuVHAxQ3VsNzRnTEU1L01GdFJjVUZPalJSeC9WMHFWTDllaWpqNnBQbno0YU9uU28vdmpIUDJyS2xDbnEwcVZMWWQvTm16ZnI0WWNmMXBZdFd6UnMyREQ5NlU5L0NocHIvLzc5NnR5NXM4YVBINi9ZMkZpMWFORkN2L3ZkNy9UeXl5L3J3Z3N2MUE4Ly9LQng0OFpwOU9qUkdqRmloT0xpNG5UNzdiZHI1Y3FWV3JSb2tmNzg1ejhYZTU1ang0NVZSRVNFb3FPajFiMTc5NUR0Q3hZc2tOdnQxaVdYWEhKS3YyL0Rodzh2L1BucHA1OHVjVDZISzY4TW5lZHcxcXhaaFJkVmtoUVhGNmNubjN4U2twU1ZsYVdQUC81WVBYdjJWTGR1M1FyN1RKczJUVzYzV3hkZEZMeUFTN3QyN1U0cDNock1xK04vTmt2NlRqaHhGVjl0YzdRMDVPOXg1Ry9WVkJ1K1F3RUFxR29vbEtEQ2ViM2ViSmZMSldOTW8rSzJHMk1hNi9nLzlvcDlyTGk2T0hHUkpVbFRwMDdWcmwyN2luMjN2bjc5K2xMZ1FtSHo1czB5eHVqcXE2L1dVMDg5cGVYTGwrdmhoeC9XZ0FFREpFa3pac3pRbURGajlMLy8rNys2N3JycmRQUE5OMnZ1M0xsNjU1MTNGQmNYcDJlZWVVWjkrdlFKT2NZRkYxeWdxVk9uNm5lLysxMWhtN1ZXWHE5WDExeHpqUlM0NEh2bW1XYzBaODZjd2o0RkJRWDY2YWVmQ2lkZ3ZPZWVlL1RiMy82MmNIdTlldldDanZPWHYveEY2OWF0Sy95Y241OHZoOE1SY2lHandLU1JqUm8xMHZ2dnY2L1BQdnRNWThlT0RicXJQR2JNR04xenp6MUIreno1NUpQYXNXT0haczZjR1RKZWd3WU41UFY2ZGQ5OTk2bDc5Kzc2L2U5L1g3anRYLy82bHdvS0N2VEFBdy9vckxQT0tteWZObTJhT25YcXBELzg0UThoNDlWbXhwZ0RPbjVudXRnY2xkVFlXbnM0SlNXbHhsNklrYi9rYjFWVlc3NURBUUNvU2lpVW9NSnQyTERoc01majJXV01hWldVbEZRbk9UbjU1SXV0OWpyK2o3MzE0WW53bDNuampUZjB5U2VmRkg0ZU5XcVVXcmR1clhIanhtbjU4dVVhUG55NGV2VG9FYkpmOCtiTk5YandZQzFac2tTelo4K1dKUDIvLy9mL2ROdHR0K21hYTY0SmVpZS9hZE9tbWpWcmxzYU1HYU9GQ3hkcTRjS0ZrcVF1WGJyb21XZWVVY09HSmIrUy92UFBQeXNoSVVGWFhISEZhWi9ia1NOSE5ISGlST1htNXFxZ29DRG9RcWR6NTg2RmQ1eno4dkxrZHJzMVlzU0lFc2RLVGs3V3M4OCtXemdQd3RHalI3VjgrWElOR2pSSUR6LzhzUHIxNjZlaFE0ZnEwS0ZESWZ1ZW1PT2dwRHZrenozM25DSWlJalJseWhSbFpHVG9zY2NlazhQaDBNY2ZmNnpldlhzSFhXU2haSDYvLzd2QUhlc09KMjlMU2twcWJLMDl3eGdUT2x0bk5VYitrci9WUlUzOURnVUFvQ3FqVUlMSzhwbWszL3Q4dnY2U2lxNHJhU1Q5VnRMUnZYdjNmaDdHK0U1YjY5YXRsWnVicSt6c2JNMmJOMDg1T1RtcVc3ZXV6ai8vZkEwWU1LRFV4OWNmZlBCQlBmamdnMEZ0UlNlUnpNL1BWM3A2dWxhc1dLRmx5NVpweDQ0ZGF0Q2dnYnAzNzY1VnExWXBJeU5EQXdjT1ZOZXVYZFd4WTBmRng4ZXJSWXNXYXR5NHNSbzBhRkE0b1dPclZxMTB5U1dYRkY3a2xNVVlvOGpJU0dWbloydml4SWxTNERXRUUzTUM1T2ZuaDV4YlhGeGMwTjM0azUyOEpPbmd3WVBWdG0xYjNYZmZmWHJvb1llMFlNRUNEUjQ4V1BuNSthY1VZMUVOR2pUUTAwOC9yU2xUcG1qZXZIbmF2MysvWG5ycEpjMmZQNy9ZQ3plVTZETWR2eU45bGFSeFJUZjQvZjRyQW8vMS83cDFicXNZOHZjNDhyZmFxSEhmb1FBQVZHVVVTbEFwckxVdkcyTis3M0E0SnJScDArYlRMVnUySEpJa2o4ZHpaMkRaMFdtWm1abTVaWTlVZGZUbzBVTTlldlRRMXExYk5XL2V2TUwyODg4L1gwT0hEdFZmLy9yWE1zZDQvZlhYZGM0NTUyalBuajM2L1BQUHRXWExGbTNjdUZIZmZmZWR2RjZ2NHVMaTFLdFhMOTE5OTkzcTNidTNYQzZYQ2dvS3RITGxTbjMxMVZkYXMyYU52dnp5eTZBeDc3enpUdDErKysxYXVIQ2hvcUtpZE1jZGR3UTlYbCthaUlnSXJWeTVVdlhyMTlkbm4zMm02T2hvUlVSRTZLdXZ2cElrRFJvMEtHU2ZwVXVYNnVPUFB5NXhUR3R0U0p2SDQ5R2NPWE8wYWRNbU5XL2VYTTJiTjllT0hUdENMc3BLMHFCQkE3VnAwNmJ3ODMzMzNhZUdEUnVxZGV2V3lzaklVR3BxYW9uN3JsKy9YcSsrK21wSWU0Y09IWUxtUTZoTjB0TFNObnM4bnMrTk1SZDdQSjRocWFtcC85VHhsVWthU1hwRVVxNjE5dVZ3eDFtZXlOL2p5Ti9xb1NaK2h3SUFVSlZSS0VHbFNFdEwrOHpqOGZ6VEdET2tYcjE2NnowZXoxSkpaMG02ekZxNzN1RndQQnJ1R012TG1XZWVxWHZ1dVVlVEprM1N3SUVEbFppWUdOSm43dHk1MnJ4NXMrTGk0aVJKTVRFeGV1bWxseFFURTZQR2pSdXJmLy8rU2t4TVZQdjI3UlY0SlVMZmYvOTk0ZjYvK2Mxdk5IRGdRQTBjT0ZDSER4L1dwazJiRkJrWnFmMzc5K3ZXVzIrVmlzeWxJRW5kdW5YVCtQSGpTNDM3elRmZkxMeGdOTWFFekdkUWtsNjllcFc2NHNTcVZhdjAxRk5QaGJTM2JOa3k2Qzc4VzIrOXBYbno1aWtpSXFMVTR4VVVGT2ppaXkvVzFLbFRnOXFIRGgwcVNab3paNDcrOFk5L0ZMWWZPM1pNMWxwRlJVVXBPanBhYVdscFdydDJiY2d5cW9NSEQ2N1JGMXBsOGZ2OUk1eE81d3BKc3p3ZXp5Qmp6TzdBbmVvei9YNy9zTFMwdEYzaGpyRXlrTC9CeU4rcW9UWjlod0lBVUJWUUtFR2xTVTFOSGVieGVEWklHaTdwRmtsN0pUM25jRGdlU1U1T1BoanUrTXBML2ZyMU5XalFJQzFkdWxSYnRtelJ3dzgvSExROU16TlQ0OGVQMTdYWFhxc3p6amhEQ2p6K3ZuanhZa1ZFUkdqNjlPbWFNMmVPUHYzMDA2RDl2RjZ2dkY1dnlBV0N6K2RUUVVHQlZxeFlvYWlvNGxlSGRMbGNxbE9uVHFseHUxeS83SzhEbjg5WDZtUDNCUVVGeGJablpHUm85KzdkNnR1M2IrSFNxTTJhTmROLy8vdmZVbzgzWk1pUWtEWnJyWDc0NFFlZGUrNjV1dTIyMjNUYmJiY1ZiaHM1Y3FRT0hEaWdOOTU0UXdwTUZQbjg4OC9yMDA4L0xmSDNxelphdDI3ZGVvL0gwMFBTVThhWWk2MjFMbU5NcXQvdi8yTmFXdG9INFk2dnNwQy93Y2pmcXFPMmZJY0NBRkFWVUNoQnVVaE9UczRLdkN0ZEduOXFhdW9VU1ZNcUtheXdHajU4dVA3MHB6L3BuWGZlMFhYWFhTY0ZMZ2llZU9JSjFhbFRKMlNDdzZKM1lsdTFhcVVGQ3hZRWJaODdkNjVlZXVrbGZmNTU4R3ZvUzVZc0tYWjFqcUsrL3ZwcjllM2J0OHlZeTdvYlhKelZxMWNIWGRpY3JLVDVGUll0V3FTRkN4ZnEwMDgvTGJ6USt1bW5uM1R4eFJlWGVyeWpSNCtxZCsvZVFXM2J0bTNUNE1HRGRmLzk5K3ZHRzI4TTJyWnYzNzZndS9PMVZVcEt5a2hKSTB2cms1cWF1a0hTdFpVWFZkVkYvaDVIL2xZT3ZrTUJBS2hhS0pRQTVTdzdPMXNOR2pSUXQyN2RkUG5sbCt2dmYvKzcyclZycHc0ZE91alpaNS9WbWpWcjlOUlRUNVc2NGtWNTY5Njl1eVpNbUZCcW4vVDBkS1ducDUvMjJKZGVlbW14aithZnNHelpzbUlmN1U5T1RsYTdkdTBLWDErUXBFYU5HcFU2bGlROS9mVFRJVzNyMXg5ZjdPSHNzODhPYXMvUHo5ZldyVnNMbDFRRnlrTCtCaU4vQVFCQWJVU2hCQ2hINzd6emp2NzFyMy9wM1hmZmxTU05IVHRXbXpadDBvZ1JJM1RSUlJmcGd3OCswTkNoUTlXL2YvOVN4OW0yYlpzdXV1aWlvTFlUais2ZjNPN3orY3FNS3pjM1YxdTNiaTIxejRtSko5ZXVYYXVtVFp1ZTh0S2NodzRkMG9ZTkcwcmNucG1aR2RLV2xaV2xiZHUyRmM3SGNJSXhwc3pINlUvTStWQlVXbHFhSEE2SEVoSVNndHBYckZpaFk4ZU9GVHZQUkZHTEZpMVM0OGFOMWJObnoxTDdvV1lqZjBPUnZ3QUFvRGFpVUlKcXdlUHhOTW5QejQvWnNHSEQ5bkRIY3JLY25CeEowdC8rOWpkbFptYXFYNzkraGR0aVkyTjF4eDEzNktHSEh0SUhIM3lnamgwN0ZrNWFXSm9XTFZyb2hSZGVDR3BidEdpUjNuenpUYzJkT3plb2Zmbnk1Wm95cGZRbnNUZHQyaFF5MTBKSjl1M2JweHR1dUNIa0xyTFg2MVZlWGw1SS96VnIxbWpZc0dFbGpsZmNvL3NyVnF5UUFwTlVubnpzMHNaU1lNNkU1czJiQjdXdFc3ZE81NTEzbm1Kall3dmJmRDZmWnMrZXJkallXUFhxMWF2VU1ULzk5Rk1kUEhpUUM2MEtFaDhmSHgwYkczdk9OOTk4czBuU3FhMTFXMG5JWC9JWEFBRGdaQlJLVUMwWVk1S2lvcUxlOW5nOHlaTG0rSHkrWlVlUEh0MjNaY3VXdytHKzhGcTZkS2tVZUdSL3dvUUp1dkxLSzZYQVpJZHo1c3pSc21YTGRPYVpaNnBqeDQ3NjVKTlBOR0RBQUEwWk1rVFhYbnR0eU1TT0o3aGNycEE3d2cwYk5wVEQ0UWhwUHpHaFpHbTZkKyt1YWRPbW5kTDVYSFhWVlNGdCsvYnQwNWd4WTNUbzBDRjkrdW1udXZUU1MzWFJSUmZwbGx0dVVVeE1qSHIwNkZIaWVEdDM3dFNYWDM0WmRCSDB4UmRmeU9WeXllUHhCUFU5bGNrZ2I3LzlkaG56ZjYveTc5Ky9YOTkvLzMzSTNBYlBQLys4Tm03Y3FELy8rYzlCeHo2eGI5RUx3RDE3OXVpODg4NHI5Ymo0NWVMaTRocTdYSzZ2UFI3UEZtdnQ2dzZINDMyLzM1K1ZscGFXSTZuc1J5b3FFUGxML2dJQUFKeU1RZ21xRFdPTVUxSWZhMjF2bDh1MUx5NHVMamt4TVhHbDMrOWY3WFE2VndjbXc2dDBicmRiNjlldjE1TlBQcW44L0h5OSt1cXIrdUNERDdSNTgyYlZxMWRQZi9uTFgzVHp6VGNyT2pwYXFhbXBtalJwa3A1KyttbE5telpOaVltSjZ0R2pod1lNR0JDMG5HZHVicTZXTDE4ZWRKd2ZmdmhCWHE4M3BQM2JiNzh0TThZREJ3NFUzZ1V1eThrcllHUm5aK3ZtbTI5V1FVR0JYbjMxVlgzMDBVZTY2NjY3MUtGREIxMTQ0WVZxMnJTcEZpMWFKS2ZUS2FmVEtZZkRJV09NQ2dvSzVQVjZWVkJRSUd1dDVzK2ZyMWF0V3VuQ0N5L1UxMTkvclk0ZE81YTVrb2NrelpzM1QzdjM3bFZrWktRT0h6NnNqUnMzYXVEQWdZWGJWNjFhSlVucTJyV3JGUGk5bXpKbGloWXVYS2pFeEVUZGZ2dnRRZU5Ia2EwUkFBQWdBRWxFUVZRMWF0UklrdlRTU3krcGMrZk95c3pNMUhmZmZSYzBKaXFFd3hpVEpDblJXdnVvTVNiTjQvR3NzdGF1ZERxZHE1S1RrM2VISXlqeWwvd0ZBQUE0R1lVU1ZEdm0rQzNGeHBJdWwzU3B3K0hJdHRiK25KaVl1TXpyOWI2Wm5wNytWV1UrWlhMcHBaZXFYNzkrT25qd29HNisrV1psWjJlcmRldld1di8rKzNYTk5kZW9idDI2aFgwOUhvL2VlT01OZmZIRkYxcTBhRkhoTy9nbjMwM2R2Mysvbm5ubW1aQmpOVzNhTktUOXlKRWpaY2E0Y2VORzNYLy8vYWQwUGljL250K2dRUU9kZmZiWnV2UE9POVdxVlN2OThZOS8xUG5ubjYrMzMzNWJTNVlzMGY3OSs1V2ZueTlyYlpsai8rMXZmMU4yZHJiT1AvLzh3Z3Vqc2h3OGVMQndwUkJqakM2NjZLS2dpNmN2di94U0Nsenc3dCsvWHpmZWVLUDI3ZHVuaXkrK1dFODg4VVRJc3FtWFhIS0ozbm5uSGIzKyt1dXkxc3JsY3VuQ0N5OHM5azQ4eW8rMTFoaGpUdVJ2QTBsOXJiVjlqREhaMXRxZlBSN1BhbXZ0YThlT0hmdDh3NFlOeHlvckx2S1gvQVVBQURoWldVdlJBVlZDWW1MaTVaTGVrUlJkM0Qvb2l6N0tiYTNkRm5pOGYzNStmbjVtZEhSMFRuSnljc0dKN2ZGdEVpNVVoRmtZVjY5ZXMrbVRKK25pM2hlRmpQZExmZlBOTjRxTWpEemx4OEQzN2RzbnA5T3BCZzBhbEZzTUovUDVmRExHRkR1SjRxbkt6ODh2YzVKR2E2MjhYbS9oNUpUR0dEbWR6c0wvVnBTOWUvZHE5ZXJWdXZycXE2WEFIZXhHalJycDhzc3ZyN0JqRm1mbDZyVzY2OTR4K25uZnZteFpEZHo2YmRwbmxScEFGWmFRa05EUzVYSnRrRlR2RlBKM3A2UzNyTFZ2NXVYbC9lQndPSEtLRms3aTI3djd5dGg1Y2ZYcU5YdnB1V2QwWWZmenl5MU84cGY4Slg5ckxyZmI3VGJHTERUR05KTTBNQ1VsWlhHNFl5cU4yKzN1NjNBNDVsbHJvNjIxQTlQUytETUpBSldKSjBxcUFiZmIzVGZjTVlTYjMrL3Zhb3h4bkxpZ092SGZvaGRkUlg1dTVYQTR4a2thRlJrWitZMjFkcTNINC9uRzcvZC9zbTdkdXMwVkdXZm56cDFQcS8rcHpFL3dhNVhIUlU1WkYxa0svRCtKaUloUVJFVEVyejdlNmZqTmIzNVRlSkVsU1RmZGRGT2xIdjlrMW04VjRmUzFkcnZkWVkyamltbFM5UHVtalB4dFlZd1piWXo1UzUwNmRUWktXdU4ydTlOOVB0OFhHUmtaMzFSa2tPUXYrWHM4ZjAwTE53bGM0MWhyMnhsaklzTWRCd0NnZXFCUVVnMDRISTU1NFk0aDNLeTFrWkpDL2dWZjlFNzBTZjBscVk0eHBydTF0cHN4SnMvcGRPNzJlRHpmNUJmNFVvNzZMRTlUb1VJWVNYVWlJbjd2Y0poTzRZNmxxckRXT3F5MVVTZm5heG41RzIyTThWaHIzUTZISTk4WXM4ZnRkbThxOE5uVUl3WGtMeXFHTVRKMUlqVFU0WENjR2U1WVVMNnN0VkdCb20xWUo1QUdBRlFQRkVxcUFXdHQ4VXNyMUM2LzZNOXFrYnZVTGtseDF0cW1EcW11eW40ZEgvamxqSTJ3VnVSdGdESEdXSHY2eFkyaStXdU1pWlhVekJnYncwdWpxQ2hHa3NOaG1rcHFIKzVZVUw2S1BNbDJ6T2Z6N1ExM1BBQ0FxbzFDU1RWZ3JXVTZmNm1iTWVZSlNVR1B6WjY0a0NydVRyVzF0a0RTdDliYXRkYmFkRW1mcGFXbFpjUzNTZWltQ0hOcjVZYVAyc0pLT25yTU95YzIwdlZEdUdPcEtxeTFUWXd4cjBpcWMxSzdWRUwrU3ZKYWE3ZFlhOWY2L2Y1VWErMVg2ZW5weWZIdDNiMWtOTGhTVHdDMWhyV3l4d3IwVXFUTHZ6M2NzYURDN0UxUFQxOFg3aUFBQUZVYmhaSnFnQW04cE1URXhPaWlLOW1VTVNGa2x0L3ZYK0R6K2Y3dDlYbzNSMFJFWktXbnA1ZTl0QVJRRG96RHlPdDMvVURlL3ArRWhJU1dUcWZ6bFBMWFdudkFXdnUrdGZZdHY5Ky9JVDgvUDJ2VHBrMDVsUnN4YWkySDBWR3ZUZC93RGZrTEFFQnRScUVFMVlMUDU3Tk9wN1B3NnFySVJaWGZHSE5FVW82MWRvWFA1M3MxUFQzOUE5NUJybHpmZi8rOTFxOWZyLzc5K3lzNm1qZE9FTW9ZNHkveXMzUThmNjJrbzVJTytmMytER3Z0N0o5Ly92bjlYYnQySFExbnJOV0J0Vlk3ZHV6UTJXZWYvYXZISW44QkFBQ0NVU2hCdGVCME9zMko1YXdEcjlYc2w1UnNqRm50OS92WEdHUFdwS2FtN2dwM25GVk5YbDZlOHZMeWZ2SCtwN3JzNlZkZmZhVnAwNmFwWjgrZVhHaWhKSVg1SyttUXBEUkpheVN0dE5hdVNVdEwyeGJ1QUt1VFdiTm02WlZYWHRGcnI3Mm0xcTFiLzZxeHlGOEFBSUJnRkVwUWJWaHIvWkpXK3YzKytjYVlaY2FZblNrcEtRY2tlY01kVzFVMWI5NDhQZi84ODc5NC8rWExsNnRPblRxbjBCTW9rdzNNRmZSMlFVSEJoMzYvUHpNbUptWmZjbkp5UWJnRHE0NXV1dWttdmZ2dXUzcnl5U2MxYTlhc2NJY0RBQUJRbzFBb1FiWGc5WHBUSEE1SHA3UzB0SzNoanFVNmV1U1JSMEx1RkwvenpqdEtUMC9YSTQ4OEV0TC84ODgvMTVJbFM4cnQrTG01dVlxSmlTbTM4VkM5N04rL2Y5OFpaNXpSYzkyNmRSdUx6aldFMGsyZlBsMXo1c3dwdGMvdTNidVZsSlJVNHZZWk0yYm9nZ3N1K0ZWeGtMOEFBS0Myb1ZDQ2FpRTlQWjJsL0g2RlN5NjVSUFhxMVF0cVc3dDJyVFpzMktETEw3ODhwUCt1WGJ0K1VhRmsxYXBWdXVxcXE0TGFaczJhcFNWTGxtakdqQmxxMHFUSkw0Z2UxVjFtWm1adVptYm0rbkRIVVIzVnJWdFhreVpOQ21uMytYeHlPcDFCYlljUEgxWnNiR3hRVzd0MjdVNzVXT1F2QUFEQWNSUktBSlRweXkrLzFQcjFvZGU1eGhnTkh6Njg4UFBiYjc4ZGRLRzFZTUVDelp3NVU2MWJ0NWJENGFpMGVJR2F3dVZ5cVdmUG5zckt5dEtMTDc2b1cyNjVSZkh4OFJvM2JwejI3TmxUK05yTlR6LzlwQnR1dUVIOSsvZlhYWGZkRlZRWUpYOEJBQUJPRDRVU29CYjQ2YWVmbEpNVHZNTHEwYU5INWZmN3RXdFg2Qnk0aHc0ZEN2cThldlZxL2VjLy93bHE4M3E5c3RZR1hXaWxwNmNySXlORFhicDAwY0tGQy9Ya2swK3FiZHUybWpsenBobzJiRmp1NXdYVUZ1Ky8vNzQrK09BRGpSZ3hRcEwwM1hmZnFXM2J0b1hibXpWcnByRmp4K3FwcDU3UzU1OS9ydG16Wit1c3M4NlN5RjhBQUlEVFJxRUVxQVZ1dlBIR0VyZGRjODAxWmU0L2V2Um9qUjQ5T3FodDVNaVJJY1dYZXZYcTZlV1hYMVpTVXBLbVQ1OHV0OXV0cVZPbnFuNzkrcjhpZWdEdnZ2dXUrdlhySjUvUHB6MTc5bWpidG0zcTNidTNzckt5Q3Zza0pTVnB4b3daV3JwMHFXSmlZcFNWbGFVenpqaUQvQVVBQURoTkZFcUFXbUQ2OU9tS2lvb0thbnY5OWRlMVpzMGFUWnMyTGFULzRzV0x0WERod2hMSHk4N08xdXJWcTNYbm5YY0d0ZDk2NjYyYU1XT0d2dnJxSy9YdjMxL2p4NDlYWkdSa09aNEpVUHZzM0xsVDI3ZHYxL2J0MjdWNDhlTEM5amx6NXBRNDJldHJyNzBtU2Zyc3M4OUM1aWNpZndFQUFFcEhvUVNvd1h3K255U3BXN2R1SVJjOFM1WXNrY3ZsMHZubm54K3lYMFpHUnFuamZ2amhoL0w1Zkxyc3NzdUMycSsrK21xOTk5NTdPbmp3b0I1NTVCRXVzb0JmeVJpakprMmFGQlkrRkZqMis1TlBQdEZMTDcwVU1xSHJ5WXBiM3B2OEJRQUFLQjJ6c3dFMW1OZnJsU1JGUkVTVTI1ajUrZmw2NVpWWDFLZFBINTE1NXBsQjI1eE9wMGFQSHExRGh3NXA2dFNwNVhaTW9EYkt6YzFWZEhTMElpTWoxYkZqeDhKZkdSa1o4bmc4aW8rUDExbG5uVlhzci9QT08wOGRPM1lNS2FTUXZ3QUFBR1hqaVJLZ0JqdHk1SWljVHFlKysrNjdrRzBIRHg2VXorZlRwazJiUXJZVm5mZmdaRysvL2JheXNySTBaTWlRWXJmMzZkTkhBd1lNMElJRkMrUjJ1ME9XR3dWd2FuSnpjME9XKzkyNGNhTjI3TmloSFR0MnFHL2Z2aVh1TzNueVpQWHIxeStrbmZ3RkFBQW9HNFVTb0FiTHpzNld6K2ZUNzMvLyt4TDdsTGJ0WkptWm1abzVjNlo2OU9paExsMjZsTmp2dnZ2dVUzSnlzaDUvL0hFMWFkSkUzYnQzUCszWWdkcnU0TUdESVlXU1YxOTlWYkd4c2NyUHo5ZXdZY1BVcTFldm9PMHZ2L3l5MXF4WlUyeCtrcjhBQUFDbmhrSUpVSVB0M3IxYjhmSHhldkxKSjBPMnpaNDlXeXRXck5EczJiTkR0aTFhdEVodnZ2bG1VSnZmNzljamp6d2lhNjNHakJsVDZuSHIxcTJyNmRPbmE4aVFJUm8xYXBUKy92ZS9xMmZQbnVWd1JrRHRzWFhyVnJuZDdzTFBQLzc0b3o3NjZDTU5IejVjQlFVRm1qOS92Z1lOR3FTNHVEaEowcXBWcTdSczJUSTkrdWlqYXR5NGNkQlk1QzhBQU1DcFk0NFNvSWJ5ZXIzYXZIbXp6ajMzWExWcjF5N2tWLzM2OWVWME9vdmRkdkpGbGlSTm5UcFY2OWF0MDRnUkk5U3laY3N5ang4Zkg2OW5uMzFXMWxxTkdqVktDeFlzcUtBekJXcWUvUHg4N2R5NVUrZWVlNjRreVZxcnlaTW5xMTY5ZXJyeHhoczFkT2hReGNURTZPNjc3OWJodzRlVmxwYW1CeDU0UUZkY2NZVUdEQmdRTWg3NUN3QUFjT29vbEFBMVZISnlzZzRmUHF6T25Udi82ckhtenAycmVmUG1xVy9mdnJyeHhodFBlYitFaEFTOThNSUxxbE9uamlaT25NZ0VrY0FwV3IxNnRYdytuenAxNmlSSm1qOS92bGF1WEtrNzc3eFRjWEZ4aW82TzFzeVpNL1hUVHo5cHlKQWhHakZpaEhyMjdLbng0OGVIakVYK0FnQUFuQjRLSlVBTjlkNTc3MG1TZXZmdWZkcjdGaFFVU0lHbFNhMjFXckZpaFRwMDZLQ0pFeWZLNFFqOWEyUHYzcjJTcEppWW1KQnRIbzlIcjd6eWlqcDM3cXovK1ovLytRVm5BdFErSDMvOHNSbzNicXl1WGJ0cTdkcTFldmJaWjlXelowOE5IRGl3c00rQkF3ZlVva1VMZmYvOTk4ckx5MVBMbGkyVms1TVROQTc1Q3dBQWNQcVlvd1NvZ1RaczJLQVBQL3hRM2JwMTB6bm5uRk5tL3g5Ly9GRUxGaXhRM2JwMTVmZjc5YzQ3N3lnMk5yYnd3bW5LbENrNmV2U29vcU9qSlVtcHFhbWFQMysrWW1OamRmandZWDM2NmFlS2o0OVgzYnAxaXgyL1ZhdFdtak5uVGptZkpWQXo3ZGl4UTRzWEw5Ymd3WU8xYWRNbTNYUFBQV3JhdEtrbVRweW83T3hzZmZYVlYvcnd3dysxY3VWS2RlN2NXVE5uenRUcTFhdjEybXV2NlkwMzNsRC8vdjExNFlVWHFsdTNianJqakRQSVh3QUFnTk5Fb1FTb2dZNGNPYUtJaUFpTkhEbXl4RDdSMGRHRksycEVSVVZwN3R5NWhkdGlZMk0xYXRTb3dzOVJVVkdLaW9vcS9GeTNibDB0WGJwVWtoUVJFYUcyYmR0cTdOaXhGWFEyUU8yU2taR2h5TWhJM1g3NzdYSTZuVHIvL1BQMTBFTVBhZkhpeFhyNjZhY2xTWW1KaWZyYjMvNm15eTY3VEpMVXZYdDMzWERERFpvN2Q2N2VmLzk5dmZmZWUycmN1TEgrODUvL0tEWTJsdndGQUFBNERSUktnQnFvVzdkdWV2UE5OeFVmSDE5aW4zdnZ2VmYzM251dkpLbDU4K1pLVGs2VzErdVYzKzlYWkdSa3FlT2ZkOTU1U2s1T0x2ZTRBVWhYWG5tbFdyVnFwVFBPT0VPUzlPeXp6MHFTcnJ2dU9sbHIxYmR2WHpWdDJqUmt2eVpObXVqdXUrL1d5SkVqbFo2ZXJxaW9xSkRsaFVYK0FnQUFsSWxDQ1ZCRGxWWWtLWW5MeFY4SlFGVndZaExYb2lJakkzWEREVGVVdWEvVDZaVEg0Nm1neUFBQUFHbytKbk1GQUFBQUFBQUlvRkFDQUFBQUFBQVFRS0VFQUFBQUFBQWdnRUlKQUFBQUFBQkFBRE0zb3RieWVYM2F1R2x6MExLWndDKzFZZU1tRlJRVWhEdU1Xc1BuOVduRHhrM2hEZ00xQlBrTEFBQ0tvbENDV2lzM0wwOHZ6dnFuSWlOS1h3b1hPQlVGQlFVNmxKTVQ3akJxamR5OFBEMDM4eCtLaUlnSWR5aW9BY2hmQUFCUUZJVVMxRHArWS9jNlpIYjdyWTArZUloL0dLT2NXYnZubUxXN3d4MUdUWFhNK25kSG11UDVtMzNvVUxqRFFVMUQvZ0lBQUFvbHFJMjJiODdZZW5hYlRyYzRYQkcvQ1hjc3FIbDh4bWJ0K2paOWM3ampxS2wyYlVyZlRQNmlvcEMvQUFCQUZFcFFTL20zYjFtL1FkS0djQWNDNExTUnZ3QUFBS2hRckhvREFBQUFBQUFRUUtFRUFBQUFBQUFnZ0VJSkFBQUFBQUJBQUlVU0FBQUFBQUNBQUFvbEFBQUFBQUFBQVJSS0FBQUFBQUFBQWlpVUFBQUFBQUFBQkZBb0FRQUFBQUFBQ0tCUUFnQUFBQUFBRUVDaEJBQUFBQUFBSUlCQ0NRQUFBQUFBUUFDRkVnQUFBQUFBZ0FBS0pRQUFBQUFBQUFFVVNnQUFBQUFBQUFJb2xBQUFBQUFBQUFSUUtBRUFBQUFBQUFpZ1VBSUFBQUFBQUJCQW9RUUFBQUFBQUNDQVFna0FBQUFBQUVBQWhSSUFBQUFBQUlBQUNpVUFBQUFBQUFBQkZFb0FBQUFBQUFBQ0tKUUFBQUFBQUFBRVVDZ0JBQUFBQUFBSW9GQUNBQUFBQUFBUVFLRUVBQUFBQUFBZ2dFSUpBQUFBQUFCQUFJVVNBQUFBQUFDQUFBb2xBQUFBQUFBQUFSUktBQUFBQUFBQUFpaVVBQUFBQUFBQUJGQW9BUUFBQUFBQUNLQlFBZ0FBQUFBQUVFQ2hCQUFBQUFBQUlJQkNDUUFBQUFBQVFBQ0ZFZ0FBQUFBQWdBQUtKUUFBQUFBQUFBRVVTZ0FBQUFBQUFBSW9sQUFBQUFBQUFBUlFLQUVBQUFBQUFBaWdVQUlBQUFBQUFCQkFvUVFBQUFBQUFDQ0FRZ2tBQUFBQUFFQUFoUklBQUFBQUFJQUFDaVVBQUFBQUFBQUJGRW9BQUFBQUFBQUNLSlFBQUFBQUFBQUVVQ2dCQUFBQUFBQUlvRkFDQUFBQUFBQVFRS0VFQUFBQUFBQWdnRUlKQUFBQUFBQkFBSVVTQUFBQUFBQ0FBQW9sQUFBQUFBQUFBUlJLQUFBQUFBQUFBaWlVQUFBQUFBQUFCTGpDSFFBQUFLZWorYm1kejRxTWNKMGI3amhROCtUbjUvKzQrOGVOMjhJZEJ3QUFDQzhLSlFDQWFpTSszaDJ2Q1BzdkdkcyszTEdnNW9tS2p0d2VIKysrWWV2V3RLM2hqZ1VBQUlRUGhSSUFRUFVSclhnWnRUY3l6ZXJFeE1qcGNvWTdJdFFBUHE5UHVYbDU4bHNicldqRlM2SlFBZ0JBTFVhaEJBQlE3ZFNKaWRIb3UwYW9ZNGQyNFE0Rk5jQ0dqWnYwM014L0tQdlFvWENIQWdBQXFnQUtKUUNBYXNmcGNxcGpoM2E2c1B2NTRRNEZOVVJFUkVTNFF3QUFBRlVFcTk0QUFBQUFBQUFFOEVRSkFJUloxNjVkZXptZHpqSFcyaDZTWW8weE95UXRPSExreUlSTm16YmxGTzNyOFhndWxqUlMwdm5HbUdiVzJqM0dtT1UrbjIvQ3VuWHJ2anZSeisxMnV4ME9SMnBaeC9aNnZWM1MwOU8vcWFoekEwQ09Bd0JRM1ZBb0FZQXdjcnZkZzR3eGIxcHJzeVY5YW96eFdXdDdHV1B1cjF1Mzd1VUpDUWs5MDlQVGp4VFpaWnFrK3BLU0plVVlZNUlrM2VKd09LNUxURXk4S0NVbEpUM1FMOXRhKzUrU2ptdU11YzVhbTNQMDZOSHRGWCtXUU8xRmpnTUFVUDFRS0FHQU1ETEdKRWo2KzRFREJ4N2J1blZybmlTMWJOa3k1amUvK2MwN2t2bzduYzQ3SkUwdHNzdGRxYW1wWDByeW4yandlRHd6akRGL3R0YmVMV21vSktXbHBXMlY5THZpanVsMnU2OHp4dnlQTWVidlc3WnNZZlpLb0FLUjR3QUFWRC9NVVFJQTRUVTlOVFYxeklrTEtFbkt6TXpNbGZSRTRPTkZSVHVucHFaK1VmUUNLdUJOSGI4Z2EzUUt4M000SEk0SjF0cTlYcTkzV25tY0FJQlNrZU1BQUZRelBGRUNBR0dVbXByNmN3bWJEZ2IrbTEvV0dOYmE4NHd4a3JTbXJMNkppWW0vbDlUWkdEUHFwTWY5QVZRQWNod0FnT3FIUWdrQVZFMjlkZndPOHZyaU5uYnMyREhTNFhBMGpZaUl1TW9ZOHpkcjdkcWpSNDgrVjhhWURtdnRvOGFZclAzNzk3OVlJVkVET0ZYa09BQUFWUlNGRWdDb1lwS1NrczcwKy8xakpSM3orLzJ2bkx6ZDQvSDhaSXhwcXVOM21vOVpheWNjT0hCZ2N0RkgrNHVUbUpoNHJhUTIxdHFueXVvTG9PS1E0d0FBVkczTVVRSUFWVWhpWW1JSHY5Ly9oVEdtdVRIbXpuWHIxdTBzcHRzL0piMHM2Yi9HbUVQR21Ba05Helo4bzB1WExnMUxHenN3RWFUWDUvUE5xTGd6QUZBYWNod0FnS3FQSjBvQW9JcHd1OTIzV1d0Zk1NWTQvWDcvN1dscGFYT0s2NWVhbWpyMnhNL3g4ZkhSalJvMW1tU011ZHZsY2tuUy94UzNqOGZqNldxTXVWalN2OVBUMHpNcjhEUUFsSUFjQndDZ2V1Q0pFZ0FJUDVmSDQzblo0WEM4WW96NW9hQ2dvSHRKRjFBbjI3cDFhMTVLU3Nwb1NkdU5NZGQ3UEo0bUpYUWRxdU4zbkY4djE4Z0JuQXB5SEFDQWFvUkNDUUNFbHlNeE1YRytNZWFQa21ZY09uU29XMFpHUnNacGp1R1h0REh3YzZ2aWpoRzRDNTJUazVPenBCeGlCbkRxeUhFQUFLb1pYcjBCZ0RCS1RFeThTOUpBYSswVHFhbXBmLzJGd3hocjdYbVNiRUZCd1k2VE4zbzhubDdHbU9iVzJqZTNiTmxTNWxLa0FNb1BPUTRBUVBYREV5VUFFRjUzV212ejgvUHpKNVRWMGVQeFhOcTFhOWRlSnpVNzNXNzNCR1BNT2NhWWo3NzU1cHM5eGV4NnBZNC9rcytkWnFEeWtlTUFBRlF6UEZFQ0FHSFNybDI3ZXBKYVN6b1NGUlUxMytQeEZOdlA3L2VQV0xkdTNVNXI3VGxPcC9ObGo4ZXp6aGlUSWluU1d0dmRHTlBXV3J2VjRYQU1LK0ZRRndUR1dWdVI1d01nR0RrT0FFRDFSS0VFQU1Ja09qbzZUcEtNTVhVbFhWdFNQNWZMTlViSEw0SVdPeHlPYWNhWXk2MjFnNHd4TGtuZlMzclNXdnYzNU9UazdHSjJkeGhqa2lUbHBxZW5ieXhtTzRBS1FvNERBRkE5VVNnQmdEQlp0MjdkVGtubVZQc0hsdnk4NXpRUDQwOUpTWWs3L2VnQS9GcmtPQUFBMVJOemxBQUFBQUFBQUFSUUtBRUFvSnF4MW1yNzl1M2xNdGIzMzMrdlJZc1dLUzh2cjF6R0F3QUFxTzRvbEFBQVVNM01talZMTjkxMGszNzQ0WWRmUGRaWFgzMmw4ZVBINi9EaHcrVVNHd0FBUUhWSG9RUUFVS0hpNCtPakV4SVNPdk9kVTM1dXV1a21OV3pZVUU4KytXUzRRd0VBQUtoeG1Nd1ZBRkNoNHVMaUdqdWR6dVVlaitkN2ErM3IxdG9QakRGNzA5TFNjaVQ1d2gxZlZUVjkrblRObVRPbjFENjdkKzlXVWxKU2lkdG56SmloQ3k2NDRGZkZrWnVicTVpWW1GODFCZ0FBUUhWQ29RUUFVT0dNTVE1SlNaSVNIUTdIZUd0dGlzZmpXV1dNV1cyTStUbzVPWGwzdUdPc2l1cldyYXRKa3lhRnRQdDhQam1kenFDMnc0Y1BLelkyTnFpdFhidDJwM3lzVmF0VzZhcXJyZ3BxbXpWcmxwWXNXYUlaTTJhb1NaTW1weDAvQUFCQWRVU2hCQUJRYVl3eFJsS2NNYWF2dGJhUHRmYWdwTDBlajJlMXBIbjUrZm1mYk5pdzRWaTQ0NndxWEM2WGV2YnNxYXlzTEwzNDRvdTY1WlpiRkI4ZnIzSGp4bW5QbmoyYU5XdVdKT21ubjM3U0RUZmNvUDc5Kyt1dXUrNVN2WHIxQ3NmNDhzc3Z0WDc5K3BDeGpURWFQbng0NGVlMzMzNDdxRkN5WU1FQ3padzVVNjFidDViRHdWdFRBQUNnOXFCUUFnQ29OTmJhb2g4ZGtocEthbWlNYVNmcDFxaW9xSjBlaitjdG44LzM3MlBIam0xMk9CdzVGRTZrOTk5L1h4OTg4SUZHakJnaFNmcnV1Ky9VdG0zYnd1M05talhUMkxGajlkUlRUK256enovWDdObXpkZFpaWjBtU1ZxOWVyZi84NXo5QjQzbTlYbGxyZ3dvbDZlbnB5c2pJVUpjdVhiUnc0VUk5K2VTVGF0dTJyV2JPbkttR0RSdFcycmtDQUFDRUc0VVNBRFZPNTg2ZHozSzVYT2VHT3c0VWFtS3RkUjUvbU9UNGt3dzZxV2hTNU9jV3hwalJUcWR6UkowNmRUWklXdE8xYTlkdi9INy9aeGtaR2QrRUkvaXE0TjEzMzFXL2Z2M2s4L20wWjg4ZWJkdTJUYjE3OTFaV1ZsWmhuNlNrSk0yWU1VTkxseTVWVEV5TXNyS3lkTVlaWjJqMDZORWFQWHAwMEhnalI0NVVUazVPVUZ1OWV2WDA4c3N2S3lrcFNkT25UNWZiN2RiVXFWTlZ2Mzc5U2p2UGNMTitxeWlYYVpXUWtIQmh1R05CcmRkUlVrUzRnd0NBMm9wQ0NZQWF4ZTEyeHh0ai9tV01hUi91V0hDY3RkWWhLV1EyMEJNRmsyTDZTMUtVSkkrMTF1MTBPdk1kRHNjZXQ5dTk2WmhmNlVlUDJlSjNyS0YyN3R5cDdkdTNhL3YyN1ZxOGVIRmgrNXc1YzBxYzdQVzExMTZUSkgzMjJXZEJyK0ZJVW5aMnRsYXZYcTA3Nzd3enFQM1dXMi9WakJrejlOVlhYNmwvLy80YVAzNjhJaU1qSytTY3Fpb2pLZHBsL3VCME9GdUhPeGJVYnNhWWFFa05KT1djUW5jQVFEbWpVQUtncG9rM3hyUzMxamFWZEVTU045d0IxWGJHR0dQdDZSYzNpanhsNGpMR3hFcHE1cERkb2xwVUpqSEdxRW1USm9XRkQwbWFOMitlUHZua0U3MzAwa3NoRTdxZXJFNmRPaUZ0SDM3NG9YdytueTY3N0xLZzlxdXZ2bHJ2dmZlZURoNDhxRWNlZWFUV0ZVa2t5VGlNSEViMWpESE53aDBMSUtuQUdITkkwdDV3QndJQXRRMkZFZ0ExMVJGcjdWOGxwWVU3a05yT1d0dkVHUE12U1hWUGFwZUtlYklrOE5scnJkMWlyVjFyclYzbjkvdVhwNmVuSjhlM2QvZVNNZGRYNmdtRVNXNXVycUtqb3hVWkdhbU9IVHNXdG1ka1pNamo4U2crUHI3RWZXTmlZdVJ5aFg3RjUrZm42NVZYWGxHZlBuMTA1cGxuQm0xek9wMGFQWHEwUm8wYXBhbFRwMnJjdUhIbGZFWlZuOTl2bFh2TS9yTnV0SE5ydUdNQmRIeUZxejNyMXEzN050eHhBRUJ0UTZFRVFFM2xsWlNXbHBiMldiZ0RxZTBTRWhKYXVsd3UzNG5QSjAzb0tnWFBXM0xBV3Z1KzErdjlqekVtUFQ4L1AydlRwazIxOHRIejNOemNrT1YrTjI3Y3FCMDdkbWpIamgzcTI3ZHZpZnRPbmp4Wi9mcjFDMmwvKysyM2xaV1ZwU0ZEaGhTN1g1OCtmVFJnd0FBdFdMQkFicmM3WkxuZ21zNDRqUEw5K25aVFNncC9id0FBVUl0UktBRUFWRGhyclMxbU1sZHJqRGtxNlpEZjc4K1FOR2Z2M3IzdjdOcTE2MmlZdzYwU0RoNDhHRklvZWZYVlZ4VWJHNnY4L0h3Tkd6Wk12WHIxQ3RyKzhzc3ZhODJhTmVyU3BVdkllSm1abVpvNWM2WjY5T2hSN1BZVDdydnZQaVVuSit2eHh4OVhreVpOMUwxNzkzSThLd0FBZ0tyUEVlNEFBQUExbndsVVJ3TC95WkgwaGFTcGtvWmFhM3VrcGFWZG5wYVdOcGNpeWYvWnVuV3J6ajc3N01MUFAvNzRvejc2NkNQZGZQUE51dlhXV3pWLy9ueWRlZWFaYXRldW5kcTFhNmZzN0d3dFc3Wk05OTU3cnhvM2JodzBsdC92MXlPUFBDSnJyY2FNR1ZQcWNldldyYXZwMDZlcmJ0MjZHalZxbEZhc1dGRmg1d2dBQUZBVlVTZ0JBRlE0YTYzZldwdHVyWDNFNS9OZGxwZVhkNFBENFhnb0pTWGxyZFRVMUczaGpxK3F5Yy9QMTg2ZE8zWHV1Y2RYdWJiV2F2TGt5YXBYcjU1dXZQRkdEUjA2VkRFeE1icjc3cnQxK1BCaHBhV2w2WUVISHRBVlYxeWhBUU1HaEl3M2RlcFVyVnUzVGlOR2pGRExsaTNMUEg1OGZMeWVmZlpaV1dzMWF0UW9MVml3b0VMT0V3QUFvQ3JpMVJzQVFJWGF2My8vdmlaTm12Uk5UVTNOa09RUGR6elZ3ZXJWcStYeitkU3BVeWRKMHZ6NTg3Vnk1VXFOR3pkT2NYRnhrcVNaTTJkcXlKQWhHakpraUhidTNLaytmZnBvL1BqeElXUE5uVHRYOCtiTlU5KytmWFhqalRlZWNnd0pDUWw2NFlVWE5IcjBhRTJjT0ZGYnQyN1Y2TkdqeS9Fc0FRQUFxaWFlS0FFQVZLak16TXpjMU5UVWRSUkpUdDNISDMrc3hvMGJxMnZYcmxxN2RxMmVmZlpaOWV6WlV3TUhEaXpzYytEQUFiVm84Zi9adS9QNHFLcjcvK1B2YzJleUVhQ3lDUW90c2FKQWdHVHV4SDNIV2x0M3JWdHJjYWwxcWNXQ29sQnh4MTlWVkxRSXFGQ1FSUlNyVlZ1TFZjQmQ2NEo4TXpOSklFaEJSVVIyMlpjc00vZjgvc2hOekFwaG5RUmZ6OGVEQjh5OTU5NDVOMkZ5Sis4NTUzTTY2NHN2dmxCSlNZbTZkT21pVFp0cTFyMjExdXJqano5V3o1NDlkZi85OTh0eDZ0NzJWNjJxV0hrMEl5T2p6ajdYZFRWNThtVDE3dDFiRjE1NDRWNjVWZ0FBZ0thR0VTVUFBRFFoMzN6empXYk1tS0ZMTHJsRUN4WXMwRTAzM2FTT0hUdnEvdnZ2MS9yMTYvWFJSeC9walRmZTBLZWZmcXJldlh2cnFhZWUwbWVmZmFhcFU2ZnF1ZWVlMCttbm42NWpqamxHUng1NXBOcTFhNmRISDMxVVc3ZHVWWHA2dWlRcEdvM3F4UmRmVk11V0xiVjU4MmE5ODg0N3lzcktVbVptWnIzOTZkcTFxNlpNbWJLUHZ3b0FBQURKUTFBQ0FFQVRVbFJVcE5UVVZGMTExVlVLQkFJNjRvZ2pOSFRvVU0yWU1VTVBQL3l3SkNrY0R1dWhoeDdTYWFlZEprazY2cWlqZE9tbGwycmF0R2w2N2JYWE5IMzZkTFZ2MzE0dnYveXlXclpzcWJTMHRDSEZndlFBQUNBQVNVUkJWS3J6WjJabWF0YXNXWktrbEpRVUhYYllZYnI5OXR1VGRMVUFBQUJORDBFSkFBQk55SmxubnFtdVhidXFYYnQya3FTUkkwZEtrczQvLzN4WmEzWEtLYWVvWThlT2RZN3IwS0dEQmc0Y3FCdHZ2RkdGaFlWS1MwdXJzN3l3SkIxKytPSEt6OC9mQjFjQ0FBRFFQQkdVQUFEUXhGUVdjYTB1TlRWVmwxNTY2UTZQRFFRQ2NsMTNML1VNQUFCZy8wY3hWd0FBQUFBQUFCOUJDUUFBQUFBQWdJK2dCQUFBQUFBQXdFZFFBZ0FBQUFBQTRDTW9BUUFBQUFBQThCR1VBQUFBQUFBQStBaEtBQUFBQUFBQWZBUWxBQUFBQUFBQVBvSVNBQUFBQUFBQUgwRUpBQUFBQUFDQWo2QUVBQUFBQUFEQVIxQUNBQUFBQUFEZ0l5Z0JBQUFBQUFEd0VaUUFBQUFBQUFENENFb0FBQUFBQUFCOEJDVUFBQUFBQUFDK1lMSTdBQURBemtyRUV5cWV2eURaM2NCK29uaitBcFdYbHllN0d3QUFvSWtnS0FFQU5EdmJTa28wK3FtL0tTVWxKZGxkd1g2Z3ZMeGNHemR0U25ZM0FBQkFFMEZRQWdCb05zcXN0enpWbU9XZXRlbnJOMjVNZG5ld3Y3RjJaWm0xeTVQZERRQUFrRndFSlFDQVptUFpnc0tGUCtuV3E1OFRURGt3MlgzQi9pZGg3SnBsbnhjdVRIWS9BQUJBY2hHVUFBQ2FFMi9Kb25uRmtvcVQzUkVBQUFEc24xajFCZ0FBQUFBQXdFZFFBZ0FBQUFBQTRDTW9BUUFBQUFBQThCR1VBQUFBQUFBQStBaEtBQUFBQUFBQWZBUWxBQUFBQUFBQVBvSVNBQUFBQUFBQUgwRUpBQUFBQUFDQWo2QUVBQUFBQUFEQVIxQUNBQUFBQUFEZ0l5Z0JBQUFBQUFEd0VaUUFBQUFBQUFENENFb0FBQUFBQUFCOEJDVUFBQUFBQUFBK2doSUFBQUFBQUFBZlFRa0FBQUFBQUlDUG9BUUFBQUFBQU1CSFVBSUFBQUFBQU9BaktBRUFBQUFBQVBBUmxBQUFBQUFBQVBnSVNnQUFBQUFBQUh3RUpRQUFBQUFBQUQ2Q0VnQUFBQUFBQUI5QkNRQUFBQUFBZ0krZ0JBQUFBQUFBd0VkUUFnQUFBQUFBNENNb0FRQUFBQUFBOEJHVUFBQUFBQUFBK0FoS0FBQUFBQUFBZkFRbEFBQUFBQUFBUG9JU0FBQUFBQUFBSDBFSkFBQUFBQUNBajZBRUFBQUFBQURBUjFBQ0FBQUFBQURnSXlnQkFBQUFBQUR3RVpRQUFBQUFBQUQ0Q0VvQUFBQUFBQUI4QkNVQUFBQUFBQUErZ2hJQUFBQUFBQUFmUVFrQUFBQUFBSUNQb0FRQUFBQUFBTUJIVUFJQUFBQUFBT0FqS0FFQUFBQUFBUEFSbEFBQUFBQUFBUGdJU2dBQUFBQUFBSHdFSlFBQUFBQUFBRDZDRWdBQUFBQUFBQjlCQ1FBQUFBQUFnSStnQkFBQUFBQUF3RWRRQWdBQUFBQUE0Q01vQVFBQUFBQUE4QkdVQUFBQUFBQUErQWhLQUFBQUFBQUFmQVFsQUFBQUFBQUFQb0lTQUFBQUFBQUFYekRaSGRpUmd3L3QvZVBVbE9DaHllNEg5aitscGFWZkxmOXEvdGZKN2dlQW5jTjlBWHNMOXdVQUFLQ21IcFIwN3BiVEpTVm9ucEd4UFpMZEYreC8wdEpUbDJSbGhTNWR2RGkyT05sOUFkQTRXVm1oTEtYWVNkd1hzRGR3WHdBQUFHcnFRVW1LMUVWR1BZeE1wNHlNREFXRGdXUjNDZnVCUkR5aGJTVWw4cXhOVjdxeUpQR0dHR2d1MHBWVmVWOW9rWkdoQVBjRjdBSGNGd0FBUUhWTk9paXAxQ0lqUXpmZWNKMUNPYjJUM1JYc0I0cm5MOURvcC82bTlSczNKcnNyQUhaUmk0d01EUnJRWDlrOXV5ZTdLOWdQY0Y4QUFBRFZOWXVnSkJBTXFHZjN3M1RNVVVja3V5dllUNlNrcENTN0N3QjJReUFZVUhiUDd0d1hzTWR3WHdBQUFKVlk5UVlBQUFBQUFNQkhVQUlBQUFBQUFPQWpLQUVBQUFBQUFQQVJsQUFBQUFBQUFQZ0lTZ0FBQUFBQUFId0VKUUFBQUFBQUFENkNFZ0FBQUFBQUFGOHcyUjBBc0d0Q29WQ1dNV2FCTVNZMUhvLy91TEN3Y0drOXpVd29GUHE5NHppL2w5UkxVc0JhdTlqenZKc0xDZ3BtYmVlOGt5VjlHbzFHYjl2N1Y0TGF3dUh3VFpMK3VvTm0zMFVpa2ZZTjdReUZRcGM1anZPY3BDOGlrVWkzUGQ5TEFBQUFZUDlFVUFJMFU0N2ovRVZTYWtQN3M3T3pVOVBUMDErV2RMYTFkcGt4NWxWcnJXZU02V09NNlNtcFJsRGl1dTdCa2dZWlkvcExTcmZXZnJwUExnUjFlSjYzMEJqemNuMzdqREZ0SkowcXFiQ2g0N096czFPTk1YL1pxNTBFQUFBQTlsTUVKVUF6RkE2SDg2eTFseGxqRXBJQzliVkpUMC8vcXgrU2pDc3RMUjFRWEZ4Y1Zya3ZMeTh2cGRiNVJrcnE3LzlNeUplVXR5K3VBL1dMeFdML2tmU2YrdmI1MzZ0VFBjKzdxNkhqMDlMU2JwU1U1UWRqZTdXdkFBQUF3UDZHR2lWQTh4T1E5RGRqekFKSmI5ZlhJQ2NucDdlMTlnK1NQb3hHb3pkVUQwa2tLVDgvdjd6NlkydHR0clgyUFVrbldXdUg3KzBMd0s3cDNidjNqNjIxZjdEV3ZoNkx4VDVxcUkya1laSW1TZHEyNzNzSkFBQUFORzhFSlVBejQ3cnVUWkxDMXRvL1NTcXZyNDNqT0ZjYlk1eEVJdkVYU1haSDUwd2tFaGRFbzlHZlJ5S1JEL2RLcDdGSHBLU2szQ01wMWZPOE83ZlQ1Z24vL3dYMVpRQUFBSUJkd05RYm9Ca0poVUtIK2FNRi9oR05SdC95aTM3VzRUak96NjIxcGNGZzhOMXdPSnpqVDhGcFphMHQycng1ODh1TEZpMHFyZDYrc0xCd3l6NjdDT3lTUG4zNi9OUVljNldrMXdzS0NxTDF0UW1GUXBjWlk4N3hQSzkvTEJaYjdicnV2dThvQUFBQTBNd3hvZ1JvSnZMeThsS01NZE1rbGNmajhVSGJhUnFVMU1NWTg1WG5lWCt3MXNZazNXK011YzF4bk9kYXQyNWRrSmVYOTVOOTJIWHNBY0ZnY0tDa1lDS1JHRlhmZnRkMXV6cU84NlNrMmJGWWJPeSs3eUVBQUFDd2Z5QW9BWm9Kei9QdU04WWNZYTI5c1lHbGdLV0tRT1VBUHl6cElPblAxdHBmYmR5NDhVZUpSS0s3cEg5SzZ1NTUzalA3dHZmWUhkMjdkMjlsalBtZHBNOExDZ3JlcktkSndCanpyS1NVUkNKeGhTUXZDZDBFQUFBQTlndE12UUdhZ1ZBb2RKNmtQMHQ2TmhhTFBiZTl0dVhsNWVuQllGQ1MyaGxqZmhtTlJtZjZ1eloyNjlidE42MWJ0MTVvakRrNUp5ZW5lMkZoNFlKOWNnSFlMUmtaR1ZkTGF1VjUzdWo2YXM2RVFxRkhKSjFncmIybW9LRGdmOG5wSlFBQUFMQi9ZRVFKME1TNXJwdnRPTTVVU1ovSDQvRS83S2k5NHppYlZiR1N6WlpJSkRLcityNUZpeGFWV212ZlZjVlVqdXk5Mkczc1FZN2ovRjVTdkx5OC9PKzE5N211ZTduak9EZGJhNStKUnFOUEo2ZUhBQUFBd1A2REVTVkEwL2NuU2EyTU1UMkR3ZURtY0RoY3AwRXdHUHdtSEE3TDg3d0xZckhZdjF6WFhXdU1hVkhmeVl3eG15ci91YmM3anQyWGs1UFRYVklmYSsyYjgrYk5XMXQ3dnpIbWR2L3ZLOExoOEJYMW5PTFFjRGhzVlRGOXEwMHNGbHUvTC9vTkFBQUFORmVNS05rSGxpOWZycUZEaCtxYmI3N1pZZHV5c2pJTkhUcFVuM3p5eVM0LzM2cFZxN1I4K2ZKZFBsNlN2dnZ1T3kxYnRremJ0bTNicmZOSTB2cjE2L1h2Zi85YjMzNzc3VzZmNjRmSUdQT2VwQ2ZxKzJPdFhldzNteXpwQ2NkeHZ2UWYvMWRTZWs1T3psRzF6MmV0clZ3S1pmNit1d3JzcWtBZ2NLa3EvaCs4WE45K2ErMXpEZjMvOEpjSjNsRDVlTTJhTmFYMW5RUE5qN1ZXUzVZczJhUG5qTWZqV3JSbzBSNzV1UThrVzI1dTd1Rk40UU1CMTNYSGgwS2hheHJhSHc2SEo3cXVlOHUrN1pVa0tkQVV2ajRBMEZReG9xUWVpVVJDMXRZcEE5Qm94aGdGQW9HcXh4czNidFNzV2JOMDJXV1g2Y2MvL3ZGMmo0M0g0NW8xYTVaQ29aQ09QZmJZR3Z2R2pSdW5jRGlzSTQ4OGNydm5HRDU4dUZhdFdxVm5uMzEybC9yLzBVY2ZhZENnUVlySDQ1bzBhWkp5Y25KMjZUeVZsaTFicG1IRGh1bUJCeDVRNTg2ZGQrdGNQMFNSU09RRlNTL1V0eThjRG1kSnlvckg0M2RWTC9CcXJSMW5qRGszR0F5T3lNcksrdm5peFl0TC9QYjlKQjFuclowVGpVWUpTcG9CWTh5WnFoZ05Nck8rL2RGbzlDOE5IZXU2N2xYR21EV1JTT1RHdmRsSDdIc1RKa3pRNU1tVE5YWHFWUDMwcHovZGJ0dXRXN2ZxOGNjZjF6WFhYS01PSFRvMDJHN1ZxbFc2OU5KTE5XN2NPQjF4eEJGN29kZkF2aEVPaHkrMTFrNExoVUlQeG1LeE94dHpqT3U2SFNUOVE5TFFhRFQ2U2JYdDQ2MjFtMkt4MkNCVjFJUTZ4WEdjOU5ySFcydkxvOUhvMjlXM1pXZG5kNUwwZThkeGdwSW1OUERVNTBwcTNWQy9zck96VTlQUzB2NHA2WU5vTlBwUTVmYTh2THdVU1Q5cXpMVnQyTEJoMDZKRmkyb0U1YTdybm0rTWVjWmFlMFkwR3YyZzlqRjVlWG50cmJXckpRMkxSQ0wzTm5SdTEzVTdXR3N6RzlPUDJnS0JnSmVmbjc5bkUxOEEyRU1JU3VyeHExLzlTa3VYTnJpb3lBNzE3TmxUbzBhTjBzeVpNL1diMy95bXhqNXJyYVpObTZhZi9leG42dFNwazU1NTVobWRlKzY1T3VDQUE3Wjd6aTFidHVpRER6N1FoQWtUZE9PTk4rcktLNi9jNWY1dFR5UVMwZURCZzVXVGt5TnJyVzY5OVZaTm1EQkJQL2tKcThrMko3Rlk3SFhYZGFjWVk2NXMwNmJOL0RadDJyeGpqTW1TZEtxMWRxM25lYjlMZGgrM3gzWGREcDdudGZtaEZ5Yk56czVPdGRhR2pESGZ4V0t4eFkwNHBFbkt5c3BLYjkyNmRiZkN3c0ppVnVUWk0zN3ptOS9vMVZkZjFRTVBQS0FKRXhyNi9hdkMxMTkvclprelorcWRkOTdSbzQ4K3FweWNIRzNidGsybHBUVUhHRzNjdUZHU3RIbnpacTFmWDNPR1ZqQVlWTXVXTGZmQ2xhQ3B5OHJLU20vWnN1VWhjK2ZPWGRCY1hyOGJOMjc4VjZ0V3JRb2R4N2tsSnlkbmFtTUtseWNTaWJSZ01IaXlwSGExZGgxaWpLbDZRZmdyak5YNTFNY1lzMEZTalRkemFXbHBaeHBqaktRWnUzb3R4Y1hGWmE3cnJqYkczSitibS90WlFVSEJ1NnA0UC9rTFNkTWJjNDdXclZ0ZkxxbkdwMmZXMnVPTk1XbU80eFRzYXQ5VWNkMmpqVEhuV1dzM1ZOdldYdElXYTIzbDhEVEhHTk5CMGhwcmJjSnZrKzUvS0xuOU44QUFrQ1FFSlEzbzJiT25Mcm5ra2pyYmx5MWJwdkhqeCtzWHYvaUZqam5tbUhxUGJkT21qZGF2WDY4UkkwWW9GQXJKY2I2ZjRWUlVWS1RISG50TWh4OSt1SUxCb0taT25hcVhYbnBKSTBlTzNPNm5ncG1abVpvd1lZS0dEaDJxVWFORzZjc3Z2OVN3WWNQMjBOVldtRFZybHU2NTV4NzE2TkZEanovK3VNckx5M1hWVlZmcDJtdXYxVU1QUGFSUUtMUmI1MjlvbE03V3JWdlZva1c5NVRTd0c2TFI2Ty9ENFhCTTBuV1MrbGxyTnhoam5vdkg0M2NYRlJWOTJZaFRKSTIxdGxjZ0VIamVkZDIxa3A2MjFrNlh0RG9XaTIyU2xFaDIvL2FWMU5UVVhHTk1tcVQzazkyWDNkRzZkZXYyZ1VEZ1E5ZDF2N0RXUG11dGZkMFlzK3FIOXYzY1dhTkdqZEtVS1ZPMjIyYjU4dVhLeTh0cmNQK1RUejZwbzQ4K1dwTW1UZElmLy9oSFhYZmRkWHJzc2NmMDdydnY2cFZYWHFuM21GdHVxVHNMNE1namo5VFlzV04zNFNyUTNMVnUzYnA5TUJqOHhIWGRSZGJhWngzSGVjM3p2RFhKZnYyR3crRWgxdHE3dDlNa1JaSVRDQVR5WGRldHQ0RXg1cUpJSkRJakZBb2RMeWxYRmFQM1RuUmR0MlcxTmgwbHRYUmQ5OWZidG0xN1V4WDNxQUhXMnFtVmJSekh1VW5TVGZXYy8xSnJyVmRXVmxiZnN1Nk5WbHBhZW1ONmV2b0pqdVA4UFNjbko2K3dzSEJwUEI2UE9ZN1RxQTg5RW9uRXgvWDA3UVJyYlNRU2lXeW8vNmlkOG1vMEd2MTE1WU53T0x6SVdqc2lHbzJPVlVXdHJTN0JZUEFiU2NkR285RkYrbjZFNjVnOThOd0FzRmNRbERUZ29JTU8wcm5ubmx0bis4aVJJNVdlbnE0aFE0YnNjQlRJb1ljZXFuLzk2MS82MWE5K1ZiWHR6VGZmVk1lT0hYWEVFVWZJR0tObm5ubEdBd2NPMUZWWFhhV0hIbnBJdWJtNURaNHZJeU5ESTBhTTBIMzMzYWZjM0Z4OTlkVlg2dGV2WDUxMlpXVmxzdGJxK09PUHI3UHZzY2NlMDlGSEgxMWpXeUtSMFBqeDR6VisvSGdkZSt5eHV1MjIyelJuemh5ZGZQTEpHamR1bkFZT0hLanJyNzllZi9yVG4vU2IzL3lteHJTaW5URjc5bXo5OHBlL3JMRnR6cHc1dXUyMjIvVElJNCtvdmlLbDJMNUlKSEwyZG5ZbklwSElTRWtqZCthYzBXajBwYVl5YjlrWWt5M3BVVW4zR1dQeVE2SFFwOGFZejBwTFMrY1VGeGQvVTk5U3VmdVRXQ3cyWjNlK0Y5Rm90TWtNQVRER09KTHlKSVVkeHhsbXJZMjRyanZiR1BPWk1lYVQvUHo4M1N1c3RKL0t6TXpVOE9IRDYyeFBKQkoxZmhadjNyeTV6cWlQN3QyN1M1SU9PZVFRVFpvMFNTTkhqbFNmUG4zVXMyZFBYWEhGOTdWLzMzampEVDM5OU5PS3grTUtCb1A2L2U5L3J6UE9PS05xZjNwNm5aa0crR0Z4akRGNWtzTFcybnVNTVRIWGRXZGJhejhOQkFLemsvSDZ0ZGFtR21NeXJiVkR0OU9tM3UzR21NTWwvYTd5ZmJEak9IK1E5Q3YvM3dNcVJ6MzRLdi96VDBoUFQrL3JuM2RiOWNMWXJ1dVdWQXdjK1Y1T1RrNFhhKzFwa2t4cWF1cVMybUdONTNrbkZoUVVSQnR6cmNYRnhadHpjbkorR3d3Ry94c0lCQjZRZElVLzNYWnlZNDZ2clhmdjNoMGw1UmxqWGcrSHd6WGVSeVFTaWE4S0Nncm03ZVFwVHd1SHc1OVdQckRXZHBFMEpCd09YK1Z2U3ZXMy95TWNEbGNPWld1L0szMEhnSDJGb0dRSDVzMmJwK3V1dTY3cWNlVlE1YlBPT3F2ZTltUEdqRkhsemZCblAvdVpwazJicHJQUHJyZ0h4ZU54elpneFF4ZGVlS0VxYjZnSEhYU1FKa3lZb0FFREJtalRwazMxbnJPNllEQ28rKzY3VDZwWTZsVWxKU1c2NElJTGROaGhoMVcxK2VjLy82bE5temJWZUJPOFlzVUtQZlBNTTBva2FuNzRzM2p4WXQxOTk5MmFOMitlTHJua0V0MTY2NjE2L3ZubjlmampqMnZFaUJFNitlU1ROWEhpUk4xMTExMzY2MS8vcXRkZWUwMjMzbnByamZuclgzNzVwZDU4cy80UFM4NDc3N3lxZjgrYU5VdTMzSEpMMVJ2NStmUG5hOUNnUVhWcXVnQzFHV015Sloza09NN3gxdHFONmVucHExelgvY3hhKzBJc0Zwc3BLWjdzUHFKeC9HSG9yWTB4cDFoclQvS0hhNjl5WGZjelNjK1hscGErWFZ4Y1hKYnNmallWd1dCUXh4MTNuTmFzV2FPeFk4ZXFYNzkreXNySzBoMTMzS0dWSzFkV1RidFpzV0tGTHIzMFVwMSsrdWthTUdDQVdyVnFWZWRjblRwMXFoRzZ0R25UUmx1MmJOSHc0Y1AxM252djZjNDc3OVM5OTk2cklVT0dhUHo0OGZyMjIyODFjT0JBdFczYmRwOWVNNW9lYTYweHhsUytmZytRZElxMTlpUmp6SHByN1dyLzUvSFVzckt5OS9mMTZ6Y2FqZFpORW5jZ0hBNy8wZzlLcElvUEhTN1B5Y2taNm85NnVEZ2FqYjVXdWM5MTNiY2tyWTlHb3hmNWp4djFISUZBNEhmR0dNZGFPMEhTMTlWMkhXZU1PY1B6dkoyNmJ4VVdGczRPaDhQbnJGNjllcmRIR0FhRHdYUDg4UHBzLzAvMWZqOGhhV2ZyV2hWNm5uZGY3WTNHbUY2U1VqelBpMVZ1cXd5dkhNZjV1YVQrdTM0VkFMQjNFWlRzZ09kNUtpa3AwWUFCQTdaYnAyUEZpaFVhTVdKRWpTRGkxRk5QMVp3NWM2cm1laTlkdWxTZTUrbjg4OCt2Y1d6cjFxMDFZY0lFQllOQmJkMjZ0ZDd6Ly9XdmYxVm1acWF1dWVhYUdsTjVKT240NDQ5WDM3NTlxeDdQbmoyN3FpaGZwZUxpWWozenpETlZqemR1M0tqSmt5ZnIrZWVmVjBaR2hvWVBINjZmLy96bmtxVGYvdmEzS2l3czFOMTMzNjNwMDZlcmRldldHakZpaE41NDR3Mk5HREZDMTE5L3ZVS2hrQzY5OUZLZGV1cXArdnJycjJ1Y3UvTHJWbFpXcHFPUFBscXBxYW1TcEpLU0VyMzAwa3U2NnFxck5HL2VQUDNwVDMrUzR6aDY0b2tuMUx0Mzd4MThKL0JEWW95cDhURmd0VThGQTVMYVdHdmJHR082RzJNdWQxMzNPMnZ0VkdQTWM0N2pMQzRyS3d2V2ZvMmc2YWoxQ2E4anFZMmtOc2FZN3BJdVQwdEwrOVoxM1JjU2ljUS95c3JLRmpxT3M0bmdSSHJ0dGRmMCt1dXZxMy8vaXQ4ci92ZS8vOVVJeUR0MTZxVGJiNzlkRHo3NG9ONS8vMzA5L2ZUVFZjWERuMzc2YVIxNzdMSEt6czZ1YXI5dDJ6YTk4c29ybWpwMXF0TFQwelZ4NGtSbFpsYlVZK3phdGF1bVRwMnFQLy81enpybm5ITjA3cm5uNnB4enpsSFBuajFWKzFOei9EQlUva3l1NS9YYlZsTGJ5cC9IbGE5ZmErM2ZTMHBLdnR5YnIxOXJiWkV4NXJsZFBIYTVNZWFGUkNKUlp6aythMjJYdkx5OEhwV1BQYzlySWFsRzBSNWp6QW0xcGlQWHFMTGZwVXVYREQ5cytESWFqZjZoK2hRbDEzV2Z0TmJhMU5UVUw2b2ZrNXViZTBsQlFjRkwyNnNERTRsRVpsU2V2MzM3OW1rN2M4MmJOMi9lVmxuUTFSaHppYVFWeHBpcU40K2U1NlVaWTJMVzJuWFZqL004THhnS2hhNk14V0xQMXA1cWxaMmQzU21SU0R5a2lxL2I2dHJQNlkvT2FlTjUza3UxOTNtZXQ5eHhuUC9rNU9SMEtTd3NYTTQwVEFCTkRVRkpJNFhEWWZYcDA2ZkIvWXNXTGFxejdiREREdE9FQ1JPMFlFRkZEYkdzckN6Tm5EbFR3V0RGbDMzNTh1VXFLaXJTNmFlZlhyV3RQb2xFUWl0V3JOQmJiNzJsYURTcUJ4OThjSWZUZnJhbm9LQkFBd1lNME9iTm0zWDg4Y2ZybEZOT1VYcDZ1ajc4OE1PcU5xZWRkcG9PUC94d0ZSUjhYK09yWmN1V0dqdDJyRjU3N1RXOTlOSkx1dXV1dS9TVG4veEVmZnYyMVVjZmZWVGpPU1pObXFTeFk4ZXFXN2R1VlV0WXRtclZxbXFGaHR0dnYxMlptWmw2NnFtbnFvYUc3MnZ4OHJneTArd2Zjbk56QnlhbEEyaVE1M250QTRGQTFYOXlZMHlkSWRUV1d2bWZjTFl6eHR4a3JSM2dlZDY2UUNDd0taRkl0RFhHSkt5MTRkMnRyWU05b29PMU5sRDVTM2JsMzlXL3A5WCszZGtZTXlnUUNQUnYwYUpGc2FRNXVibTVjejNQZTYrb3FHaHVNanJmRkx6NjZxdnEyN2V2RW9tRVZxNWNxYSsvL2xvbm5uaWkxcXhaVTlVbUx5OVBUejc1cEdiTm1xV01qQXl0V2JOR2FXbHBtajU5dXY3MnQ3OXA4T0RCdXVpaWl6Uno1a3dOSHo1Y216WnQwc1VYWDZ3YmI3eFJtWm1aV3Jac1dkVzVPblRvb1BIangrdUZGMTdRdUhIajlPS0xMK3I2NjYrdk1jSnlmMlE5cTdTZzdjYlBqUm82VkgrLzJKalhyekhtankxYXRKZ3ZhVTRvRkNwTUpCSWYrSy9mUFRKZDBsK2hwbysxOW5QWGRSdTFxazF0MXRxNWp1UDBsVlJqK29zeDVxbnExK2JmZjJvdnovNXpZMHoxcGFGcVRDTTU4TUFEZnkvcFFFbDMxdzRBakRHdXRYWnhmbjUrOVUvR1Rnb0VBaGU2cnZ0MklwRzRyTEN3Y0ZWbDgxQW9WRlUweUhHY2trZ2tNdWJBQXc5OFpHZEhZN1JxMVdxb3BPRTVPVG1IU0RyTld2djNTQ1R5ZWVYK3ZMeThIdFphV1d0cnJJam5PTTVGa3JxSHcrRnJQTSs3dkhwaDhmVDA5Sm5XMmtPMzg3UnB4aGdUQ0FRK2I2aEJJQkJRbno1OWNwcDY3VFFBUHp3RUpRMm8vYW5aTGJmY29wU1VsQWJieCtNMVIxQysvdnJydXYvKys2VnFieUN1di83NnF2UCs1UzkvMGNxVksvWElJNC9vblhmZTBaMTMzdG5naWdLQlFFRERody9YazA4K3FZa1RKK3FhYTY3UkN5L1V1MXBzby9UczJWTW5uSENDTHI3NFlyVnIxNjdPQ0pmdGVlaWhoM1R6elRmcnlpdXYxTnk1YzlXalI0OTYyNzM1NXBzNjl0aGphMXpUWlpkZHB2SGp4K3ZtbTI5V3QyN2Q5UGpqajZ0VHAwNjdmQjI3SytoSUxWSlRML0pIS2FDSnFReENLbFgvZDMxdjBQMWh4TzBrdGF2MkMvbERmdVg5RXNkeDl1dDZKazJadGRhUmxGRjdlME9qRS96dmFab2sxMW9iQ2dRQ3BZN2pyQXlGUWd2S1BCVnVMYk0vcUdFTjMzNzdyWllzV2FJbFM1Wm94b3p2RjgrWU1tVktnOFZlcDA2dHFEUDUzbnZ2VlkwT2VmREJCL1hGRjErb1g3OStPdnJvbzNYRUVVZW9WYXRXK3U5Ly95djVvZnd0dDl5aUZTdFdhT2JNaXRXbzI3VnJwMkhEaG1uSmtpVzYrT0tMOThuMUpwT1JsSjdpWE80NHp1SEo3a3RUWWExMXJMVnB0Vit2TzNqOXB2dUJRTWh4bkZKanpNcFFLTFJBMHZQcjE2Ly8xK0xGaTlmWGUzQWpHV1BhVzJ0djIwR2JWRWtwMXRvdDIybTJSdEpqdGJiOXV2cHk3TWFZZjlWejd2c2lrY2k0eXNldTY5NG02VFpWMUFWcUpla09hKzJ5VFpzMlRmYi9XMWxWMUMzSmxKUnJqS245SnU0RHovTm1PSTd6WkNBUWlJWkNvVXRpc2RoSGZtMlllNnRkejFaSll4S0p4TjhkeDVsYnJUL1grdlZqN3ZLdnFRNXI3YWVxZUU5NXZUSEdXR3R6YSszUFZjWFBnYUphaC83ZG56bzB4bkdjQXRkMXI0NUdveStyWW9STHc0WDFLajVrZkZaUysyZzArc3Z0dFFPQXBvaWdwQjd4ZUx4T3pZeUxMcnBJWGJwMGFmQ1lsU3RYYXN5WTc0dDM1K2JtNnU2N0s0cXh2L3JxcTVvOWU3YXV2dnJxcXFIUTJkblo2dHUzcnc0KytHRGRkZGRkK3UxdmY2dFJvMGFwUTRjTzlaN2ZHS1ArL2Zzckt5dExMVnEwMksyYUhxbXBxVlVoanZ5cE90dXpkT2xTOWUvZlh3Y2NjRURWU2o5dDI3YlZTU2VkVkcvN2hRc1hhc0dDQmJyc3NzdHFiTy9hdGF2T091c3NUWjgrWFhmY2NVZFNReEtwWW5CcjVieHJORSsxQXhOL2hFblZkdjhYOU1vaWNnUWxTZUsvS2QvcEYxcTFiMW5RR05OU1VpZEhkbEhUS0RXOGJ4aGoxS0ZEaDZyZ1E1S2VmLzU1dmYzMjJ4bzNidHdPN3dXVjk0dFJvMGJwL3Z2djE1RkhIcW5PblR0citQRGhHanAwcU41Nzd6MGRlT0NCRFI2L1pzMGF1YTViNC82MnYzT01TYkhXVXIzV3R5ZGZ2NUphWldabTd2YmN5RWdrTWwvU2RvdFZ1NjQ3d2hoenk3cDE2OW92WHJ5NFpDZE92NlZXb2RZYW40UVpZd0xiR3htVG1abDV0NlJPMXRyZnRtclZxby9ydWxPc3RkZkZZckdQSE1lNVdGS0d0WFpXN2VOaXNkZ0UxM1gvWjR4NXhSanpydXU2dDBTajBkR1ZSYm5ENGZBWVNmMVVNVEw0djVMK3E0cjNtNTBkeHhscGpQbG5OQnI5aXlwR2h4d2thVTErZm41NTllZm8wNmRQRzJQTURaSytNOFprKzlOZWxxcmkrM1dLcE5YMWpkeUxSQ0tUY25OelAzTWM1eFZqekV1aFVPaXZzVmhzU0dWOU1OZDFCMG1xVTZQRUQ3eU42N3FiNjltM09ScU5Kdm1OSUFBMGpLQ2tIb2xFb3M3b2tXT1BQWGFIVTIrcXY1SHMzTG16T25mdXJOTFNVajM4OE1PU3BCLy8rTWZxM3IyN3NyS3lxdHFkZE5KSm1qSmxpcDU0NGdtMWI3L2pBdUQxRlpHOTk5NTc5Y0FERDFROTNyUnBrenpQcTZvNVVubE5EZG5ldEo5WUxLYkJnd2VyWThlT0dqTm1USU9qWHFvYk4yNmMyclp0VytQNUs5MXd3dzE2OTkxMzljQUREK2laWjU2cHFsK1NESEZKMjhyTC81RWVETzdVUEYvc0UrMERnY0FSMVZZYjJON3FCVlg3L2NLZ0c2MjFuYXkxQ1d2dDNZN2p6Tm5lOGRqN3JMVWRqREdUSkdYVzJpN1Y4OG0wL3podXJWMWtyZjAvYTIyQjUza2ZGaFlXNW1mMUNKMGdZMzZsSDRCdDI3WXBQVDFkcWFtcE5lcUxGQlVWeVhYZEd2ZVMyakl5TW1yOGJBOEdnN3Jubm52cXRPdmR1N2ZHangvZjRIa0dEUnFrc3JJZlRva1lLMmxyV1dKaWl4U243bnphSHlqLzlUdFpVb3RhMjZWR3ZINDl6NHRhYXo4cUxDek0zeHVGdDNOeWNqS0R3ZUMvSmYwdEVvbnMrbkRiNy8zRGRkMnFOMDNHbUhScmJkV29FbjhhWVhtRFIwdDlKYjBUaThXbTVlYm11b0ZBd0RIR3ZPKzY3cjNHbUY5STJwaElKUDVkMzRIUmFQU0RVQ2gwckRIbWRVbDM1ZVhsUForZm4xL3ZDSkZLanVQYzZZK29IQ0pKUFhyMGFPZDUzanhKZjZzYzVWSXBKU1hsajVKYUp4S0pYemlPODdMak9CZEtlbHhTd0Joem5yWDJ6WVpDb0lLQ2dubWhVT2hvU1M4YVkwN3MxcTFiWU5HaVJaWGZ6MVJKcXh6SE9hcStZMnYvSDdIVy90cGF1OU5GZUFGZ1h5SW9xY2ZXclZ1cml0cFYrdkRERC9YVlYxODFlTXpxMVhWcVdFbVMvdk9mLzJqTGxvcFJuNU1tVGRLR0RSczBhZEtrR3FNcHNyS3k5TWdqajBpUzFxMnJxS0cxYU5FaS9mT2YvOVR5NWN2VnQyOWY5ZXpaVS9KWHFXbmJ0cTFhdDI1ZGRmelBmLzd6UnE5NnM3UEt5OHQxeEJGSDZNNDc3Nnp6TmFuUC9Qbno5ZTY3NzJyQWdBRktTNnViUDNUczJGR0RCdy9XUGZmY28rSERoMWVOVEVGNzVRQUFJQUJKUkVGVXVrbUdZRXBRcFFtTlhUQXY5bDdTT29GNmhVS2hVeVE5NzM4Q1dXL0lVUzBnMld5dC9aZm5lUzlhYStkSjZoNE1CaWY2YjI3bnhHSjhmNU10SnllblN6QVlyUHJGWXdmZnozWFcydGZpOGZqTHhwakMwdExTTlFzV0xOanhrbUQ3b1czYnR0VUpwK2ZQbjY5dnZ2bEczM3p6alU0NTVaUUdqeDB4WWtTTkl0K1N0SDc5K2pyMXJkYXZYNjkzMzMyM3dmT3NXYk9teHYxbWYyY2NvN0tFV2ZRLzdndFZjbkp5dWdRQ2dhb0NvNDE1L1ZwclgvQThyM2hmdkg0RGdVQlBTYWRLZW5ZUG5mSXZrcW9QdFgyNCtrNS9TZUtMWE5mdFZXMWI5WURnRG1QTTE2b0lGNkpkdW5RSkgzamdnVThZWS82ZktyNUdZd29MQ3h1Y0RoU0x4UmJtNWVVZEc0L0hmeHFOUnJjYmt1VGs1UFEyeGx3ajZhK1JTR1NSSkgzKytlZmZ1YTc3bktUQjRYQjRWaVFTZWFleXZlZDV6eGxqZWhVVUZNeHlYWGU2UDJYbjhYQTRmS2FrZ3p6UHEzOHUzL2Q5V3kvcEROZDEyMVlXaHEzbVlHdnRqQVlPcmNGYTI2NHg3UUFnbVFoS2Fpa3RMZFdXTFZ1cTNoaW1wYVdwYTlldSt2ZS8vMTAxS2lPUlNHakRoZzFxMmJKbDFZZ0l4M0hVdFd0WHBhZW4xempYbENsVDlNdGYvbExUcDAvWExiZmNvakZqeHVpR0cyN1E2TkdqOWZiYmIydkZpaFZWZjFhdVhLa05HelpJa2w1NTVSWE5uRGxUQngxMGtISnp2NThDT25IaVJMMy8vdnMxNXFudnlxbzNsYTYvL25yTm5idmorb2lubjM1NjFiOFBPK3d3VFo0OHVVNmI4dkp5RFJzMlRBY2NjSUF1dXVpaUJzOTE5dGxuNjRNUFB0Q3JyNzZxZ3c0NlNOZGVlKzBPbng4L1RQVVUxUE1rbFJoak5saHJDeVU5dDNMbHlwZVhMVnRXVlJRdkZBcjlwTDdpcjBndVd6SFBUYXI1UzVVMXhteVZ0Tkh6dkNKSlUxYXRXdld2NnQvUEg3TEsrMHgxenp6empGcTJiS25TMGxKZGUrMjFPdUdFRTJyc0h6OSt2T2JNbVZQdkNNakxMcnRNZmZ2MjFlREJnNnUyTFZteVJBODk5TkIyKzVDWGw3ZEhyZ2ZObHpIR3EvWnY2ZnZwakZXdlgydnQwNnRYcjM1dFg3OStyYlc5akRHS3grTno2dHZmdG0zYnpRMHNjVDB1RW9uVVZ4QzFJQnFOdmxYNXdIWGR0ZFgyQmEyMUdjYVlzTFcyS2lpeDF2Nm84dXNTaVVSbVZqL1owcVZMdDdWdTNmb1BhV2xwZlkweEIwcDZjRWZYNUk4aTJXNUlvb3FRYUl5a1pmRjRmRmoxN1lsRTRyWkFJSENXdFhacW56NTllaGNWRmExVFJkQ3hXTkp2L1Q1UGNoeG5sdXU2NTFwcjd6VEdmRmxRVVBEbWpwNVRVaUlhamRiMzZlQUt6L01hZnZOWDAwV1Z0VmNBb0traUtLbmwyMjhyVm9xckhQRngrT0dINjhVWFg5VEREeitzeXk2N1RGbFpXU291THRibGwxK3VlKys5VjZlY2Nvb21UcHhZWitsRlNYcmlpU2UwZWZObW5YZmVlWm8rZmJyUzA5UDEyR09QYWZUbzBVcExTOU9MTDc2b2poMDdxbE9uVGpydXVPUFVxVk1udFczYlZrT0dETkhOTjkrc2Z2MzYxVGlmdFZZZmYveXhEajMwVUdWazFLbUx1RXRLU2tyVXBVdVhSaGZwZStXVlYxUlNVdjlVMzdGangycmh3b1Y2OE1FSGR6ajZaTml3WVZxK2ZMbkdqaDByYSsxK3Y1SUNkazIxTitSYnJiVlJTYk1UaWNRY3ovUG16SjA3OTZ2dExhT0lwcVd5R0pELzF5Wi9wWWs1a3VaWWF6K054V0pmSjd1UFRjM2l4WXRWZmZXVnI3NzZTbSsrK2FhdXUrNDZsWmVYNjhVWFg5VEZGMTljRmV6UG5qMWI3Nzc3cnU2NTU1NDZVem1YTDErdWxTdFgxaGtka3BPVHc5UWJORWIxMSs5R1NUSC85ZnVwUDNJdmFhOWZZOHc1a3NvTEN3c2JXbG5sMXZxbS9IaWVWL1VwVVRnY1BsdlN3YXE0M3h6dnVtN1ZwMTUrdUpIcHV1NUZudWZOTjhhWTh2THkwNHVLaXFxS25sWXY1bHFmdExTMEI0MHhXWkx1aUVhanl4cHF0ek5jMTczTkdIT3lwR0dPNHh6bnV1NlByTFVIU0RwQTBnSEdtS1dTVGd3R2d5TWxYVm50VUt1SzBPUk4xM1hma3pURkdIT0FwTXQzWjFVaVkweEhTWFUvUmF1L2JTYyt6QURRMUJHVTFCS0x4U1JKM2JwMXE5bzJidHc0dmZ6eXkrcmR1M2VkT2VHYk5tM1M2NisvcmlsVHBtajA2TkZWb3o5aXNaaW1UWnVtd1lNSHEwV0w3NmYxdG12WFR2ZmVXeEdpLytjLy82bnovRnUzVm53UVU5OEtPOFhGeFZxM2JwMnV1dXFxUFhhOThrT2g3WTBBcVc3MjdObjY1cHR2Nm14LzU1MTNOR1hLRkoxODhzazFScDgwSkNNalE2TkdqZEx2ZnZjN2pSczNUcXRYcjliZ3dZT1RXck1FVFkrMWRxRzE5amxKcndjQ2dhWGJ0bTM3cnJpNG1OL2FtaUYvTkZDaHBKYzh6NXRaWGw2K0pDTWo0N3ZheFFaUm9iUzBWTjkrKzYwdXZQQkN5US9LUjR3WW9WYXRXdW5Ydi82MVVsTlQ5ZWFiYjJyZ3dJRWFQWHEwRmkxYXBDRkRodWlNTTg3UXVlZWVXK2Q4MFdqRkNxamhjTGpHOWsyYk5tMjNvUGU2ZGVzYU5lMFMrejNyaitKN3FieTgvQTNQODVZMmhkZHZkbloyUzJQTW1aSlNYTmU5SWhxTlRxemRadTNhdFdNYlVjejFjV3R0UjBsYkpQMnArbzVxdjlCUERnUUNkNm1pS1A2U3h2WXhIQTczbHpUSVd2dCtOQnJkSTNVNSt2VHA4MU5KbGNYcDduR2NpdnE0L2dpOU5kYmF0WkxXV1d0anhwZ3JRcUhRQzdGWTdQWGE1N0hXam5BYzV6Vkp5eU9SeUxUZDZaTzE5anZQOHhxMVZITWdFRGhEMHNEZGVUNEEyTnNJU21xWk5XdVdXclpzV1ZVVDVNTVBQOVRFaVJOMTl0bG4xL3ZtczNYcjFobzdkcXl1dWVZYTllL2ZYNk5IajVicnVscTJiSmx5YzNOMThjVVhhK0hDaFh1a2IrKzlWekZsK3RSVFQ5MGo1OXRUaW9xS2RPZWRkNnB6NTg0N1ZYT2tUWnMyR2o5K3ZBWU1HS0JYWG5sRi8vdmYvL1QwMDA5dnQ3Z3NmaGppOGZqODFOVFVVNlBSNlB4azl3VzdiKzNhdGQ5MTZORGhsR2cwV3NRb29NYjU3TFBQbEVnazFLdFh4ZWorRjE5OFVaOSsrcW51dU9PT3FsRWhUejMxbEs2KyttcGRmZlhWK3ZiYmIzWFNTU2RwMkxCaDlaNHZGb3NwR0F6V21aTHp4UmRmYU1pUUlRMzJZOXUyYlRycXFIcnJNK0lIWXUzYXRkKzFhOWZ1dUlLQ2d2bE43ZldibHBZMjJGOUY1ak5KaitUazVIeFdXRmk0NC9uRXRVUWlrVU5WTWNMcWtFQWdNTGkwdEhSSWNYSHhsbkE0ZkkvbmViTmlzZGpIcWdnOTdwZjBlWDUrL29iR25EY1VDdDFxclgzWUdQTzVwSXQzNCt2blNPcHFyUTFJQ2hRVkZYMFpEb2R2OFR4dm5WODA5OXUxYTlldVdMcDA2YmJxQi9YcTFhdHRhbXJxQjA1bGtsS3pid2M0ampQY1d1c1pZdzRLaDhNVDFxNWQrOGVkWENHb3VyZy9pbVdIUE05Yng0cURBSm82ZmlPdFp1SENoY3JQejlmNTU1K3ZZRENvQlFzVzZQYmJiOWRoaHgybW9VT0hWclVyTGEyb1gxWDVRNzVEaHc0YU8zYXNycnp5U2cwY09GRGp4bzNUYWFlZHBxT09Pa3IxM0p0MjJZd1pNOVM5ZTNjZGZQREJOYmF2VzdkT3k1WjlQNUt6cEtSRTVlWGxOYmF0V2JQRHFhNjdiTTZjT1VwTlRkWGpqejllcDFDZy9LV1Q1UzlUV1Z1SERoMzA5Tk5QNjdiYmJ0TjU1NTFIU0FKSjB0eTVjMWRLV3Buc2ZtRFBXTHAwNmJhbFM1Y1dKTHNmemNsYmI3Mmw5dTNiS3pjM1YvLzNmLytua1NOSDZyampqdE1GRjF4UTFXYmR1blhxM0xsejFXaVJMbDI2YU5PbVRmWCtIUDdvbzQvVXExZXZHblcwdW5UcG92UFBQMTkzM0hGSGcvMFlNMmFNeXNzWjlQTkQ1cjkrNXlXN0g3WGw1T1FjWW93WmJLMTlLNUZJbkI4SUJPWUVBb0YzWE5jZEVJMUcvNzRMNStzU0NBVGVOc1lFZ3NIZ0kzbDVlYVdlNXgzb09NNEhvVkJvZUZsWjJYQnI3VlhHbUJkckgydU1jYW92UWUrSEVHTWsvZFphT3krUlNQeWlvS0NnL3FyL085QzllL2RXbVptWjA2eTFaeGxqdHJtdSs2TGpPTmZuNStmL2RVZkh6cHMzYjYya1ByV24xT1RrNUdRNmpqUGRXdHZMV3R2UEdKTmxyZjFMbXpadGpqL2dnQU1lbFBRdlNWdXR0WTk2bnZkeFkvcHBqRG5ZR1BOV0k1cktXdHVxTWUwQUlKbjRyYlNheHg1N1RNWVk5ZXZYVDE5OTlaWCsrTWMvcWsyYk5ob3pab3ptekptamp6LytXQzFidHRRbm4zd2lTVHJ3d0FPcmpqM29vSU0wY3VSSVhYdnR0YnJ2dnZzMGJkcTBSaTMzMjFnRkJRVmF0bXlaYnJqaGhqcjc3ci8vL25xUE9lZWNjeHAxN284Ly9sakhIMzk4bzlxV2xaWHAwRU1QcmJIdDZxdXYxcGxubmxsVjEyWFRwazBhTm15WWZ2U2pIOGxhcS9mZmYxL0JZTERHeWp6VnRXalJRcU5HaldyVTh3UEEvdTZiYjc3UmpCa3pkTWtsbDJqQmdnVzY2YWFiMUxGalI5MS8vLzFhdjM2OVB2cm9JNzN4eGh2NjlOTlAxYnQzYnozMTFGUDY3TFBQTkhYcVZEMzMzSE02L2ZUVGRjd3h4K2pJSTQ5VXUzYnQ5TVVYWDJqRmloVTY4OHd6Slg4VnROV3JWK3VrazA2Uy9GR0JEVG41NUpPcjJuVG8wS0hHaW0xQXN1VGw1YlczMXI0aEtUV1JTUHk1c0xCd1MrL2V2ZnVtcHFZK0wrbDUxM1ZIU05xbWl0R3JkN2RwMDZiY0dPUDVVd0NOcEJScmJhcmpPS21lNXozcE9FNkd0Zlkva3NvOXp6dTVzTEJ3c2Y5VWZ3eUh3M01jeC9sbFdscmFIWklPU2lRU1Q4bXZhMkt0N2VLZnQxL2xhSXJjM056T3hwalAvSm9uLzl5NmRldVZ1N0h5VHpBek0vTWpTZG5HbUNzU2ljUzNnVURnWDliYUw4UGg4T3VTUHBlMDN1OTNtYVF5WTB5WnRUWnVqRW4zbDJSdjRmLzlkVFFhZlNZdkwrOVFhKzAvSmZXeDFnNk94V0xUVkZIejVDTmp6S1BHbUVuVzJxZXR0WXVOTVlzZHgra2FEb2QvN1MvNTdFbEtNY2FrbFpTVWpBMEdnNVZmcDliVzJtOFRpVVREUzNGVnY2aGc4R0pKZjhuSnllbWlpZ1VSTnZzcjZnQkFrMEZRVXMxQkJ4MmtTeTY1UkYyN2RsVkpTWW5PT3Vzc1hYTEpKV3JmdnIzaThiaGVmdmxsSlJJSlpXUms2SUlMTHFoVHZEVTdPMXNqUm96UVQzLzYwenByeHUrdU5Xdlc2T0NERDY1MzJzME5OOXhRbytCZmZiNysrbXM5OE1BRDllNDc5TkJEYTZ5UXN6MHZ2L3l5NHZFNk5kRnF2SGx1MWFxVklwR0lObXpZSUdPTURqNzRZQTBhTklnMzJBRFFDRVZGUlVwTlRkVlZWMTJsUUNDZ0k0NDRRa09IRHRXTUdUUDA4TU1WSzVXR3cyRTk5TkJET3UyMDB5UkpSeDExbEM2OTlGSk5telpOcjczMm1xWlBuNjcyN2R2cjVaZGYxbi8vKzkrcVl5VHArZWVmMTdQUDd2eEtxbGRlZWFVR0RCaXdSNjhWMkJXSlJPSXN4M0c2VzJzSEZoWVdSdlQ5U01UVFFxSFFMNDB4bHh0anNpV3RNY2JjSkNsRlVyRDZlN1BLd3JUcjE2OGYyclp0MnplTk1hdU5NV2ZsNStjdnIvNWNrVWhrVXZmdTNWL0t6TXo4eWxvN3NhQ2c0SCtxR0JWeHBLUTcvV2t4U3ozUHUxNFZIMng5NjdydVM1N256YTRNSVhaRDNGcjdQMlBNWHlPUnlMT3FDR0t5SGNlNVdkSXZqVEZuK0ZPUEF0V24xOVIrRDJxdDlheTExK2ZrNUJ6aWVkNGNZMHdyei9QNngyS3hKeXZiUktQUjl5VWRrWk9URXc0R2d6K1RsR090L2Fta1hHdnRqeVNsK3I4M3hLMjFXMU5UVTE5M0hPZkQ2czhUREFickZySGJqbXJ0bjVCMDQ2NStrUURnQnllclc4NHhXVDF6bCtjY2RZSjk3NFAvMnIydHJLek1idDI2ZGE4L3o1NlNTQ1RzbGkxYmJEd2UzK1Z6Yk51MnpaYVVsT3pSZmpWMW44eWVZNDg4NFdjMnEyZG9YVmFQVUtNKy9VRHpFUXFGVGdtSHc4dGQxMTBYQ3ZIOTNkOWs5UWlkVW5sZitHVDJuR1QvT05scjVzNmRXMmRiYVdtcC9mdmYvMjVYckZpeDNXUGo4YmlOUkNKMjNyeDUxbHByVjY5ZWJmL3hqMy9ZTFZ1MjdMWCtObmZjRjVvZDQ3cnU3M2ZoT0VkU3dQK0ZQMUM1c1VlUEh1MjZkKysrM2VrZ09UazV2YnQxNjlhNm5sMTd0ZGhHVGs3T3psUlRycnkrUUVQOUNvZkROK2JtNXZiZGN6MEVnUDBUSTBxcVNVbEpxWGUxbWFiS2NaeDY2Mzdzak9yejFRRUFUVU5sRWRmcVVsTlRHelg2THhBSXlIWGRxc2Z0MjdkdjlNcG1RRE5obzlIbzA3dHdYTDNGVkQvLy9QUHZkblRnZG9yRTd0VjFiZ3NMQzdmc1JQTWRGb3VOUkNKamRxOUhBUEREc09jcWpRSUFBQUFBQURSekJDVUFBQUFBQUFBK2doSUFBQUFBQUFBZlFRa0FBQUFBQUlDUG9BUUFBQUFBQU1CSFVBSUFBQUFBQU9BaktBRUFBQUFBQVBBUmxBQUFBQUFBQVBnSVNnQUFBQUFBQUh3RUpRQUFBQUFBQUQ2Q0VnQUFBQUFBQUI5QkNRQUFBQUFBZ0krZ0JBQUFBQUFBd0VkUUFnQUFBQUFBNENNb0FRQUFBQUFBOEJHVUFBQUFBQUFBK0lMSjdrQmpKT0lKelYrd1VHbHBhY251Q3ZZRHhmTVhxTHk4UE5uZEFMQWJFdkdFaXVjdlNIWTNzSi9ndmdBQUFLcHJGa0hKdHBJU2paMHdVYWtwcWNudUN2WUQ1ZVhsMnJocFU3SzdBV0EzYkNzcDBlaW4vcWFVbEpSa2R3WDdBZTRMQUFDZ3VpWWRsSGpHcm5Ka2xudldwbS9ZeUJzWTdHSFdyaXl6ZG5teXV3R2c4Y3FzdHp6VlZOd1gxbS9jbU96dVlIL0RmUUVBQURUMW9HVEp3cUxGUCtuV3E1OFRURGt3MlgzQi9pZGg3SnBsbnhjdVRIWS9BRFRlc2dXRkM3a3ZZRy9odmdBQUFOVFVneEpKM3BKRjg0b2xGU2U3SXdDQUpvSDdBZ0FBQVBZcVZyMEJBQUFBQUFEd0VaUUFBQUFBQUFENENFb0FBQUFBQUFCOEJDVUFBQUFBQUFBK2doSUFBQUFBQUFBZlFRa0FBQUFBQUlDUG9BUUFBQUFBQU1CSFVBSUFBQUFBQU9BaktBRUFBQUFBQVBBUmxBQUFBQUFBQVBnSVNnQUFBQUFBQUh3RUpRQUFBQUFBQUQ2Q0VnQUFBQUFBQUI5QkNRQUFBQUFBZ0krZ0JBQUFBQUFBd0VkUUFnQUFBQUFBNENNb0FRQUFBQUFBOEJHVUFBQUFBQUFBK0FoS0FBQUFBQUFBZkFRbEFBQUFBQUFBUG9JU0FBQUFBQUFBSDBFSkFBQUFBQUNBajZBRUFBQUFBQURBUjFBQ0FBQUFBQURnSXlnQkFBQUFBQUR3RVpRQUFBQUFBQUQ0Q0VvQUFBQUFBQUI4QkNVQUFBQUFBQUErZ2hJQUFBQUFBQUFmUVFrQUFBQUFBSUNQb0FRQUFBQUFBTUJIVUFJQUFBQUFBT0FqS0FFQUFBQUFBUEFSbEFBQUFBQUFBUGdJU2dBQUFBQUFBSHdFSlFBQUFBQUFBRDZDRWdBQUFBQUFBQjlCQ1FBQUFBQUFnSStnQkFBQUFBQUF3RWRRQWdBQUFBQUE0Q01vQVFBQUFBQUE4QkdVQUFBQUFBQUErQWhLQUFBQUFBQUFmQVFsQUFBQUFBQUFQb0lTQUFBQUFBQUFIMEVKQUFBQUFBQ0FqNkFFQUFBQUFBREFSMUFDQUFBQUFBRGdJeWdCQUFBQUFBRHdFWlFBQUFBQUFBRDRDRW9BQUFBQUFBQjhCQ1VBQUFBQUFBQStnaElBQUFBQUFBQWZRUWtBQUFBQUFJQ1BvQVFBQUFBQUFNQVhUSFlIQUFEWUdRY2YydnZIcVNuQlE1UGREK3gvU2t0THYxcisxZnl2azkwUEFBQ1FYQVFsQUlCbUl5c3JsS1VVTzBuRzlraDJYN0QvU1V0UFhaS1ZGYnAwOGVMWTRtVDNCUUFBSkE5QkNRQ2crVWhYbG94NkdKbE9MVEl5RkFnR2t0MGo3QWNTOFlTMmxaVElzelpkNmNxU1JGQUNBTUFQR0VFSkFLRFphWkdSb1VFRCtpdTdaL2RrZHdYN2dlTDVDelQ2cWI5cC9jYU55ZTRLQUFCb0FnaEtBQUROVGlBWVVIYlA3anJtcUNPUzNSWHNKMUpTVXBMZEJRQUEwRVN3NmcwQUFBQUFBSUNQb0FRQUFBQUFBTUJIVUFJQUFBQUFBT0FqS0FFQUFBQUFBUEJSekJVQW1nN0hkZDNyakRHUHJWMjd0dTNpeFl0TGFqZHdYZmRxWTh6VDlSMXNyWDAwR28zZVdtdHpNQndPRDVMME8ydnRJY2FZdGRiYWY1ZVZsZDArYjk2OHRYdnRTZ0FBQUlCbWlxQUVBSkxQdUs1N2pqSG1Ia25oN1RZMHByMy96M2V0dGJXRGpzTGF6Y1BoOEl1U0xyRFdGa3Q2emxvYk5zWmNuNXFhZWtKMmR2WXh4Y1hGbS9mc3BRQUFBQURORzBFSkFDUlJYbDVlRDgvejNqVEdkSkcweEZxNzJoalRvYUgybnVlMWN4eEhrdnBIbzlINTJ6dTM2N3I5L0pEazM5Rm85RUpKY1gvVXlvdkdtQXZUMDlNSFNycC9iMXdYQUFBQTBGeFJvd1FBa2lnZWo3ZVhsQ1pwV0VsSlNTOUpxN2JYdm5KRWlURm1kU05PZjZPMTFzYmo4WnY5a0VTU3ZIZzhQa1FWVTNXdTNCUFhBQUFBQU94UEdGRUNBRW0wWWNPRy8xdThlUEZCa2hLcUdBV3lvMFBhUzByazUrZHZ0NzVJcjE2OTJrbzYwaGd6dDZpbzZNdnErNHFLaXI0TWg4TUxqREhkczdPek94VVhGNi9ZQTVjQ0FBQUE3QmNJU2dBZ2llb3IyTG9EN2F5MUNkZDEveWFwVE5KeVNXOUZvOUZQcWpjS0JvUFp4aGhqclMycTd5VFcycytOTWQxVFVsSzZTU0lvQVFBQUFId0VKUURRalBoVGIxSWwvYjdhNXZ2QzRmQnI4WGo4MTRXRmhWdjhiUWVySWhCWjJjQjVWa2xTSUJCb3N5LzZEUUFBQURRWDFDZ0JnR2JFR0hQQ3hvMGIweU9SU0xDc3JPd24xdG9yckxWZlN6bzdFQWc4V2ExZEMvL3Zla2VzV0d0TC9ML1Q5bUgzQVFBQWdDYVBvQVFBbXBIOC9QdzFpeFl0S3BXVW1EdDM3amZSYUhTcU1lWTBhKzBXU2YxNjlPalJUcEljeDRtcklpaHBhT1JncWlxQ2txMzdzdjhBQUFCQVUwZFFBZ0ROWENRU1dTVHBZMk9NMDZKRmkyeFZMQ084VGhWQlNOc0dEbXV2aWtDbDNxazVBQUFBd0E4VlFRa0E3QjgyU1ZJaWtiRCs0Ly81Zi9kc29IMFBTWWw0UFA3NXZ1a2VBQUFBMER3UWxBQkFNNWVWbFpVdTZXaHJyUmNNQmorWHBGZ3N0c2hhKzYweDVralhkVHRVYisrNmJsZEoyZGJhRDZzVmZ3VUFBQUJBVUFJQXpVZjM3dDFidWE1N1d2VnRYYnAweVdqVHBzMVlZMHhuU2YvTXo4OWY0Kyt5eHBnSmtsSWtQU0xKK05zZFNTUDhwWU1mMy9kWEFRQUFBRFJ0TEE4TUFNMUVJQkRJTk1hOEdRNkhQN2ZXenBHVWFZdzVWdEpCMXRyNWp1UDhvWHI3ZUR6K1NEQVl2TUFZYzJVNEhPNWpyWTBZWTQ2U2xDUHAyVmdzOXEva1hRMEFBQURRTkRHaUJBQ2FpWTBiTjI2UU5GbFNDMlBNcjQweFowajZUdEs5cGFXbFIxVWJUU0pKS2l3czNPSjUzc21TbnBSMHNLVExyYlZCU1RkSElwRXJrM1loMktHRkN4ZnF5eSsvbENTVmxaVnA4K2JOeWU1U2xiS3lNaTFldkZqYnRtMUxkbGVBQm9YRDRadGQxeDJlbDVlWFV0OSsxM1Z2Q1lmREV4dDd2dHpjM0Y3VlJ1WlZucU5Ebno1OSt1eUovZ0lBbWhaR2xBQkFFeEtOUm5zM3RHL3AwcVhibGk1ZCtydWRPVjhzRmxzdnFiLy9CODNFdmZmZXE0eU1ERTJZTUVGang0N1ZHMis4b2R0dXUwMG5uM3h5dmUxbnpweXAwdExTblhxT0UwODhVVzNhdEtsNnZHVEpFajMvL1BNYU9IQ2cwdFBUR3p6dXE2KyswbVdYWGFhUkkwZnF4Qk5QM0tubkJQYWg2eVNsNStmbjM5YkEvbU1sbmRLWUU0VkNvY01jeHlrSWg4UDlJNUhJdUdxN25rbEpTZW5WcDArZjNLS2lvblY3cHRzQWdLYUFvQVFBc0ZkbFpXV2x0MjdkdWx0aFlXR3hKQy9aL1drTzB0TFNaRzNGQWtaWFgzMjFWcXhZb1VHREJ1bTg4ODdUM1hmZlhhZjlRdzg5cEMxYnRpZ1kzUEZ0M2ZNOGxaV1ZhZkxreVRXQ2tzTENRcjMwMGt1S1JxTjY5TkZIMWJsejV6MThWV2lPc3JLeTBsdTJiSG5JM0xsekZ6U1gxMjlPVHM0aC9zcGVZL2ZFK1l3eEQwaGFYRkpTTXFuVzlrSFcybWhLU3NwQVNmZnVpZWNDQURRTkJDVUFnTDJxZGV2VzdRT0J3SWV1NjM1aHJYM1dXdnU2TVdaVkxCYmJKQ21SN1A0MVJlbnA2ZHF5cFdKQm9wWXRXK3FCQng3UWNjY2RweC85NkVjTkhuUEZGVmVvZi84ZER4ejY4TU1QZGROTk45WFpmdmJaWjZ0Tm16WWFNbVNJTHIvOGNvMGVQVnE5ZXZYYXpTdEJjOWU2ZGV2MndXRHdFOWQxRjFscm4zVWM1elhQODlZMDVkZXY0emkvbGlScjdZemRQVmM0SEQ1YjBrV1M0bWxwYVd0ZDE2M2E1NGVaS2RiYVcxM1h2YlcrNDQweFIwWWlrZm03Mnc4QXdMNUZVQUlBMk91TU1ZNmtQRWxoeDNHR1dXc2pydXZPTnNaOFpvejVKRDgvZjNteSs3aXZ6Sm8xUzhPR0RkdHVtN0t5TWxscmRmenh4OWU3LzU1Nzd0SHBwNSsreC90Mi9QSEhhK3pZc1JvMWFwUzZkT21pdSs2NlMrKzg4MDZOTnBValhZWU1HU0xIcVZucXJIZnYzaG8zYnB5dzMzR01NWG1Td3RiYWU0d3hNZGQxWjF0clB3MEVBck9iMnV2WEdIT1ZLZ0tUYWE3cjJscTdiNDlHbzZNYWN4N1hkUSsyMWs0d3hoUkp1czZZR2lWSzVIbmVUeDNIZVU3U0lFbUY5WjFqMWFwVmkzZjlTZ0FBeVVKUUFnRFlaMHpGYnhxdGpUR25XR3RQc3RadWtMVEtkZDNQSkQxZldscjZkbkZ4Y1ZteSs3azN4ZU54bFpTVXFGKy9mbXJYcmwyOWJXYk5tcVdsUzVmcTZxdXZybmYvWVljZHR0ZjYxNmRQSDQwZlAxNlNWRkpTb2xhdFd1bDN2L3UrTk02cVZhczBlZkprblhQT09UcjAwRU9ydHIvMDBrdi92NzM3RDY2eXl1ODQvamxQYmtodUZNeGlnOFJtTkRvVTFDV1grMXlnNEJvWTBSWEdwYmpkT3VpNDQ3b080N0JLdFhhS2t6cUtPdGphMmJFeS9jTWZDTmdxT0xxd1NxVjFsZG1kV1lFV2hHNUlibktCVUg0c3BrdElEREhaREZsQzdrM3VjL3BIYnE0M3lVVUNtK1FtNGYzNmgvdWM4NXpuZko4d0ozT2ZiODV6ampvNk9vWXNMbVNPdGRZWVkzckdiNzZrMjYyMTg0MHhyZGJhSnRkMWYyT3RmVGNXaSszSzlQZ05oVUx6SkUyMTF2NWEwczZlY21OTW9hUVZ0aWZUZHdGRlJVVitZOHhXU2RkSU9oMlB4L3Q5WjNZY0owdmRQNThzei9QNjFYdWVWMTlYVjhlcXh3QXdDcEVvQVFBTW16N1BLSTZrYjBuNmxqRm1tcVFmNWVUa25ISmRkMHM4SHY4Z0Zvc2RjeHluTGRNUFhrTmx5WklsbWpKbFN0cTZVNmRPNmNzdnY5UkREejAwTExIVTFkVnA5ZXJWZXVhWlozVEREVGYwcXN2UHo5Zjk5OStmUEQ1eTVJamVlZWNkelpzM3I5ZGlycDkvL3JsYVcxdUhKVjRNTDJPTVZmcnhPMUhTUkdQTU5HTk1jdnhhYXpkM2RIU2N5TkQ0TFpNVWR4em5KeFVWRmIvdEtad3hZOFo5V1ZsWks0d3h4MUpQZGwzMzdxNnVybjE5Rm1QMUZSUVUvTHUxdGtUU1lVbmZkaHluMzJzOGlabHlNc2FzY1J5bjMvb3RqdU9zazdSeThHOFJBRERVU0pRQUdLdDgzWnNWQkRNZEI2UUNhMjFXejdUMW5uOVRIN3BTUHYrcE1lYnZzckt5L2pvdkw2OUdVdm1NR1RNT2VwNjM4OENCQXdjekVYd201T1hsSmRjbzZkSFkyS2hvTktycnJyc3ViWnRObXpicC9mZmZ2K0MxUGEvL2VweW5UNS9XMGFOSDllQ0REMnJWcWxXNisrNjcvNGpvUnkvcldlWDQ3QlIrYi9SU2tQcDljU0RqMXhpeklpOHY3N0NrOG1Bd0dJbkg0LytWR0w4RG1zMXhxVXBLU2txc3RZc2xiYW1zclB4dGFwM2pPRzRpL3BxVTRqeEpQL2Y1ZkYrNXJyczBIQTd2VDVSM0dXTU9lSjczRDQ3anJMRFd0b1RENGRLKy9RVUNnZWsrbis5QVBCNWZXRjFkdlhzbzd3MEFNTHhJbEFBWXEvS01NYzhaWThia2JJVFJ4RnJyU1BMM0xlLzd2bi9LK1pLVUk4bTExZ2F6c3JLaWp1TTBCb1BCSXpGUGtmYVlUZDl3bFBuNDQ0Lzd2WHB6NDQwM3FyUzBWQk1tVEZBc0Z0TzVjK2ZrOTNmLzZONTY2eTE5OU5GSDJyWnRtNHFLaXZwZDc5WmJiOVVkZDl4eHdYNlBIVHZXTDZFU0NvVzBjZU5HUGZua2sxcTFhcFVrWFpiSkVpTXBOOXY1a2VNNFV6TWR5MGhoclhXc3RUbDl4K3NGeG0rdU1jYTExZ1lkeDRrYVl4cUR3ZUFSU1Q5cmJXM2RWbHRiT3lSVGozdyszMDhUSDMrYStPOU1UY3g4eDFwYlcxbForYnVVc3ZaNFBMN1k1L050czlidWNWMzN5WEE0L0tZa1ZWWldscWw3Ykt5UWRLdnJ1bi9vMjEvUGpKS3NyS3hmdWE2YmJrZWdkZUZ3bUJrbEFEQUtrU2dCTUtaNG50ZmdPRTZEcEZ4SmpyVTJOOU14WGU2TU1jYmFpMDl1cFB5VjJtZU11VkxTWkVmMnVFWjVtcVNycTB0S3JPbVJxcU9qUS9mY2M0OUtTMHRWVUZBZ1NXcHVibFpSVVpGYVcxdjF5U2VmYU5hc1dXbVRKQnMzYnRUNDhlT1ZuNTkvd2Y3UG5UdW5lKys5VjRXRmhiM0tpNHVMdFhIalJxM2o5Tmg2QUFBSm0wbEVRVlJmdjM1QUNaZXh5akVtbTk4Ylh4dk04U3RwL0JWWFhPRjhjOHRMRXd3R3YyZU0rWjZrRGRGbzlHUW9GTm92YVYxbFplWDZ4SGJCODR3eEcvcTJpMFFpL3hNSUJHYjdmTDcvbExRMkZBck5hV2xwZWF5MnRqYTU0STR4NXFDa24vUnRtN0tZNjk4YVkvb3Q1dXA1M3BkRGNhOEFnS0ZIb2dUQW1CS0pSSTY1cnZ1Z3RYWlNwbU5CTjJ0dGdUSG1iVWxYOUNtWDB2eGxPbkhjWmEwOWJxM2RiNjJ0OWp6dnZ5T1JTRVh4VGNGU0dmTlh3M29EZzZ6bmxacXRXN2RxOHVUSnlmSTc3N3hUdWJuZHorZlhYSE9OSkttaG9VRkZSVVhhdkhtem90R29saTlmM3V0YUJ3NGNVRnRiVzlwK2JybmxGdVhuNTZ1OXZWMVZWVlg5NnV2cjZ5VkpzMmJOMHJoeDQ2VEVlaVJsWldXOXpqdHg0b1R1dXV1dTVIRTgzcjBqN0twVnE1THRKS210clUzVHBrMjc2Si9IU0dJbHRjZmkvNWFYN1J6UGRDd2pSV0w4dnBONFRTVzFYQnJBK1BVOEwyeXQzUk9KUkNva2RRMVZuTWFZT3lSOUZZMUdueDQzYmx5V3BIcEo2MXpYWFdpTXFaTms0dkg0dStuYVJpS1J1a0FnTU0vbjgyMngxajUwMVZWWGJaSzBJK1ZlYmJyWUhjZUpKK3JqNmVxTk1YOFNDQVM2SXBGSTNlRGZNUUJnS0pFb0FURFdlT0Z3dUVaU3pRRE94VEFJQkFKRlBwOHYzbk9jYnRPSmxIVVBmbSt0L1VWWFY5ZFdZMHdrR28xK2RlVElrZlNaZ0ZIcTNMbnVUVEQ2enY3bzZPaEl2bVp6L2ZYWFM1SnFhMnRWV0Zpb1RaczJhZDY4ZVFxRlFyM2F2UExLS3pwNE1QM1NMVys4OFlibXpKbWordnA2UGZIRUUrZU41OU5QUDAwbVpwUkl2cFNVbENTUEowNmNtSGJYbTBXTEZ2WGI5V2EwTTQ1UkxHNk9IejFVdFhNQXAxOFdBb0ZBVVZaV1Z2SzFrb0dNWDJ2dEZzL3phb1p6L0haMmR2NXpkbmIyL2tPSERyVWtpcGE0cnZ1RU1XYU5wR3hKQjc5cEhaRklKSEpXMHZkRG9kQjNxNnVyZDZUV0dXTm1TTnAzbnFaeFk4eDU5OFIySEdlTnBMKy8xUHNDQUdRR2lSSUF3SkN6M2Z1TFNyMGZxcXd4cGwzU0djL3pEa2phZVByMDZXMzE5Zlh0R1E1M1NEVTBOQ2czTnpjNWUwU0pCVlk3T2pwMDVaVlhTcEltVFpxay9QeDhIVHAwU0R0MmREK3pQZlhVVTJtdk4zLytmTDM0NG92SjR5KysrS0pYWXFQSG1qVnJOSFBtek9UeHJsMjc5TUlMTC9RNjU5U3BVM3I0NFlmMTJHT1A2WkZISHBIWTlRYmRZOVpMK1N4OVBjc2lPWDZ0dGYvYTFOVDBpMHlOMzRNSER6WksycHhhRmc2SFgzVmRkNjR4NW9lZTU2MGF3R1hpbFpXVnYwd3RzTmFlbFBSdU9Cd2VuaTJvQUFBakFva1NBTUNRTTRtbnE4US9iWkxDa3NvbGxWdHI5MVZWVmYxZnBtTWNMaWRPbkZCeGNYR3Zzak5uemtoU01sR2k3bTFMdFgzN2RuVjFkV25seXBWcDF5WlI5d0tXR2o5K2ZQSTRMeTh2N1hsK3Y3L1hlYW1KbWg1Nzl1eVJ1bmNQdWVqN3dwaVdPbjdQU0twS2pOOTkxdHJ5a1RwK1E2SFFFa2svbFBTcnFxcXEvN2lVYTFocnQwZ3FEZ2FEZjNreDdZd3h2dytIdzdzdXBVOEFRT2FSS0FFQUREbHJyU2NwSXVsRHovTisyZG5aK1R1LzM5OWNVVkhSbWVuWWhsTlhWNWVPSFR1bVJZc1c5U28vZmZxMDFPZDFuSktTRXUzWXNVTzMzWGFiSG5qZ2dXUjVXVm1aWnMrZXJhVkxsdzU2Zkx0Mzc5YUVDUk42elR3QkVoTklJcEkrN096czNPNTVYdDFJSDcrQlFHQ090Zlo5U1UzUmFQVEhsM29kWTh6anhwZ2ZXMnViTDZMTmhNVHJuN011dFY4QVFHYVJLQUVBREttV2xwYm1nb0tDMjhQaDhBRko2YmJRdkd6czNidFhaOCtlbGV1NnFxcXFVbU5qby94K3Y3WnUzU29sRm1DVnBCMDdkdWpOTjkrVUVyTk5yTFhKVng3Mjd0M2JiMXZod1hEMjdGbVZsNWRyNGNLRjh2bjRlb0J1TFMwdHpWZGZmZlYzcXF1ckQ0K1c4ZXU2N3AyU1BsUjMwdUtlbXBxYVAycjNHV3Z0b1hBNEhMeUkvdDh5eGd6NGZBREF5TU0zSVFEQWtLcXJxenRYVjFkWG5lazRSb0p0MjdZcEx5OVBDeFlzMFBidDIvWFNTeThsNjVZdFc2WnJyNzFXYjcvOXRsNS8vWFZOblRwVjgrZlAxNFlORy9UeXl5K3JyS3hNSjArZVZIdDd1MjYrK2Vaa084L3oxTjcrOWJJUTBXZzBiZCtlNXlXM0p1NDVUdlhaWjU4cEZvdjEyeHE0czdNenVVT09KRFUxTlVuZEQ5Qzl5cy9YTDBhM3hQZzlsT2s0QnNnSmhVSXJKZjJUdGZZUGt2Nmlzckx5Zkl1d0FnQndYaVJLQUFBWUJ2djM3OWZPblR0MTMzMzN5ZS8zYS9IaXhabzVjNlppc1pnS0Nncms4L20wZlBseWhjTmhMVnk0VU04Ly83ejhmcithbTV2MXdRY2ZxTHk4UEhtdDJiTm5Kei92M0xtejE2S3E1L1A0NDQ5L1kvMzI3ZHZsOS9zMWQrN2NYdVcxdGJWYXNtUkp2L05URjVEdE1YMzY5QXZHQVF3UjQ3cnVyeVhkYnEydDhUenZCOVhWMVVjSDVjTEdUQXdHZ3c5ZlJKTS9HNHgrQVFDWlE2SUVBSUJoVUZoWXFPTGlZcTFZc1VLU2xKT1RrOXdHdUVkcGFhbVdMbDNhYXcyVFo1OTlWdE9uVDlkNzc3Mm5wcVltTFZ1MlRJV0ZoY2w2MTNYMTZLT1BKby9yNit1MWV2WHFmdjJ2WExteTEweVVpb29LclYyN1ZwSVVqOGZsOC9tMFlNRUM1ZVRrOUdwWFZGU2s1NTU3N29MMzk5cHJyNlhkT2hZWUp0WVlzOGxhdTd1dHJlMGZqeDgvUG1oVG5LeTFreHpIZWZvaW1reVdkSHl3K2djQUREK1Q2UUFBQUJpbzRwdUN0OHZZbjAwWVAzN3l1bGYvUlhQL2ZIU3RsZGpSMFpGMnQ1bVJLaHFOeWxvN3FtSytGUHQrczE5L3MvSnBOVFUzdDhycUI3WC9XN1V6MHpFQkFJRE1ZVVlKQUFERFpMUWxIUHJPTGdFQUFMZ2NPSmtPQUFBQUFBQUFZS1FnVVFJQUFBQUFBSkJBb2dRQUFBQUFBQ0NCUkFrQUFBQUFBRUFDaVJJQUFBQUFBSUFFRWlVQUFBQUFBQUFKSkVvQUFBQUFBQUFTU0pRQUFBQUFBQUFra0NnQkFBQUFBQUJJSUZFQ0FBQUFBQUNRUUtJRUFBQUFBQUFnZ1VRSkFBQUFBQUJBQW9rU0FBQUFBQUNBQkJJbEFBQUFBQUFBQ1NSS0FBQUFBQUFBRWtpVUFBQUFBQUFBSlBneUhRQUFBQmNyM2hWWHplRWptUTREWTBUTjRTUHE3T3pNZEJnQUFHQ0VJRkVDQUJoMXpuVjA2TlcxNjVXZG5aM3BVREFHZEhaMjZreGJXNmJEQUFBQUl3U0pFZ0RBcUJHelhzTTRZeG84YTNOYno1ekpkRGdZYTZ4dGpGbmJrT2t3QUFCQVpwbE1Cd0FBd0VWd3Jwdnk3WnNjWC9ha1RBZUNzU2R1dks5T0hvN1VTUEl5SFFz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DQVlmWC83VnpJaWFXWEhUY0FBQUFBU1VWT1JLNUNZSUk9IiwKCSJUaGVtZSIgOiAiIiwKCSJUeXBlIiA6ICJmbG93IiwKCSJVc2VySWQiIDogIjIxMTkwMDQwNSIsCgkiVmVyc2lvbiIgOiAiMTA4Igp9Cg=="/>
    </extobj>
    <extobj name="ECB019B1-382A-4266-B25C-5B523AA43C14-5">
      <extobjdata type="ECB019B1-382A-4266-B25C-5B523AA43C14" data="ewoJIkZpbGVJZCIgOiAiNTA5MzM3MjM3Njk3IiwKCSJHcm91cElkIiA6ICI5NjIxMzYzNCIsCgkiSW1hZ2UiIDogImlWQk9SdzBLR2dvQUFBQU5TVWhFVWdBQUFOc0FBQUNjQ0FZQUFBRDIzdDZVQUFBQUFYTlNSMElBcnM0YzZRQUFEVUpKUkVGVWVKenQzWDFRVkdYZkIvRHY3dkt5cXlnZ2hCcGdPTDZCUm5NejBpMU42VGcwVXlRTTVLUkdUQ2FEWllCMlE0Sk1JNFBtQ3pGa3FMQ0lLSWxnQzlXS2tPSXdLbWlXdzVSM05ZZ3YrSkJ2QkJVMEpyTUM1aTRzbk9lUDNIM2NkaGNXNnprTHcvY3o0eDk3cnVzNis5dWQvZTUxem5VT0xrQkVSRVJFUkVSRVJFUkVSRVJFUkVSRVJFUkVSRVJFUkVSRVJFUkVSRVJFUkVSRVJFUkVSRVJFUkVSRVJFUkVSRVJFUkVSRVJFUkVSRVJFUkVUMC8wdGk3d0lzZVh6R2s3NU9qZzR6N0YwSGpWNDZuZTVXKzYyclA5bTdqb2VOdUxENStmM0xEM0xoSUNUd3QzY3ROS3ExNHI3azFaYVdDeTMyTHNUQXdkNEZtSkhERHhMNFN5Q1pNazZoZ014Qlp1K0thQlRwMS9manZsYUxBVUdRUXc0L0FBemJVTVlwRkZqL243V1lHekRIM3FYUUtOSjB0Um5LdmZ1aDZlcXlkeWxtUm16WVpBNHl6QTJZZzVCL0I5dTdGQnBsSEIwZDdWMkNSVko3RjBBMFZqQnNSQ0poMkloRXdyQVJpWVJoSXhJSncwWWtFb2FOU0NRTUc1RklHRFlpa1RCc1JDSmgySWhFd3JBUmlZUmhJeElKdzBZa0VvYU5TQ1FNRzVGSUdEWWlrVEJzUkNKaDJJaEV3ckFSaVlSaEl4SUp3MFlrRW9hTlNDUU1HNUZJR0RZaWtUQnNSQ0poMkloRXdyQVJpWVJoK3hzdVhMaUFnb0tDUnhyNzVaZGY0cWVmTFA5V1gydHJLMDZlUEltZW5oNmI5N2R1M1RxVWw1ZGJiTnV5WlFzKysreXpSNnJUNFBidDI3aDM3OTdmMnNkWXg3RDlEVTFOVFRoMDZOQWpqVTFOVFVWdGJhM0Z0dVBIanlNOVBSMTZ2ZDdtL1RVME5LQ3RyYzFpVzMxOVBacWJtd0VBbFpXVjZPam9HSGE5RVJFUnFLNnVIdlk0K2o4ajlpZWpSb0pubjMxMjBIYTlYZys5WGo5a3Y1VXJWeUkrUHQ3bTUvM2hoeDhRR0JnSU56YzNtOGNNWm1CZ0FGS3BGQnFOQmtxbEVnVUZCZGkxYXhjQ0F3TnRHcS9WYXFIWDZ6Rng0c1IvcEo2eGltRWJSSDUrL3FEdGRYVjFxS2lvR0xMZmxDbFRiSDdPMzM3N0RZMk5qVWhNVEJ5MFgzOS9QOXJiMitIajR6UGtQZ1ZCZ0ZRcWhadWJHL2JzMllPRWhBUWtKQ1JBcVZRaUtDZ0lnaURneUpFalZzZmZ1WE1IQUhEeDRrWDg4Y2NmVnZzRkJBUmczcng1UTlZelZqRnNnd2dLQ2dJQWFEUWFpeDh5RnhjWEFNRGt5Wk10anZmeThvS0R3NTl2OGRtelo2SFQ2VXphcjErL2pwTW5UeG9mejU4L0h6VTFOUkFFQVpjdlgwWjJkcmJGL2NiSHgrT2pqejdDcFV1WFVGbFpDYWwwOExPQjN0NWVZeDF6NTg1RmZuNCswdExTOE5oamp3RVBacjVkdTNaWkhkL1gxd2NBcUtpb2dMT3pzOVYrc2JHeEROc2dHRFliNU9YbG9icTZHazVPVGliYkRZZVJ5NWN2TjlrdUNBSjBPaDJPSERrQ1B6OC9BRUJtWmlZNk96dE4rdFhXMXBxY3QrWGs1T0R6enorSGk0c0xOQm9OTkJvTjhPREQzdFRVQkI4ZkgzaDRlS0N2cncraG9hR29xYWxCWFYwZFhuamhoVUhyZnpoc0FCQVlHSWlxcWlySTVYSUFnRXdtUTMxOXZjV3hXcTBXUzVjdVJYOS9QKzdldll2OC9IempseEFORDhObW93VUxGcGdkTHBhWGx5TXZMOC9zZzlyYzNJeVltQmlUYlZWVlZSQUV3Zmg0OGVMRmlJdUx3eHR2dkdIY1ZsMWRqZHUzYjJQbXpKa29MaTQyMjE5U1VoSkNRME1CQUlzV0xjTGt5Wk9oVnF0TnduYjA2Rkd6QlJDOVhvOHJWNjVnMzc1OVpxOHJQRHpjNnFHb0lBall2bjA3ZnYvOWQ1U1hsNk80dUJncEtTazRlUEFnbm5qaWlTSGZNekxGc05uby9QbnpaZ3NoMWhaSUhnNlZnZUdRODJIT3pzNllNR0VDQUtDenN4TkZSVVdRU3FWbVlmbjExMThCQU43ZTNzWnRNcGtNTDczMEVrcEtTa3hXSVd0cmEzSHAwaVd6V3E1Y3VZSWJOMjZZMVJBY0hHd3hiRnF0RnR1MmJjT0pFeWV3WWNNR3pKbzFDeGtaR1ZpOWVqVldyVnFGek16TUlSZUd5QlREWmdNSEJ3Y0VCd2NqSXlQRFpQdlJvMGRSVWxLQ3c0Y1BtMnh2YVduQit2WHJJWkZJYkg2TzR1Smk2SFE2dlBQT084ak56VVY3ZXp1bVRwMEtQSmpacEZJcHBrMmJaakltSWlJQzU4NmRNeDV1d3NLaVRrdExDMTU1NVJVRUJRV2hzTERRcGxxKy9mWmJaR2RubzdXMTFlUTFqQnMzRGtWRlJVaEpTVUZTVWhLV0wxK09OOTk4RXg0ZUhqYS96ckdNWVJ1QzRjTUtBTjNkM1NadGhnV1B2MjczOFBCQWFXa3BGQXFGemMvejJtdXZZZmJzMlFnT0RrWnViaTRhR3h1TllidHc0UUxtekpsanRyL3AwNmREclZZUHVsL0RyTmZRMElDZW5oNkxNeXdlckc2ZU8zY09LcFVLRFEwTjhQSHh3Zjc5KzlIVTFJU2NuQnljUDM4ZW16ZHZocHViRy9MejgxRlFVSUN5c2pJY08zWU15NVl0UTFoWUdBSUNBbXgrdldNUnd6YUVqSXdNM0x4NTAyS2I0VEF5TGk3T3JFMm4weUU2T2hxcHFhbkFnenN3WG43NVpaTStSVVZGT0hqd0lBQmc5ZXJWeHYxTW5Ub1ZYMzMxRmNMQ3dxRFJhTkRRMElCWFgzM1ZhbzFuejU1RmIyK3Z4YmJMbHk4YkYwZE9uejZOcUtnb3N6Nm5UcDNDamgwNzBOblpDWGQzZHlRbEpTRTZPaHBPVGs2WVAzOCsvUDM5c1dIREJxalZhcXhac3dhT2pvNUlTa3JDa2lWTHNIUG5UcWhVS3FoVUtvU0dobUxIamgyRHZKdGpHOE0yaEU4KytjUnFtN1VGRWdCNC9mWFhUUjRQREF4QXE5VWlNaklTL3Y3K0ptMjV1Ym5HNVhVQVdMaHdJWTRkTzRhdXJpN1UxTlJBcjljakxDek03RG4wZWoxeWMzT3QzcVlGQUY5Ly9UV2VmdnBwS0JRS1ZGUlVXQXpiVTA4OUJXOXZieVFrSkdESmtpWEdWVW9ESHg4ZkZCY1hHMWRXRFdiTm1vVzllL2ZpeG8wYk9IejRNS0tqbzYzV1FReWJWVDA5UFhqeHhSY0g3VFBZSFNRNm5RN1hybDFEVlZVVlFrTkRzVzdkT2dCQVNFaUkyWDcvZW45bFZGUVUxR28xRGh3NGdCTW5UbURtekptWU8zZXVTWitXbGhha3A2ZWp1YmtaYTlldXhZRURCOHhxYUc1dXhvOC8vb2lOR3pmQ3k4c0x5Y25KK09hYmIvRE1NOCtZOUpzeVpRcEtTa3JRMGRGaG5BVU5oOEhMbGkxRGNuSXlIQjBkc1h2M2JuaDZlcHFNdlhqeEloUUtCZDU3NzcxQjN5dGkyS3hTS0JSRExpaWNPblVLYXJYYVlyLzMzMzhmczJmUFJreE1ERnhkWFlmMTNQNysvbGl3WUFGVUtoVUFtSDJRdTdxNnNHclZLc2hrTXVUbjV5TWtKTVJpMkQ3KytHTzR1cm9pTEN3TWNya2NNMmJNd002ZE8vSHBwNSthWEhjelNFMU5oWXVMQ3dvTEMzSG16Qm00dWJsaHhZb1YrT0NERDVDWW1JalkyRmdvbFVwTW56NGRlREJiYjkrK0hkM2QzVGgwNkpEeElqbFp4aHVSclpESlpBZ01ETVQ0OGVQaDVPUms4WjlNSmdNQWkyMFNpUVFlSGg0SURBdzBXMFcweGVMRml3RUFFeVpNTUp1SkprNmNpRTJiTnFHc3JBd2hJU0VXeDlmWDErUE1tVE9JalkzRitQSGpJWlBKc0g3OWV0eThlUk5LcGRLcy95Ky8vSUtyVjY5aTBhSkZabTB6WnN4QVVWRVJCRUhBOWV2WEFmejVaVkpTVW9Lc3JDeDBkWFVoT1RrWldxMTIySzl6TE9ITU5vUzB0RFMwdDdkYmJCdHFnY1JhRUlieTNYZmZZZmZ1M1pETDVlanU3a1phV2hvKy9QQkRrM09wNTU5LzN1cjQ5dloyYk5xMENmNysvaWJuVVNFaElRZ1BENGRLcFlLM3R6ZFdyRmhoYkR0Ky9EaGtNcG5WUStkcDA2YWhxcXJLZUJmTnRXdlhjTy9lUGNURnhTRWpJd1BwNmVuWXNtVUxzckt5SHVrMWp3VU0yeEFxS2lxc3RxbFVLdXpaczhlbUJSS0R6WnMzWSt2V3JTYmJIcDRSYW1wcXNIWHJWbmg2ZXFLd3NCQ2xwYVdvckt6RVcyKzloYXlzckNGdlBPN282RUI4ZkR6MGVqMnlzN1BOYmpGTFQwL0hyVnUza0oyZGpZNk9EaVFtSmtLdjEwT3RWaU0wTk5SNHpVd3FsYUsvdjk5a3JHRmZPcDBPdDI3ZHduUFBQUWNBQ0FzTFEyTmpJMXBiVzNILy92MWhYZklZU3hpMlllanM3RVIxZFRYa2Nqa0VRY0FYWDN5QlNaTW1XZXhiV2xwcThhSjJaR1Frbm56eVNiUHR2cjYreU16TVJHVmxKZno4L0xCMzcxNTRlWGxoNDhhTmNITnpRM0Z4TWFLam94RVhGNGVZbUJpekZVTUErUG5ubjdGeTVVcG90VnJrNWVWWkRLYXpzelB5OHZMdzdydnZvclMwRkg1K2ZnZ0lDSUM3dTd2SjVRVmZYMStjUG4wYWFyWGE1Snl6dDdjWGRYVjFaak4zU2tvS1pETFpzQzdranpVTTJ6QTRPVGxCcVZRYWI0SHk5UFEwWGtmN0s4UDVuSUZDb1VCVVZCU2lvcUlzM2huLzl0dHY0L3Z2djhmU3BVdVJrcEppbkIwa0VnbldybDJMZWZQbVlkdTJiU2dySzBORVJJVEZzSGw3ZStQeHh4OUhaR1Rrb0hmZnU3dTdZOSsrZmFpcnEwTjRlRGhnWVFaZnMyWU5XbHRia1pPVFkvWkhySk1tVFVKQ1FvTEpEY21XRmx6STFJajdHdkx6LzlkaVNJUlBKMDZZTUdXZmNoZEMvaDFzNzVMTUNJSmcvQnV4ZjBwYld4dGFXbHF3Y09GQ3EzM3UzcjJMdHJZMml6TWovZW5iLzM2UC82UzhoOXQzN21nZ1lHbkwvMXc0YSsrYURQaDE5QWdrRXNrL2Zyams2K3NMWDEvZlFmdTR1cm9PK3pJQ2pSeGMraWNTQ2NOR0pCS0dqVWdrREJ1UlNCZzJJcEV3YkVRaVlkaUlSTUt3RVltRVlTTVNDY05HSkJLR2pVZ2tEQnVSU0JnMklwRXdiRVFpWWRpSVJNS3dFWW1FWVNNU0NjTkdKQktHalVna0RCdVJTQmcySXBFd2JFUWlZZGlJUk1Ld0VZbUVZU01TQ2NOR0pCS0dqVWdrSS9iLyt1L1g5NlBwYXJPOXk2QlJwdWxxTS9yNit1eGRoa1VqTm16M3RWb285KzZIbzZPanZVdWhVYVN2cnc5ZDNkMzJMc09pRVJlMlhtR2czVWtpYVI4UUJMbW1xOHZlNWRCb0pRaS85UXFDNWQ5bnRwTVI5L3RzQUtUVFpzN3psem80ZXRtN0VCcTkraVVEdjdkZHZkZ0VZTURldFJBUkVSRVJFUkVSRVJFUkVSRVJFUkVSRVJFUkVSRVJFUkVSRVJFUkVSRVJFUkVSRVJFUkVSRVJFUkVSRVJFUkVSRVJFUkVSRVJFUkVSRVJFZjRYOEJCd3loeVdoU29BQUFBQVNVVk9SSzVDWUlJPSIsCgkiVGhlbWUiIDogIiIsCgkiVHlwZSIgOiAiZmxvdyIsCgkiVXNlcklkIiA6ICIyMTE5MDA0MDUiLAoJIlZlcnNpb24iIDogIjQ0Igp9Cg=="/>
    </extobj>
  </extobj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E492936-492A-4080-8B53-D3DE99108F6F}">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291</Pages>
  <Words>5094</Words>
  <Characters>6330</Characters>
  <Lines>2021</Lines>
  <Paragraphs>569</Paragraphs>
  <TotalTime>385</TotalTime>
  <ScaleCrop>false</ScaleCrop>
  <LinksUpToDate>false</LinksUpToDate>
  <CharactersWithSpaces>6850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2018-07-02T03:33:00Z</dcterms:created>
  <dc:creator>Administrator</dc:creator>
  <cp:lastModifiedBy>憧憬</cp:lastModifiedBy>
  <cp:lastPrinted>2025-12-10T03:59:00Z</cp:lastPrinted>
  <dcterms:modified xsi:type="dcterms:W3CDTF">2026-05-07T09:56:34Z</dcterms:modified>
  <cp:revision>664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eyJoZGlkIjoiOGNkMjg1ODhjOWQ3OWY3OTI4MjNmY2I5ODNhZmUzNWYiLCJ1c2VySWQiOiI0OTM4MDcyMTQifQ==</vt:lpwstr>
  </property>
  <property fmtid="{D5CDD505-2E9C-101B-9397-08002B2CF9AE}" pid="3" name="KSOProductBuildVer">
    <vt:lpwstr>2052-12.1.0.25225</vt:lpwstr>
  </property>
  <property fmtid="{D5CDD505-2E9C-101B-9397-08002B2CF9AE}" pid="4" name="ICV">
    <vt:lpwstr>983DD5D2DCD143B882B0EF978237BA55_13</vt:lpwstr>
  </property>
</Properties>
</file>